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200" w:after="0"/>
        <w:jc w:val="center"/>
      </w:pPr>
      <w:r>
        <w:rPr>
          <w:rFonts w:ascii="Arial" w:cs="Arial" w:eastAsia="Arial" w:hAnsi="Arial"/>
          <w:b/>
          <w:bCs/>
          <w:color w:val="FFFFFF"/>
          <w:sz w:val="44"/>
          <w:szCs w:val="44"/>
        </w:rPr>
        <w:t xml:space="preserve">HEALTHCARE ANALYTICS</w:t>
      </w:r>
    </w:p>
    <w:p>
      <w:pPr>
        <w:shd w:fill="1F4E79" w:val="clear"/>
        <w:spacing w:before="0" w:after="0"/>
        <w:jc w:val="center"/>
      </w:pPr>
      <w:r>
        <w:rPr>
          <w:rFonts w:ascii="Arial" w:cs="Arial" w:eastAsia="Arial" w:hAnsi="Arial"/>
          <w:b/>
          <w:bCs/>
          <w:color w:val="BDD7EE"/>
          <w:sz w:val="30"/>
          <w:szCs w:val="30"/>
        </w:rPr>
        <w:t xml:space="preserve">Patient Wait List Dashboard</w:t>
      </w:r>
    </w:p>
    <w:p>
      <w:pPr>
        <w:shd w:fill="1F4E79" w:val="clear"/>
        <w:spacing w:before="0" w:after="0"/>
        <w:jc w:val="center"/>
      </w:pPr>
      <w:r>
        <w:rPr>
          <w:rFonts w:ascii="Arial" w:cs="Arial" w:eastAsia="Arial" w:hAnsi="Arial"/>
          <w:i/>
          <w:iCs/>
          <w:color w:val="D6E4F0"/>
          <w:sz w:val="19"/>
          <w:szCs w:val="19"/>
        </w:rPr>
        <w:t xml:space="preserve">End-to-End Data Analytics Project  |  Power BI</w:t>
      </w:r>
    </w:p>
    <w:p>
      <w:pPr>
        <w:shd w:fill="1F4E79" w:val="clear"/>
        <w:spacing w:before="40" w:after="0"/>
        <w:jc w:val="center"/>
      </w:pPr>
      <w:r>
        <w:rPr>
          <w:rFonts w:ascii="Arial" w:cs="Arial" w:eastAsia="Arial" w:hAnsi="Arial"/>
          <w:b/>
          <w:bCs/>
          <w:color w:val="FFFFFF"/>
          <w:sz w:val="22"/>
          <w:szCs w:val="22"/>
        </w:rPr>
        <w:t xml:space="preserve">Gayathri  ·  Data Analyst</w:t>
      </w:r>
    </w:p>
    <w:p>
      <w:pPr>
        <w:shd w:fill="1F4E79" w:val="clear"/>
        <w:spacing w:before="0" w:after="60"/>
        <w:jc w:val="center"/>
      </w:pPr>
      <w:r>
        <w:rPr>
          <w:rFonts w:ascii="Arial" w:cs="Arial" w:eastAsia="Arial" w:hAnsi="Arial"/>
          <w:color w:val="2D2D2D"/>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pPr>
              <w:spacing w:before="0" w:after="0"/>
            </w:pPr>
            <w:r>
              <w:rPr>
                <w:rFonts w:ascii="Arial" w:cs="Arial" w:eastAsia="Arial" w:hAnsi="Arial"/>
                <w:b/>
                <w:bCs/>
                <w:color w:val="1F4E79"/>
                <w:sz w:val="19"/>
                <w:szCs w:val="19"/>
              </w:rPr>
              <w:t xml:space="preserve">Domain</w:t>
            </w:r>
          </w:p>
        </w:tc>
        <w:tc>
          <w:tcPr>
            <w:tcW w:type="dxa" w:w="67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before="0" w:after="0"/>
            </w:pPr>
            <w:r>
              <w:rPr>
                <w:rFonts w:ascii="Arial" w:cs="Arial" w:eastAsia="Arial" w:hAnsi="Arial"/>
                <w:color w:val="2D2D2D"/>
                <w:sz w:val="19"/>
                <w:szCs w:val="19"/>
              </w:rPr>
              <w:t xml:space="preserve">Healthcare | Patient Services Analytics</w:t>
            </w:r>
          </w:p>
        </w:tc>
      </w:tr>
      <w:tr>
        <w:tc>
          <w:tcPr>
            <w:tcW w:type="dxa" w:w="2600"/>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pPr>
              <w:spacing w:before="0" w:after="0"/>
            </w:pPr>
            <w:r>
              <w:rPr>
                <w:rFonts w:ascii="Arial" w:cs="Arial" w:eastAsia="Arial" w:hAnsi="Arial"/>
                <w:b/>
                <w:bCs/>
                <w:color w:val="1F4E79"/>
                <w:sz w:val="19"/>
                <w:szCs w:val="19"/>
              </w:rPr>
              <w:t xml:space="preserve">Tools Used</w:t>
            </w:r>
          </w:p>
        </w:tc>
        <w:tc>
          <w:tcPr>
            <w:tcW w:type="dxa" w:w="67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before="0" w:after="0"/>
            </w:pPr>
            <w:r>
              <w:rPr>
                <w:rFonts w:ascii="Arial" w:cs="Arial" w:eastAsia="Arial" w:hAnsi="Arial"/>
                <w:color w:val="2D2D2D"/>
                <w:sz w:val="19"/>
                <w:szCs w:val="19"/>
              </w:rPr>
              <w:t xml:space="preserve">Power BI · Power Query · DAX · Excel / CSV</w:t>
            </w:r>
          </w:p>
        </w:tc>
      </w:tr>
      <w:tr>
        <w:tc>
          <w:tcPr>
            <w:tcW w:type="dxa" w:w="2600"/>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pPr>
              <w:spacing w:before="0" w:after="0"/>
            </w:pPr>
            <w:r>
              <w:rPr>
                <w:rFonts w:ascii="Arial" w:cs="Arial" w:eastAsia="Arial" w:hAnsi="Arial"/>
                <w:b/>
                <w:bCs/>
                <w:color w:val="1F4E79"/>
                <w:sz w:val="19"/>
                <w:szCs w:val="19"/>
              </w:rPr>
              <w:t xml:space="preserve">Data Period</w:t>
            </w:r>
          </w:p>
        </w:tc>
        <w:tc>
          <w:tcPr>
            <w:tcW w:type="dxa" w:w="67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before="0" w:after="0"/>
            </w:pPr>
            <w:r>
              <w:rPr>
                <w:rFonts w:ascii="Arial" w:cs="Arial" w:eastAsia="Arial" w:hAnsi="Arial"/>
                <w:color w:val="2D2D2D"/>
                <w:sz w:val="19"/>
                <w:szCs w:val="19"/>
              </w:rPr>
              <w:t xml:space="preserve">2018 – 2021  (Multi-year Healthcare Records)</w:t>
            </w:r>
          </w:p>
        </w:tc>
      </w:tr>
      <w:tr>
        <w:tc>
          <w:tcPr>
            <w:tcW w:type="dxa" w:w="2600"/>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pPr>
              <w:spacing w:before="0" w:after="0"/>
            </w:pPr>
            <w:r>
              <w:rPr>
                <w:rFonts w:ascii="Arial" w:cs="Arial" w:eastAsia="Arial" w:hAnsi="Arial"/>
                <w:b/>
                <w:bCs/>
                <w:color w:val="1F4E79"/>
                <w:sz w:val="19"/>
                <w:szCs w:val="19"/>
              </w:rPr>
              <w:t xml:space="preserve">Project Type</w:t>
            </w:r>
          </w:p>
        </w:tc>
        <w:tc>
          <w:tcPr>
            <w:tcW w:type="dxa" w:w="67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before="0" w:after="0"/>
            </w:pPr>
            <w:r>
              <w:rPr>
                <w:rFonts w:ascii="Arial" w:cs="Arial" w:eastAsia="Arial" w:hAnsi="Arial"/>
                <w:color w:val="2D2D2D"/>
                <w:sz w:val="19"/>
                <w:szCs w:val="19"/>
              </w:rPr>
              <w:t xml:space="preserve">Full Cycle Data Analytics | Business Intelligence Dashboard</w:t>
            </w:r>
          </w:p>
        </w:tc>
      </w:tr>
      <w:tr>
        <w:tc>
          <w:tcPr>
            <w:tcW w:type="dxa" w:w="2600"/>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pPr>
              <w:spacing w:before="0" w:after="0"/>
            </w:pPr>
            <w:r>
              <w:rPr>
                <w:rFonts w:ascii="Arial" w:cs="Arial" w:eastAsia="Arial" w:hAnsi="Arial"/>
                <w:b/>
                <w:bCs/>
                <w:color w:val="1F4E79"/>
                <w:sz w:val="19"/>
                <w:szCs w:val="19"/>
              </w:rPr>
              <w:t xml:space="preserve">Records Analyzed</w:t>
            </w:r>
          </w:p>
        </w:tc>
        <w:tc>
          <w:tcPr>
            <w:tcW w:type="dxa" w:w="6760"/>
            <w:tcBorders>
              <w:top w:val="none" w:color="FFFFFF" w:sz="0"/>
              <w:left w:val="none" w:color="FFFFFF" w:sz="0"/>
              <w:bottom w:val="none" w:color="FFFFFF" w:sz="0"/>
              <w:right w:val="none" w:color="FFFFFF" w:sz="0"/>
            </w:tcBorders>
            <w:shd w:fill="FFFFFF" w:val="clear"/>
            <w:tcMar>
              <w:top w:type="dxa" w:w="60"/>
              <w:left w:type="dxa" w:w="140"/>
              <w:bottom w:type="dxa" w:w="60"/>
              <w:right w:type="dxa" w:w="140"/>
            </w:tcMar>
          </w:tcPr>
          <w:p>
            <w:pPr>
              <w:spacing w:before="0" w:after="0"/>
            </w:pPr>
            <w:r>
              <w:rPr>
                <w:rFonts w:ascii="Arial" w:cs="Arial" w:eastAsia="Arial" w:hAnsi="Arial"/>
                <w:color w:val="2D2D2D"/>
                <w:sz w:val="19"/>
                <w:szCs w:val="19"/>
              </w:rPr>
              <w:t xml:space="preserve">450,000+ Patient Wait List Records</w:t>
            </w:r>
          </w:p>
        </w:tc>
      </w:tr>
    </w:tbl>
    <w:p>
      <w:pPr>
        <w:spacing w:before="100" w:after="0"/>
      </w:pPr>
      <w:r>
        <w:rPr>
          <w:rFonts w:ascii="Arial" w:cs="Arial" w:eastAsia="Arial" w:hAnsi="Arial"/>
          <w:color w:val="2D2D2D"/>
          <w:sz w:val="20"/>
          <w:szCs w:val="20"/>
        </w:rPr>
        <w:t xml:space="preserve"/>
      </w:r>
    </w:p>
    <w:p>
      <w:pPr>
        <w:spacing w:before="80" w:after="60"/>
        <w:jc w:val="center"/>
      </w:pPr>
      <w:r>
        <w:rPr>
          <w:rFonts w:ascii="Arial" w:cs="Arial" w:eastAsia="Arial" w:hAnsi="Arial"/>
          <w:b/>
          <w:bCs/>
          <w:color w:val="1F4E79"/>
          <w:sz w:val="20"/>
          <w:szCs w:val="20"/>
        </w:rPr>
        <w:t xml:space="preserve">KEY RESULTS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2E75B6" w:sz="6"/>
              <w:left w:val="none" w:color="FFFFFF" w:sz="0"/>
              <w:bottom w:val="single" w:color="2E75B6" w:sz="6"/>
              <w:right w:val="single" w:color="CCCCCC" w:sz="1"/>
            </w:tcBorders>
            <w:shd w:fill="D6E4F0" w:val="clear"/>
            <w:tcMar>
              <w:top w:type="dxa" w:w="80"/>
              <w:left w:type="dxa" w:w="160"/>
              <w:bottom w:type="dxa" w:w="80"/>
              <w:right w:type="dxa" w:w="160"/>
            </w:tcMar>
          </w:tcPr>
          <w:p>
            <w:pPr>
              <w:spacing w:before="0" w:after="0"/>
              <w:jc w:val="center"/>
            </w:pPr>
            <w:r>
              <w:rPr>
                <w:rFonts w:ascii="Arial" w:cs="Arial" w:eastAsia="Arial" w:hAnsi="Arial"/>
                <w:b/>
                <w:bCs/>
                <w:color w:val="1F4E79"/>
                <w:sz w:val="34"/>
                <w:szCs w:val="34"/>
              </w:rPr>
              <w:t xml:space="preserve">709K</w:t>
            </w:r>
          </w:p>
          <w:p>
            <w:pPr>
              <w:spacing w:before="0" w:after="0"/>
              <w:jc w:val="center"/>
            </w:pPr>
            <w:r>
              <w:rPr>
                <w:rFonts w:ascii="Arial" w:cs="Arial" w:eastAsia="Arial" w:hAnsi="Arial"/>
                <w:b/>
                <w:bCs/>
                <w:color w:val="2D2D2D"/>
                <w:sz w:val="17"/>
                <w:szCs w:val="17"/>
              </w:rPr>
              <w:t xml:space="preserve">Latest Wait List</w:t>
            </w:r>
          </w:p>
          <w:p>
            <w:pPr>
              <w:spacing w:before="0" w:after="0"/>
              <w:jc w:val="center"/>
            </w:pPr>
            <w:r>
              <w:rPr>
                <w:rFonts w:ascii="Arial" w:cs="Arial" w:eastAsia="Arial" w:hAnsi="Arial"/>
                <w:i/>
                <w:iCs/>
                <w:color w:val="888888"/>
                <w:sz w:val="16"/>
                <w:szCs w:val="16"/>
              </w:rPr>
              <w:t xml:space="preserve">Patients — Latest Month</w:t>
            </w:r>
          </w:p>
        </w:tc>
        <w:tc>
          <w:tcPr>
            <w:tcBorders>
              <w:top w:val="single" w:color="2E75B6" w:sz="6"/>
              <w:left w:val="none" w:color="FFFFFF" w:sz="0"/>
              <w:bottom w:val="single" w:color="2E75B6" w:sz="6"/>
              <w:right w:val="single" w:color="CCCCCC" w:sz="1"/>
            </w:tcBorders>
            <w:shd w:fill="D6E4F0" w:val="clear"/>
            <w:tcMar>
              <w:top w:type="dxa" w:w="80"/>
              <w:left w:type="dxa" w:w="160"/>
              <w:bottom w:type="dxa" w:w="80"/>
              <w:right w:type="dxa" w:w="160"/>
            </w:tcMar>
          </w:tcPr>
          <w:p>
            <w:pPr>
              <w:spacing w:before="0" w:after="0"/>
              <w:jc w:val="center"/>
            </w:pPr>
            <w:r>
              <w:rPr>
                <w:rFonts w:ascii="Arial" w:cs="Arial" w:eastAsia="Arial" w:hAnsi="Arial"/>
                <w:b/>
                <w:bCs/>
                <w:color w:val="1F4E79"/>
                <w:sz w:val="34"/>
                <w:szCs w:val="34"/>
              </w:rPr>
              <w:t xml:space="preserve">640K</w:t>
            </w:r>
          </w:p>
          <w:p>
            <w:pPr>
              <w:spacing w:before="0" w:after="0"/>
              <w:jc w:val="center"/>
            </w:pPr>
            <w:r>
              <w:rPr>
                <w:rFonts w:ascii="Arial" w:cs="Arial" w:eastAsia="Arial" w:hAnsi="Arial"/>
                <w:b/>
                <w:bCs/>
                <w:color w:val="2D2D2D"/>
                <w:sz w:val="17"/>
                <w:szCs w:val="17"/>
              </w:rPr>
              <w:t xml:space="preserve">Previous Year</w:t>
            </w:r>
          </w:p>
          <w:p>
            <w:pPr>
              <w:spacing w:before="0" w:after="0"/>
              <w:jc w:val="center"/>
            </w:pPr>
            <w:r>
              <w:rPr>
                <w:rFonts w:ascii="Arial" w:cs="Arial" w:eastAsia="Arial" w:hAnsi="Arial"/>
                <w:i/>
                <w:iCs/>
                <w:color w:val="888888"/>
                <w:sz w:val="16"/>
                <w:szCs w:val="16"/>
              </w:rPr>
              <w:t xml:space="preserve">Same Period Last Year</w:t>
            </w:r>
          </w:p>
        </w:tc>
        <w:tc>
          <w:tcPr>
            <w:tcBorders>
              <w:top w:val="single" w:color="2E75B6" w:sz="6"/>
              <w:left w:val="none" w:color="FFFFFF" w:sz="0"/>
              <w:bottom w:val="single" w:color="2E75B6" w:sz="6"/>
              <w:right w:val="single" w:color="CCCCCC" w:sz="1"/>
            </w:tcBorders>
            <w:shd w:fill="D6E4F0" w:val="clear"/>
            <w:tcMar>
              <w:top w:type="dxa" w:w="80"/>
              <w:left w:type="dxa" w:w="160"/>
              <w:bottom w:type="dxa" w:w="80"/>
              <w:right w:type="dxa" w:w="160"/>
            </w:tcMar>
          </w:tcPr>
          <w:p>
            <w:pPr>
              <w:spacing w:before="0" w:after="0"/>
              <w:jc w:val="center"/>
            </w:pPr>
            <w:r>
              <w:rPr>
                <w:rFonts w:ascii="Arial" w:cs="Arial" w:eastAsia="Arial" w:hAnsi="Arial"/>
                <w:b/>
                <w:bCs/>
                <w:color w:val="1F4E79"/>
                <w:sz w:val="34"/>
                <w:szCs w:val="34"/>
              </w:rPr>
              <w:t xml:space="preserve">+10.7%</w:t>
            </w:r>
          </w:p>
          <w:p>
            <w:pPr>
              <w:spacing w:before="0" w:after="0"/>
              <w:jc w:val="center"/>
            </w:pPr>
            <w:r>
              <w:rPr>
                <w:rFonts w:ascii="Arial" w:cs="Arial" w:eastAsia="Arial" w:hAnsi="Arial"/>
                <w:b/>
                <w:bCs/>
                <w:color w:val="2D2D2D"/>
                <w:sz w:val="17"/>
                <w:szCs w:val="17"/>
              </w:rPr>
              <w:t xml:space="preserve">YoY Growth</w:t>
            </w:r>
          </w:p>
          <w:p>
            <w:pPr>
              <w:spacing w:before="0" w:after="0"/>
              <w:jc w:val="center"/>
            </w:pPr>
            <w:r>
              <w:rPr>
                <w:rFonts w:ascii="Arial" w:cs="Arial" w:eastAsia="Arial" w:hAnsi="Arial"/>
                <w:i/>
                <w:iCs/>
                <w:color w:val="888888"/>
                <w:sz w:val="16"/>
                <w:szCs w:val="16"/>
              </w:rPr>
              <w:t xml:space="preserve">Year-over-Year Increase</w:t>
            </w:r>
          </w:p>
        </w:tc>
        <w:tc>
          <w:tcPr>
            <w:tcBorders>
              <w:top w:val="single" w:color="2E75B6" w:sz="6"/>
              <w:left w:val="none" w:color="FFFFFF" w:sz="0"/>
              <w:bottom w:val="single" w:color="2E75B6" w:sz="6"/>
              <w:right w:val="single" w:color="CCCCCC" w:sz="1"/>
            </w:tcBorders>
            <w:shd w:fill="D6E4F0" w:val="clear"/>
            <w:tcMar>
              <w:top w:type="dxa" w:w="80"/>
              <w:left w:type="dxa" w:w="160"/>
              <w:bottom w:type="dxa" w:w="80"/>
              <w:right w:type="dxa" w:w="160"/>
            </w:tcMar>
          </w:tcPr>
          <w:p>
            <w:pPr>
              <w:spacing w:before="0" w:after="0"/>
              <w:jc w:val="center"/>
            </w:pPr>
            <w:r>
              <w:rPr>
                <w:rFonts w:ascii="Arial" w:cs="Arial" w:eastAsia="Arial" w:hAnsi="Arial"/>
                <w:b/>
                <w:bCs/>
                <w:color w:val="1F4E79"/>
                <w:sz w:val="34"/>
                <w:szCs w:val="34"/>
              </w:rPr>
              <w:t xml:space="preserve">89%</w:t>
            </w:r>
          </w:p>
          <w:p>
            <w:pPr>
              <w:spacing w:before="0" w:after="0"/>
              <w:jc w:val="center"/>
            </w:pPr>
            <w:r>
              <w:rPr>
                <w:rFonts w:ascii="Arial" w:cs="Arial" w:eastAsia="Arial" w:hAnsi="Arial"/>
                <w:b/>
                <w:bCs/>
                <w:color w:val="2D2D2D"/>
                <w:sz w:val="17"/>
                <w:szCs w:val="17"/>
              </w:rPr>
              <w:t xml:space="preserve">Outpatient Share</w:t>
            </w:r>
          </w:p>
          <w:p>
            <w:pPr>
              <w:spacing w:before="0" w:after="0"/>
              <w:jc w:val="center"/>
            </w:pPr>
            <w:r>
              <w:rPr>
                <w:rFonts w:ascii="Arial" w:cs="Arial" w:eastAsia="Arial" w:hAnsi="Arial"/>
                <w:i/>
                <w:iCs/>
                <w:color w:val="888888"/>
                <w:sz w:val="16"/>
                <w:szCs w:val="16"/>
              </w:rPr>
              <w:t xml:space="preserve">of Total Wait List</w:t>
            </w:r>
          </w:p>
        </w:tc>
      </w:tr>
    </w:tbl>
    <w:p>
      <w:r>
        <w:br w:type="page"/>
      </w:r>
    </w:p>
    <w:p>
      <w:pPr>
        <w:shd w:fill="1F4E79" w:val="clear"/>
        <w:spacing w:before="200" w:after="100"/>
      </w:pPr>
      <w:r>
        <w:rPr>
          <w:rFonts w:ascii="Arial" w:cs="Arial" w:eastAsia="Arial" w:hAnsi="Arial"/>
          <w:b/>
          <w:bCs/>
          <w:color w:val="FFFFFF"/>
          <w:sz w:val="26"/>
          <w:szCs w:val="26"/>
        </w:rPr>
        <w:t xml:space="preserve">  1.  Business Problem Statement</w:t>
      </w:r>
    </w:p>
    <w:p>
      <w:pPr>
        <w:spacing w:before="60" w:after="60"/>
      </w:pPr>
      <w:r>
        <w:rPr>
          <w:rFonts w:ascii="Arial" w:cs="Arial" w:eastAsia="Arial" w:hAnsi="Arial"/>
          <w:color w:val="2D2D2D"/>
          <w:sz w:val="20"/>
          <w:szCs w:val="20"/>
        </w:rPr>
        <w:t xml:space="preserve">Healthcare systems worldwide face an escalating challenge — long patient waiting times for treatments and specialist consultations. Delays create systemic inefficiencies that affect clinical outcomes, resource utilisation, and public trust in health services.</w:t>
      </w:r>
    </w:p>
    <w:p>
      <w:pPr>
        <w:spacing w:before="100" w:after="40"/>
      </w:pPr>
      <w:r>
        <w:rPr>
          <w:rFonts w:ascii="Arial" w:cs="Arial" w:eastAsia="Arial" w:hAnsi="Arial"/>
          <w:b/>
          <w:bCs/>
          <w:color w:val="2E75B6"/>
          <w:sz w:val="20"/>
          <w:szCs w:val="20"/>
        </w:rPr>
        <w:t xml:space="preserve">Core Impact Areas</w:t>
      </w:r>
    </w:p>
    <w:p>
      <w:pPr>
        <w:pStyle w:val="ListParagraph"/>
        <w:numPr>
          <w:ilvl w:val="0"/>
          <w:numId w:val="2"/>
        </w:numPr>
        <w:spacing w:before="30" w:after="30"/>
      </w:pPr>
      <w:r>
        <w:rPr>
          <w:rFonts w:ascii="Arial" w:cs="Arial" w:eastAsia="Arial" w:hAnsi="Arial"/>
          <w:b w:val="false"/>
          <w:bCs w:val="false"/>
          <w:color w:val="2D2D2D"/>
          <w:sz w:val="20"/>
          <w:szCs w:val="20"/>
        </w:rPr>
        <w:t xml:space="preserve">Patient Health Outcomes — delayed treatments lead to disease progression and preventable deterioration.</w:t>
      </w:r>
    </w:p>
    <w:p>
      <w:pPr>
        <w:pStyle w:val="ListParagraph"/>
        <w:numPr>
          <w:ilvl w:val="0"/>
          <w:numId w:val="2"/>
        </w:numPr>
        <w:spacing w:before="30" w:after="30"/>
      </w:pPr>
      <w:r>
        <w:rPr>
          <w:rFonts w:ascii="Arial" w:cs="Arial" w:eastAsia="Arial" w:hAnsi="Arial"/>
          <w:b w:val="false"/>
          <w:bCs w:val="false"/>
          <w:color w:val="2D2D2D"/>
          <w:sz w:val="20"/>
          <w:szCs w:val="20"/>
        </w:rPr>
        <w:t xml:space="preserve">Hospital Resource Allocation — without demand visibility, hospitals cannot efficiently deploy staff, beds, or equipment.</w:t>
      </w:r>
    </w:p>
    <w:p>
      <w:pPr>
        <w:pStyle w:val="ListParagraph"/>
        <w:numPr>
          <w:ilvl w:val="0"/>
          <w:numId w:val="2"/>
        </w:numPr>
        <w:spacing w:before="30" w:after="30"/>
      </w:pPr>
      <w:r>
        <w:rPr>
          <w:rFonts w:ascii="Arial" w:cs="Arial" w:eastAsia="Arial" w:hAnsi="Arial"/>
          <w:b w:val="false"/>
          <w:bCs w:val="false"/>
          <w:color w:val="2D2D2D"/>
          <w:sz w:val="20"/>
          <w:szCs w:val="20"/>
        </w:rPr>
        <w:t xml:space="preserve">Operational Efficiency — unmanaged backlogs create cascading inefficiencies across departments.</w:t>
      </w:r>
    </w:p>
    <w:p>
      <w:pPr>
        <w:pStyle w:val="ListParagraph"/>
        <w:numPr>
          <w:ilvl w:val="0"/>
          <w:numId w:val="2"/>
        </w:numPr>
        <w:spacing w:before="30" w:after="30"/>
      </w:pPr>
      <w:r>
        <w:rPr>
          <w:rFonts w:ascii="Arial" w:cs="Arial" w:eastAsia="Arial" w:hAnsi="Arial"/>
          <w:b w:val="false"/>
          <w:bCs w:val="false"/>
          <w:color w:val="2D2D2D"/>
          <w:sz w:val="20"/>
          <w:szCs w:val="20"/>
        </w:rPr>
        <w:t xml:space="preserve">Patient Satisfaction — long waits erode trust and negatively impact satisfaction scores.</w:t>
      </w:r>
    </w:p>
    <w:p>
      <w:pPr>
        <w:pStyle w:val="ListParagraph"/>
        <w:numPr>
          <w:ilvl w:val="0"/>
          <w:numId w:val="2"/>
        </w:numPr>
        <w:spacing w:before="30" w:after="30"/>
      </w:pPr>
      <w:r>
        <w:rPr>
          <w:rFonts w:ascii="Arial" w:cs="Arial" w:eastAsia="Arial" w:hAnsi="Arial"/>
          <w:b w:val="false"/>
          <w:bCs w:val="false"/>
          <w:color w:val="2D2D2D"/>
          <w:sz w:val="20"/>
          <w:szCs w:val="20"/>
        </w:rPr>
        <w:t xml:space="preserve">Healthcare Policy Decisions — policymakers require reliable, timely data to design effective interventions.</w:t>
      </w:r>
    </w:p>
    <w:p>
      <w:pPr>
        <w:spacing w:before="100" w:after="40"/>
      </w:pPr>
      <w:r>
        <w:rPr>
          <w:rFonts w:ascii="Arial" w:cs="Arial" w:eastAsia="Arial" w:hAnsi="Arial"/>
          <w:b/>
          <w:bCs/>
          <w:color w:val="2E75B6"/>
          <w:sz w:val="20"/>
          <w:szCs w:val="20"/>
        </w:rPr>
        <w:t xml:space="preserve">Business Objective</w:t>
      </w:r>
    </w:p>
    <w:p>
      <w:pPr>
        <w:spacing w:before="60" w:after="60"/>
      </w:pPr>
      <w:r>
        <w:rPr>
          <w:rFonts w:ascii="Arial" w:cs="Arial" w:eastAsia="Arial" w:hAnsi="Arial"/>
          <w:color w:val="2D2D2D"/>
          <w:sz w:val="20"/>
          <w:szCs w:val="20"/>
        </w:rPr>
        <w:t xml:space="preserve">Develop an interactive analytics dashboard that enables healthcare stakeholders to monitor patient waitlists, identify trends over time, analyse case types and specialties, evaluate wait time distribution across age groups, and support evidence-based operational decisions.</w:t>
      </w:r>
    </w:p>
    <w:p>
      <w:pPr>
        <w:shd w:fill="1F4E79" w:val="clear"/>
        <w:spacing w:before="200" w:after="100"/>
      </w:pPr>
      <w:r>
        <w:rPr>
          <w:rFonts w:ascii="Arial" w:cs="Arial" w:eastAsia="Arial" w:hAnsi="Arial"/>
          <w:b/>
          <w:bCs/>
          <w:color w:val="FFFFFF"/>
          <w:sz w:val="26"/>
          <w:szCs w:val="26"/>
        </w:rPr>
        <w:t xml:space="preserve">  2.  Project Objectives</w:t>
      </w:r>
    </w:p>
    <w:p>
      <w:pPr>
        <w:pStyle w:val="ListParagraph"/>
        <w:numPr>
          <w:ilvl w:val="0"/>
          <w:numId w:val="3"/>
        </w:numPr>
        <w:spacing w:before="30" w:after="30"/>
      </w:pPr>
      <w:r>
        <w:rPr>
          <w:rFonts w:ascii="Arial" w:cs="Arial" w:eastAsia="Arial" w:hAnsi="Arial"/>
          <w:color w:val="2D2D2D"/>
          <w:sz w:val="20"/>
          <w:szCs w:val="20"/>
        </w:rPr>
        <w:t xml:space="preserve">Analyse healthcare patient wait list data spanning multiple years and specialties.</w:t>
      </w:r>
    </w:p>
    <w:p>
      <w:pPr>
        <w:pStyle w:val="ListParagraph"/>
        <w:numPr>
          <w:ilvl w:val="0"/>
          <w:numId w:val="3"/>
        </w:numPr>
        <w:spacing w:before="30" w:after="30"/>
      </w:pPr>
      <w:r>
        <w:rPr>
          <w:rFonts w:ascii="Arial" w:cs="Arial" w:eastAsia="Arial" w:hAnsi="Arial"/>
          <w:color w:val="2D2D2D"/>
          <w:sz w:val="20"/>
          <w:szCs w:val="20"/>
        </w:rPr>
        <w:t xml:space="preserve">Identify trends in wait times across medical specialties and case types.</w:t>
      </w:r>
    </w:p>
    <w:p>
      <w:pPr>
        <w:pStyle w:val="ListParagraph"/>
        <w:numPr>
          <w:ilvl w:val="0"/>
          <w:numId w:val="3"/>
        </w:numPr>
        <w:spacing w:before="30" w:after="30"/>
      </w:pPr>
      <w:r>
        <w:rPr>
          <w:rFonts w:ascii="Arial" w:cs="Arial" w:eastAsia="Arial" w:hAnsi="Arial"/>
          <w:color w:val="2D2D2D"/>
          <w:sz w:val="20"/>
          <w:szCs w:val="20"/>
        </w:rPr>
        <w:t xml:space="preserve">Compare current year wait list performance against the previous year.</w:t>
      </w:r>
    </w:p>
    <w:p>
      <w:pPr>
        <w:pStyle w:val="ListParagraph"/>
        <w:numPr>
          <w:ilvl w:val="0"/>
          <w:numId w:val="3"/>
        </w:numPr>
        <w:spacing w:before="30" w:after="30"/>
      </w:pPr>
      <w:r>
        <w:rPr>
          <w:rFonts w:ascii="Arial" w:cs="Arial" w:eastAsia="Arial" w:hAnsi="Arial"/>
          <w:color w:val="2D2D2D"/>
          <w:sz w:val="20"/>
          <w:szCs w:val="20"/>
        </w:rPr>
        <w:t xml:space="preserve">Understand patient distribution by case type (Outpatient, Day Case, Inpatient).</w:t>
      </w:r>
    </w:p>
    <w:p>
      <w:pPr>
        <w:pStyle w:val="ListParagraph"/>
        <w:numPr>
          <w:ilvl w:val="0"/>
          <w:numId w:val="3"/>
        </w:numPr>
        <w:spacing w:before="30" w:after="30"/>
      </w:pPr>
      <w:r>
        <w:rPr>
          <w:rFonts w:ascii="Arial" w:cs="Arial" w:eastAsia="Arial" w:hAnsi="Arial"/>
          <w:color w:val="2D2D2D"/>
          <w:sz w:val="20"/>
          <w:szCs w:val="20"/>
        </w:rPr>
        <w:t xml:space="preserve">Analyse wait time bands across different patient age groups.</w:t>
      </w:r>
    </w:p>
    <w:p>
      <w:pPr>
        <w:pStyle w:val="ListParagraph"/>
        <w:numPr>
          <w:ilvl w:val="0"/>
          <w:numId w:val="3"/>
        </w:numPr>
        <w:spacing w:before="30" w:after="30"/>
      </w:pPr>
      <w:r>
        <w:rPr>
          <w:rFonts w:ascii="Arial" w:cs="Arial" w:eastAsia="Arial" w:hAnsi="Arial"/>
          <w:color w:val="2D2D2D"/>
          <w:sz w:val="20"/>
          <w:szCs w:val="20"/>
        </w:rPr>
        <w:t xml:space="preserve">Develop an interactive Power BI dashboard to support operational decision-making.</w:t>
      </w:r>
    </w:p>
    <w:p>
      <w:pPr>
        <w:shd w:fill="1F4E79" w:val="clear"/>
        <w:spacing w:before="200" w:after="100"/>
      </w:pPr>
      <w:r>
        <w:rPr>
          <w:rFonts w:ascii="Arial" w:cs="Arial" w:eastAsia="Arial" w:hAnsi="Arial"/>
          <w:b/>
          <w:bCs/>
          <w:color w:val="FFFFFF"/>
          <w:sz w:val="26"/>
          <w:szCs w:val="26"/>
        </w:rPr>
        <w:t xml:space="preserve">  3.  Data Analytics Project Lifecycle</w:t>
      </w:r>
    </w:p>
    <w:p>
      <w:pPr>
        <w:spacing w:before="60" w:after="60"/>
      </w:pPr>
      <w:r>
        <w:rPr>
          <w:rFonts w:ascii="Arial" w:cs="Arial" w:eastAsia="Arial" w:hAnsi="Arial"/>
          <w:color w:val="2D2D2D"/>
          <w:sz w:val="20"/>
          <w:szCs w:val="20"/>
        </w:rPr>
        <w:t xml:space="preserve">This project followed a complete end-to-end Data Analyst workflow across nine structured phases.</w:t>
      </w:r>
    </w:p>
    <w:p>
      <w:pPr>
        <w:spacing w:before="4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rPr>
          <w:tblHeader/>
        </w:trPr>
        <w:tc>
          <w:tcPr>
            <w:tcW w:type="dxa" w:w="5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Phase</w:t>
            </w:r>
          </w:p>
        </w:tc>
        <w:tc>
          <w:tcPr>
            <w:tcW w:type="dxa" w:w="26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Activity</w:t>
            </w:r>
          </w:p>
        </w:tc>
        <w:tc>
          <w:tcPr>
            <w:tcW w:type="dxa" w:w="62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Key Deliverable</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1</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Requirement Gathering</w:t>
            </w:r>
          </w:p>
        </w:tc>
        <w:tc>
          <w:tcPr>
            <w:tcW w:type="dxa" w:w="6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Business questions, KPI definitions, stakeholder sign-off</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2</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Data Collection</w:t>
            </w:r>
          </w:p>
        </w:tc>
        <w:tc>
          <w:tcPr>
            <w:tcW w:type="dxa" w:w="6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Raw CSV/Excel datasets, field definitions, data dictionary</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3</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Data Transformation &amp; Modelling</w:t>
            </w:r>
          </w:p>
        </w:tc>
        <w:tc>
          <w:tcPr>
            <w:tcW w:type="dxa" w:w="6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Cleaned dataset, star schema, calculated columns</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4</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Visualization Blueprint</w:t>
            </w:r>
          </w:p>
        </w:tc>
        <w:tc>
          <w:tcPr>
            <w:tcW w:type="dxa" w:w="6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Visual mapping of questions to chart types</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5</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Dashboard Layout &amp; Design</w:t>
            </w:r>
          </w:p>
        </w:tc>
        <w:tc>
          <w:tcPr>
            <w:tcW w:type="dxa" w:w="6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Two-page interactive Power BI report</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6</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Interactivity &amp; Navigation</w:t>
            </w:r>
          </w:p>
        </w:tc>
        <w:tc>
          <w:tcPr>
            <w:tcW w:type="dxa" w:w="6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Slicers, drill-downs, dynamic metric toggle</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7</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Testing &amp; Validation</w:t>
            </w:r>
          </w:p>
        </w:tc>
        <w:tc>
          <w:tcPr>
            <w:tcW w:type="dxa" w:w="6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Verified totals, DAX accuracy, filter behaviour</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8</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Sharing &amp; Deployment</w:t>
            </w:r>
          </w:p>
        </w:tc>
        <w:tc>
          <w:tcPr>
            <w:tcW w:type="dxa" w:w="6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Power BI Service publication, role-based access</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9</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Maintenance &amp; Data Refresh</w:t>
            </w:r>
          </w:p>
        </w:tc>
        <w:tc>
          <w:tcPr>
            <w:tcW w:type="dxa" w:w="6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Scheduled refresh, documentation, change log</w:t>
            </w:r>
          </w:p>
        </w:tc>
      </w:tr>
    </w:tbl>
    <w:p>
      <w:pPr>
        <w:shd w:fill="1F4E79" w:val="clear"/>
        <w:spacing w:before="200" w:after="100"/>
      </w:pPr>
      <w:r>
        <w:rPr>
          <w:rFonts w:ascii="Arial" w:cs="Arial" w:eastAsia="Arial" w:hAnsi="Arial"/>
          <w:b/>
          <w:bCs/>
          <w:color w:val="FFFFFF"/>
          <w:sz w:val="26"/>
          <w:szCs w:val="26"/>
        </w:rPr>
        <w:t xml:space="preserve">  4.  Requirement Gathering</w:t>
      </w:r>
    </w:p>
    <w:p>
      <w:pPr>
        <w:spacing w:before="60" w:after="60"/>
      </w:pPr>
      <w:r>
        <w:rPr>
          <w:rFonts w:ascii="Arial" w:cs="Arial" w:eastAsia="Arial" w:hAnsi="Arial"/>
          <w:color w:val="2D2D2D"/>
          <w:sz w:val="20"/>
          <w:szCs w:val="20"/>
        </w:rPr>
        <w:t xml:space="preserve">Business stakeholders were engaged through structured workshops to define the analytical questions the dashboard must answer. Understanding the 'why' behind each metric ensured the solution delivered genuine business value.</w:t>
      </w:r>
    </w:p>
    <w:p>
      <w:pPr>
        <w:spacing w:before="100" w:after="40"/>
      </w:pPr>
      <w:r>
        <w:rPr>
          <w:rFonts w:ascii="Arial" w:cs="Arial" w:eastAsia="Arial" w:hAnsi="Arial"/>
          <w:b/>
          <w:bCs/>
          <w:color w:val="2E75B6"/>
          <w:sz w:val="20"/>
          <w:szCs w:val="20"/>
        </w:rPr>
        <w:t xml:space="preserve">Key Business Questions</w:t>
      </w:r>
    </w:p>
    <w:p>
      <w:pPr>
        <w:pStyle w:val="ListParagraph"/>
        <w:numPr>
          <w:ilvl w:val="0"/>
          <w:numId w:val="2"/>
        </w:numPr>
        <w:spacing w:before="30" w:after="30"/>
      </w:pPr>
      <w:r>
        <w:rPr>
          <w:rFonts w:ascii="Arial" w:cs="Arial" w:eastAsia="Arial" w:hAnsi="Arial"/>
          <w:b w:val="false"/>
          <w:bCs w:val="false"/>
          <w:color w:val="2D2D2D"/>
          <w:sz w:val="20"/>
          <w:szCs w:val="20"/>
        </w:rPr>
        <w:t xml:space="preserve">What is the current total patient wait list size across all case types and specialties?</w:t>
      </w:r>
    </w:p>
    <w:p>
      <w:pPr>
        <w:pStyle w:val="ListParagraph"/>
        <w:numPr>
          <w:ilvl w:val="0"/>
          <w:numId w:val="2"/>
        </w:numPr>
        <w:spacing w:before="30" w:after="30"/>
      </w:pPr>
      <w:r>
        <w:rPr>
          <w:rFonts w:ascii="Arial" w:cs="Arial" w:eastAsia="Arial" w:hAnsi="Arial"/>
          <w:b w:val="false"/>
          <w:bCs w:val="false"/>
          <w:color w:val="2D2D2D"/>
          <w:sz w:val="20"/>
          <w:szCs w:val="20"/>
        </w:rPr>
        <w:t xml:space="preserve">How does the latest month's wait list compare with the same period in the previous year?</w:t>
      </w:r>
    </w:p>
    <w:p>
      <w:pPr>
        <w:pStyle w:val="ListParagraph"/>
        <w:numPr>
          <w:ilvl w:val="0"/>
          <w:numId w:val="2"/>
        </w:numPr>
        <w:spacing w:before="30" w:after="30"/>
      </w:pPr>
      <w:r>
        <w:rPr>
          <w:rFonts w:ascii="Arial" w:cs="Arial" w:eastAsia="Arial" w:hAnsi="Arial"/>
          <w:b w:val="false"/>
          <w:bCs w:val="false"/>
          <w:color w:val="2D2D2D"/>
          <w:sz w:val="20"/>
          <w:szCs w:val="20"/>
        </w:rPr>
        <w:t xml:space="preserve">Which case types contribute most to the overall waiting list?</w:t>
      </w:r>
    </w:p>
    <w:p>
      <w:pPr>
        <w:pStyle w:val="ListParagraph"/>
        <w:numPr>
          <w:ilvl w:val="0"/>
          <w:numId w:val="2"/>
        </w:numPr>
        <w:spacing w:before="30" w:after="30"/>
      </w:pPr>
      <w:r>
        <w:rPr>
          <w:rFonts w:ascii="Arial" w:cs="Arial" w:eastAsia="Arial" w:hAnsi="Arial"/>
          <w:b w:val="false"/>
          <w:bCs w:val="false"/>
          <w:color w:val="2D2D2D"/>
          <w:sz w:val="20"/>
          <w:szCs w:val="20"/>
        </w:rPr>
        <w:t xml:space="preserve">What are the average and median wait times by medical specialty?</w:t>
      </w:r>
    </w:p>
    <w:p>
      <w:pPr>
        <w:pStyle w:val="ListParagraph"/>
        <w:numPr>
          <w:ilvl w:val="0"/>
          <w:numId w:val="2"/>
        </w:numPr>
        <w:spacing w:before="30" w:after="30"/>
      </w:pPr>
      <w:r>
        <w:rPr>
          <w:rFonts w:ascii="Arial" w:cs="Arial" w:eastAsia="Arial" w:hAnsi="Arial"/>
          <w:b w:val="false"/>
          <w:bCs w:val="false"/>
          <w:color w:val="2D2D2D"/>
          <w:sz w:val="20"/>
          <w:szCs w:val="20"/>
        </w:rPr>
        <w:t xml:space="preserve">How are patients distributed across wait time bands (0–3 months through 18+ months)?</w:t>
      </w:r>
    </w:p>
    <w:p>
      <w:pPr>
        <w:pStyle w:val="ListParagraph"/>
        <w:numPr>
          <w:ilvl w:val="0"/>
          <w:numId w:val="2"/>
        </w:numPr>
        <w:spacing w:before="30" w:after="30"/>
      </w:pPr>
      <w:r>
        <w:rPr>
          <w:rFonts w:ascii="Arial" w:cs="Arial" w:eastAsia="Arial" w:hAnsi="Arial"/>
          <w:b w:val="false"/>
          <w:bCs w:val="false"/>
          <w:color w:val="2D2D2D"/>
          <w:sz w:val="20"/>
          <w:szCs w:val="20"/>
        </w:rPr>
        <w:t xml:space="preserve">What are the monthly trends in waiting lists over the analysis period?</w:t>
      </w:r>
    </w:p>
    <w:p>
      <w:pPr>
        <w:pStyle w:val="ListParagraph"/>
        <w:numPr>
          <w:ilvl w:val="0"/>
          <w:numId w:val="2"/>
        </w:numPr>
        <w:spacing w:before="30" w:after="30"/>
      </w:pPr>
      <w:r>
        <w:rPr>
          <w:rFonts w:ascii="Arial" w:cs="Arial" w:eastAsia="Arial" w:hAnsi="Arial"/>
          <w:b w:val="false"/>
          <w:bCs w:val="false"/>
          <w:color w:val="2D2D2D"/>
          <w:sz w:val="20"/>
          <w:szCs w:val="20"/>
        </w:rPr>
        <w:t xml:space="preserve">Which age groups experience longer wait times and where should prioritisation focus?</w:t>
      </w:r>
    </w:p>
    <w:p>
      <w:pPr>
        <w:shd w:fill="1F4E79" w:val="clear"/>
        <w:spacing w:before="200" w:after="100"/>
      </w:pPr>
      <w:r>
        <w:rPr>
          <w:rFonts w:ascii="Arial" w:cs="Arial" w:eastAsia="Arial" w:hAnsi="Arial"/>
          <w:b/>
          <w:bCs/>
          <w:color w:val="FFFFFF"/>
          <w:sz w:val="26"/>
          <w:szCs w:val="26"/>
        </w:rPr>
        <w:t xml:space="preserve">  5.  Data Collection</w:t>
      </w:r>
    </w:p>
    <w:p>
      <w:pPr>
        <w:spacing w:before="60" w:after="60"/>
      </w:pPr>
      <w:r>
        <w:rPr>
          <w:rFonts w:ascii="Arial" w:cs="Arial" w:eastAsia="Arial" w:hAnsi="Arial"/>
          <w:color w:val="2D2D2D"/>
          <w:sz w:val="20"/>
          <w:szCs w:val="20"/>
        </w:rPr>
        <w:t xml:space="preserve">The dataset comprises multi-year historical healthcare records (2018–2021), encompassing 450,000+ records across multiple specialties, case types, and patient demographics.</w:t>
      </w:r>
    </w:p>
    <w:p>
      <w:pPr>
        <w:spacing w:before="4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00"/>
        <w:gridCol w:w="2760"/>
      </w:tblGrid>
      <w:tr>
        <w:trPr>
          <w:tblHeader/>
        </w:trPr>
        <w:tc>
          <w:tcPr>
            <w:tcW w:type="dxa" w:w="21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Field</w:t>
            </w:r>
          </w:p>
        </w:tc>
        <w:tc>
          <w:tcPr>
            <w:tcW w:type="dxa" w:w="45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Description</w:t>
            </w:r>
          </w:p>
        </w:tc>
        <w:tc>
          <w:tcPr>
            <w:tcW w:type="dxa" w:w="27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Data Type</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Archive Date</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Date the record was archived / snapshot captured</w:t>
            </w:r>
          </w:p>
        </w:tc>
        <w:tc>
          <w:tcPr>
            <w:tcW w:type="dxa" w:w="2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Date</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Case Type</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Treatment category: Outpatient, Day Case, or Inpatient</w:t>
            </w:r>
          </w:p>
        </w:tc>
        <w:tc>
          <w:tcPr>
            <w:tcW w:type="dxa" w:w="2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Categorical</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Specialty Name</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Medical specialty associated with the wait list entry</w:t>
            </w:r>
          </w:p>
        </w:tc>
        <w:tc>
          <w:tcPr>
            <w:tcW w:type="dxa" w:w="2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Categorical</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Age Profile</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Patient age group bracket (0–15, 16–64, 65+)</w:t>
            </w:r>
          </w:p>
        </w:tc>
        <w:tc>
          <w:tcPr>
            <w:tcW w:type="dxa" w:w="2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Categorical</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Time Bands</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Waiting time category in month ranges</w:t>
            </w:r>
          </w:p>
        </w:tc>
        <w:tc>
          <w:tcPr>
            <w:tcW w:type="dxa" w:w="2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Categorical</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Wait List Count</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Number of patients in each category</w:t>
            </w:r>
          </w:p>
        </w:tc>
        <w:tc>
          <w:tcPr>
            <w:tcW w:type="dxa" w:w="2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Integer</w:t>
            </w:r>
          </w:p>
        </w:tc>
      </w:tr>
    </w:tbl>
    <w:p>
      <w:pPr>
        <w:spacing w:before="40" w:after="0"/>
      </w:pPr>
      <w:r>
        <w:rPr>
          <w:rFonts w:ascii="Arial" w:cs="Arial" w:eastAsia="Arial" w:hAnsi="Arial"/>
          <w:color w:val="2D2D2D"/>
          <w:sz w:val="20"/>
          <w:szCs w:val="20"/>
        </w:rPr>
        <w:t xml:space="preserve"/>
      </w:r>
    </w:p>
    <w:p>
      <w:pPr>
        <w:spacing w:before="100" w:after="40"/>
      </w:pPr>
      <w:r>
        <w:rPr>
          <w:rFonts w:ascii="Arial" w:cs="Arial" w:eastAsia="Arial" w:hAnsi="Arial"/>
          <w:b/>
          <w:bCs/>
          <w:color w:val="2E75B6"/>
          <w:sz w:val="20"/>
          <w:szCs w:val="20"/>
        </w:rPr>
        <w:t xml:space="preserve">Data Coverage</w:t>
      </w:r>
    </w:p>
    <w:p>
      <w:pPr>
        <w:pStyle w:val="ListParagraph"/>
        <w:numPr>
          <w:ilvl w:val="0"/>
          <w:numId w:val="2"/>
        </w:numPr>
        <w:spacing w:before="30" w:after="30"/>
      </w:pPr>
      <w:r>
        <w:rPr>
          <w:rFonts w:ascii="Arial" w:cs="Arial" w:eastAsia="Arial" w:hAnsi="Arial"/>
          <w:b w:val="false"/>
          <w:bCs w:val="false"/>
          <w:color w:val="2D2D2D"/>
          <w:sz w:val="20"/>
          <w:szCs w:val="20"/>
        </w:rPr>
        <w:t xml:space="preserve">Time Period: January 2018 to March 2021</w:t>
      </w:r>
    </w:p>
    <w:p>
      <w:pPr>
        <w:pStyle w:val="ListParagraph"/>
        <w:numPr>
          <w:ilvl w:val="0"/>
          <w:numId w:val="2"/>
        </w:numPr>
        <w:spacing w:before="30" w:after="30"/>
      </w:pPr>
      <w:r>
        <w:rPr>
          <w:rFonts w:ascii="Arial" w:cs="Arial" w:eastAsia="Arial" w:hAnsi="Arial"/>
          <w:b w:val="false"/>
          <w:bCs w:val="false"/>
          <w:color w:val="2D2D2D"/>
          <w:sz w:val="20"/>
          <w:szCs w:val="20"/>
        </w:rPr>
        <w:t xml:space="preserve">Specialties Covered: 30+ including Orthopaedics, Dermatology, ENT, Paediatrics, Emergency Medicine</w:t>
      </w:r>
    </w:p>
    <w:p>
      <w:pPr>
        <w:pStyle w:val="ListParagraph"/>
        <w:numPr>
          <w:ilvl w:val="0"/>
          <w:numId w:val="2"/>
        </w:numPr>
        <w:spacing w:before="30" w:after="30"/>
      </w:pPr>
      <w:r>
        <w:rPr>
          <w:rFonts w:ascii="Arial" w:cs="Arial" w:eastAsia="Arial" w:hAnsi="Arial"/>
          <w:b w:val="false"/>
          <w:bCs w:val="false"/>
          <w:color w:val="2D2D2D"/>
          <w:sz w:val="20"/>
          <w:szCs w:val="20"/>
        </w:rPr>
        <w:t xml:space="preserve">Record Volume: 450,000+ individual patient wait list records</w:t>
      </w:r>
    </w:p>
    <w:p>
      <w:pPr>
        <w:shd w:fill="1F4E79" w:val="clear"/>
        <w:spacing w:before="200" w:after="100"/>
      </w:pPr>
      <w:r>
        <w:rPr>
          <w:rFonts w:ascii="Arial" w:cs="Arial" w:eastAsia="Arial" w:hAnsi="Arial"/>
          <w:b/>
          <w:bCs/>
          <w:color w:val="FFFFFF"/>
          <w:sz w:val="26"/>
          <w:szCs w:val="26"/>
        </w:rPr>
        <w:t xml:space="preserve">  6.  Data Transformation &amp; Data Modelling</w:t>
      </w:r>
    </w:p>
    <w:p>
      <w:pPr>
        <w:spacing w:before="60" w:after="60"/>
      </w:pPr>
      <w:r>
        <w:rPr>
          <w:rFonts w:ascii="Arial" w:cs="Arial" w:eastAsia="Arial" w:hAnsi="Arial"/>
          <w:color w:val="2D2D2D"/>
          <w:sz w:val="20"/>
          <w:szCs w:val="20"/>
        </w:rPr>
        <w:t xml:space="preserve">Raw data was processed through Power Query and structured into a star schema Data Model. This phase is critical to ensuring data integrity, query performance, and dashboard reliability.</w:t>
      </w:r>
    </w:p>
    <w:p>
      <w:pPr>
        <w:spacing w:before="100" w:after="40"/>
      </w:pPr>
      <w:r>
        <w:rPr>
          <w:rFonts w:ascii="Arial" w:cs="Arial" w:eastAsia="Arial" w:hAnsi="Arial"/>
          <w:b/>
          <w:bCs/>
          <w:color w:val="2E75B6"/>
          <w:sz w:val="20"/>
          <w:szCs w:val="20"/>
        </w:rPr>
        <w:t xml:space="preserve">Data Cleaning Steps</w:t>
      </w:r>
    </w:p>
    <w:p>
      <w:pPr>
        <w:pStyle w:val="ListParagraph"/>
        <w:numPr>
          <w:ilvl w:val="0"/>
          <w:numId w:val="2"/>
        </w:numPr>
        <w:spacing w:before="30" w:after="30"/>
      </w:pPr>
      <w:r>
        <w:rPr>
          <w:rFonts w:ascii="Arial" w:cs="Arial" w:eastAsia="Arial" w:hAnsi="Arial"/>
          <w:b w:val="false"/>
          <w:bCs w:val="false"/>
          <w:color w:val="2D2D2D"/>
          <w:sz w:val="20"/>
          <w:szCs w:val="20"/>
        </w:rPr>
        <w:t xml:space="preserve">Removed duplicate records to prevent double-counting in aggregations.</w:t>
      </w:r>
    </w:p>
    <w:p>
      <w:pPr>
        <w:pStyle w:val="ListParagraph"/>
        <w:numPr>
          <w:ilvl w:val="0"/>
          <w:numId w:val="2"/>
        </w:numPr>
        <w:spacing w:before="30" w:after="30"/>
      </w:pPr>
      <w:r>
        <w:rPr>
          <w:rFonts w:ascii="Arial" w:cs="Arial" w:eastAsia="Arial" w:hAnsi="Arial"/>
          <w:b w:val="false"/>
          <w:bCs w:val="false"/>
          <w:color w:val="2D2D2D"/>
          <w:sz w:val="20"/>
          <w:szCs w:val="20"/>
        </w:rPr>
        <w:t xml:space="preserve">Standardised column names for consistency across data sources.</w:t>
      </w:r>
    </w:p>
    <w:p>
      <w:pPr>
        <w:pStyle w:val="ListParagraph"/>
        <w:numPr>
          <w:ilvl w:val="0"/>
          <w:numId w:val="2"/>
        </w:numPr>
        <w:spacing w:before="30" w:after="30"/>
      </w:pPr>
      <w:r>
        <w:rPr>
          <w:rFonts w:ascii="Arial" w:cs="Arial" w:eastAsia="Arial" w:hAnsi="Arial"/>
          <w:b w:val="false"/>
          <w:bCs w:val="false"/>
          <w:color w:val="2D2D2D"/>
          <w:sz w:val="20"/>
          <w:szCs w:val="20"/>
        </w:rPr>
        <w:t xml:space="preserve">Corrected date formats and ensured consistent parsing across all time fields.</w:t>
      </w:r>
    </w:p>
    <w:p>
      <w:pPr>
        <w:pStyle w:val="ListParagraph"/>
        <w:numPr>
          <w:ilvl w:val="0"/>
          <w:numId w:val="2"/>
        </w:numPr>
        <w:spacing w:before="30" w:after="30"/>
      </w:pPr>
      <w:r>
        <w:rPr>
          <w:rFonts w:ascii="Arial" w:cs="Arial" w:eastAsia="Arial" w:hAnsi="Arial"/>
          <w:b w:val="false"/>
          <w:bCs w:val="false"/>
          <w:color w:val="2D2D2D"/>
          <w:sz w:val="20"/>
          <w:szCs w:val="20"/>
        </w:rPr>
        <w:t xml:space="preserve">Handled missing values through appropriate imputation or exclusion strategies.</w:t>
      </w:r>
    </w:p>
    <w:p>
      <w:pPr>
        <w:pStyle w:val="ListParagraph"/>
        <w:numPr>
          <w:ilvl w:val="0"/>
          <w:numId w:val="2"/>
        </w:numPr>
        <w:spacing w:before="30" w:after="30"/>
      </w:pPr>
      <w:r>
        <w:rPr>
          <w:rFonts w:ascii="Arial" w:cs="Arial" w:eastAsia="Arial" w:hAnsi="Arial"/>
          <w:b w:val="false"/>
          <w:bCs w:val="false"/>
          <w:color w:val="2D2D2D"/>
          <w:sz w:val="20"/>
          <w:szCs w:val="20"/>
        </w:rPr>
        <w:t xml:space="preserve">Categorised waiting periods into standardised Time Band buckets.</w:t>
      </w:r>
    </w:p>
    <w:p>
      <w:pPr>
        <w:spacing w:before="6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Time Band</w:t>
            </w:r>
          </w:p>
        </w:tc>
        <w:tc>
          <w:tcPr>
            <w:tcW w:type="dxa" w:w="69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Definition</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0–3 Months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Waiting period up to 3 months from referral</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3–6 Months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3 to 6 months</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6–9 Months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6 to 9 months</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9–12 Months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9 to 12 months</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12–15 Months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12 to 15 months</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15–18 Months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15 to 18 months</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18+ Months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Long-term backlog cases exceeding 18 months</w:t>
            </w:r>
          </w:p>
        </w:tc>
      </w:tr>
    </w:tbl>
    <w:p>
      <w:pPr>
        <w:spacing w:before="60" w:after="0"/>
      </w:pPr>
      <w:r>
        <w:rPr>
          <w:rFonts w:ascii="Arial" w:cs="Arial" w:eastAsia="Arial" w:hAnsi="Arial"/>
          <w:color w:val="2D2D2D"/>
          <w:sz w:val="20"/>
          <w:szCs w:val="20"/>
        </w:rPr>
        <w:t xml:space="preserve"/>
      </w:r>
    </w:p>
    <w:p>
      <w:pPr>
        <w:spacing w:before="100" w:after="40"/>
      </w:pPr>
      <w:r>
        <w:rPr>
          <w:rFonts w:ascii="Arial" w:cs="Arial" w:eastAsia="Arial" w:hAnsi="Arial"/>
          <w:b/>
          <w:bCs/>
          <w:color w:val="2E75B6"/>
          <w:sz w:val="20"/>
          <w:szCs w:val="20"/>
        </w:rPr>
        <w:t xml:space="preserve">Star Schema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Table Type</w:t>
            </w:r>
          </w:p>
        </w:tc>
        <w:tc>
          <w:tcPr>
            <w:tcW w:type="dxa" w:w="27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Table Name</w:t>
            </w:r>
          </w:p>
        </w:tc>
        <w:tc>
          <w:tcPr>
            <w:tcW w:type="dxa" w:w="48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Purpose</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Fact Table</w:t>
            </w:r>
          </w:p>
        </w:tc>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Patient Wait List Records</w:t>
            </w:r>
          </w:p>
        </w:tc>
        <w:tc>
          <w:tcPr>
            <w:tcW w:type="dxa" w:w="4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Central fact table storing all measurable wait list data</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Dimension Table</w:t>
            </w:r>
          </w:p>
        </w:tc>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Date</w:t>
            </w:r>
          </w:p>
        </w:tc>
        <w:tc>
          <w:tcPr>
            <w:tcW w:type="dxa" w:w="4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Enables time intelligence calculations and trend analysis</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Dimension Table</w:t>
            </w:r>
          </w:p>
        </w:tc>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Case Type</w:t>
            </w:r>
          </w:p>
        </w:tc>
        <w:tc>
          <w:tcPr>
            <w:tcW w:type="dxa" w:w="4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Categorises records by Outpatient, Day Case, Inpatient</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Dimension Table</w:t>
            </w:r>
          </w:p>
        </w:tc>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Specialty</w:t>
            </w:r>
          </w:p>
        </w:tc>
        <w:tc>
          <w:tcPr>
            <w:tcW w:type="dxa" w:w="4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Medical specialty names for filtering</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Dimension Table</w:t>
            </w:r>
          </w:p>
        </w:tc>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Age Profile</w:t>
            </w:r>
          </w:p>
        </w:tc>
        <w:tc>
          <w:tcPr>
            <w:tcW w:type="dxa" w:w="4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Patient age group brackets for demographic analysis</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Dimension Table</w:t>
            </w:r>
          </w:p>
        </w:tc>
        <w:tc>
          <w:tcPr>
            <w:tcW w:type="dxa" w:w="27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Time Bands</w:t>
            </w:r>
          </w:p>
        </w:tc>
        <w:tc>
          <w:tcPr>
            <w:tcW w:type="dxa" w:w="4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Wait time categories for distribution analysis</w:t>
            </w:r>
          </w:p>
        </w:tc>
      </w:tr>
    </w:tbl>
    <w:p>
      <w:r>
        <w:br w:type="page"/>
      </w:r>
    </w:p>
    <w:p>
      <w:pPr>
        <w:shd w:fill="1F4E79" w:val="clear"/>
        <w:spacing w:before="200" w:after="100"/>
      </w:pPr>
      <w:r>
        <w:rPr>
          <w:rFonts w:ascii="Arial" w:cs="Arial" w:eastAsia="Arial" w:hAnsi="Arial"/>
          <w:b/>
          <w:bCs/>
          <w:color w:val="FFFFFF"/>
          <w:sz w:val="26"/>
          <w:szCs w:val="26"/>
        </w:rPr>
        <w:t xml:space="preserve">  7.  Key Metrics &amp; DAX Measures</w:t>
      </w:r>
    </w:p>
    <w:p>
      <w:pPr>
        <w:spacing w:before="60" w:after="60"/>
      </w:pPr>
      <w:r>
        <w:rPr>
          <w:rFonts w:ascii="Arial" w:cs="Arial" w:eastAsia="Arial" w:hAnsi="Arial"/>
          <w:color w:val="2D2D2D"/>
          <w:sz w:val="20"/>
          <w:szCs w:val="20"/>
        </w:rPr>
        <w:t xml:space="preserve">All key performance metrics were built in DAX, designed to be reusable, performant, and dynamically responsive to filter context.</w:t>
      </w:r>
    </w:p>
    <w:p>
      <w:pPr>
        <w:spacing w:before="4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66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Measure</w:t>
            </w:r>
          </w:p>
        </w:tc>
        <w:tc>
          <w:tcPr>
            <w:tcW w:type="dxa" w:w="38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DAX Formula</w:t>
            </w:r>
          </w:p>
        </w:tc>
        <w:tc>
          <w:tcPr>
            <w:tcW w:type="dxa" w:w="36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Business Purpose</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Total Wait List</w:t>
            </w:r>
          </w:p>
        </w:tc>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SUM(Wait_List_Count)</w:t>
            </w:r>
          </w:p>
        </w:tc>
        <w:tc>
          <w:tcPr>
            <w:tcW w:type="dxa" w:w="36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Total patients currently on the waiting list</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Average Wait List</w:t>
            </w:r>
          </w:p>
        </w:tc>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AVERAGE(Wait_List_Count)</w:t>
            </w:r>
          </w:p>
        </w:tc>
        <w:tc>
          <w:tcPr>
            <w:tcW w:type="dxa" w:w="36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Average patient volume per category</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Median Wait List</w:t>
            </w:r>
          </w:p>
        </w:tc>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MEDIAN(Wait_List_Count)</w:t>
            </w:r>
          </w:p>
        </w:tc>
        <w:tc>
          <w:tcPr>
            <w:tcW w:type="dxa" w:w="36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Robust central tendency, less skewed by outliers</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PY Wait List</w:t>
            </w:r>
          </w:p>
        </w:tc>
        <w:tc>
          <w:tcPr>
            <w:tcW w:type="dxa" w:w="3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CALCULATE([Total Wait List], SAMEPERIODLASTYEAR(Date[Date]))</w:t>
            </w:r>
          </w:p>
        </w:tc>
        <w:tc>
          <w:tcPr>
            <w:tcW w:type="dxa" w:w="36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Prior year comparison for YoY analysis</w:t>
            </w:r>
          </w:p>
        </w:tc>
      </w:tr>
    </w:tbl>
    <w:p>
      <w:pPr>
        <w:spacing w:before="40" w:after="0"/>
      </w:pPr>
      <w:r>
        <w:rPr>
          <w:rFonts w:ascii="Arial" w:cs="Arial" w:eastAsia="Arial" w:hAnsi="Arial"/>
          <w:color w:val="2D2D2D"/>
          <w:sz w:val="20"/>
          <w:szCs w:val="20"/>
        </w:rPr>
        <w:t xml:space="preserve"/>
      </w:r>
    </w:p>
    <w:p>
      <w:pPr>
        <w:spacing w:before="60" w:after="60"/>
      </w:pPr>
      <w:r>
        <w:rPr>
          <w:rFonts w:ascii="Arial" w:cs="Arial" w:eastAsia="Arial" w:hAnsi="Arial"/>
          <w:color w:val="2D2D2D"/>
          <w:sz w:val="20"/>
          <w:szCs w:val="20"/>
        </w:rPr>
        <w:t xml:space="preserve">A dynamic What-If Parameter and SWITCH() function enable users to toggle between Average and Median across all visuals simultaneously.</w:t>
      </w:r>
    </w:p>
    <w:p>
      <w:pPr>
        <w:shd w:fill="1F4E79" w:val="clear"/>
        <w:spacing w:before="200" w:after="100"/>
      </w:pPr>
      <w:r>
        <w:rPr>
          <w:rFonts w:ascii="Arial" w:cs="Arial" w:eastAsia="Arial" w:hAnsi="Arial"/>
          <w:b/>
          <w:bCs/>
          <w:color w:val="FFFFFF"/>
          <w:sz w:val="26"/>
          <w:szCs w:val="26"/>
        </w:rPr>
        <w:t xml:space="preserve">  8.  Data Visualization Blueprint</w:t>
      </w:r>
    </w:p>
    <w:p>
      <w:pPr>
        <w:spacing w:before="60" w:after="60"/>
      </w:pPr>
      <w:r>
        <w:rPr>
          <w:rFonts w:ascii="Arial" w:cs="Arial" w:eastAsia="Arial" w:hAnsi="Arial"/>
          <w:color w:val="2D2D2D"/>
          <w:sz w:val="20"/>
          <w:szCs w:val="20"/>
        </w:rPr>
        <w:t xml:space="preserve">Each business question was mapped to the most appropriate chart type before any visual was built, ensuring design decisions are driven by communication clarity.</w:t>
      </w:r>
    </w:p>
    <w:p>
      <w:pPr>
        <w:spacing w:before="4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Business Question</w:t>
            </w:r>
          </w:p>
        </w:tc>
        <w:tc>
          <w:tcPr>
            <w:tcW w:type="dxa" w:w="19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Visualization</w:t>
            </w:r>
          </w:p>
        </w:tc>
        <w:tc>
          <w:tcPr>
            <w:tcW w:type="dxa" w:w="50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Rationale</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Current wait list size?</w:t>
            </w:r>
          </w:p>
        </w:tc>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KPI Card</w:t>
            </w:r>
          </w:p>
        </w:tc>
        <w:tc>
          <w:tcPr>
            <w:tcW w:type="dxa" w:w="50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Scannable at a glance</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Year-over-year comparison?</w:t>
            </w:r>
          </w:p>
        </w:tc>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KPI Comparison Card</w:t>
            </w:r>
          </w:p>
        </w:tc>
        <w:tc>
          <w:tcPr>
            <w:tcW w:type="dxa" w:w="50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Contextualises current vs prior period</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Case type distribution?</w:t>
            </w:r>
          </w:p>
        </w:tc>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Donut Chart</w:t>
            </w:r>
          </w:p>
        </w:tc>
        <w:tc>
          <w:tcPr>
            <w:tcW w:type="dxa" w:w="50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Proportional breakdown across 3 categories</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Wait time band distribution?</w:t>
            </w:r>
          </w:p>
        </w:tc>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Stacked Bar Chart</w:t>
            </w:r>
          </w:p>
        </w:tc>
        <w:tc>
          <w:tcPr>
            <w:tcW w:type="dxa" w:w="50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Multi-category comparison across time bands</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Specialty-level performance?</w:t>
            </w:r>
          </w:p>
        </w:tc>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Ranked Bar / Table</w:t>
            </w:r>
          </w:p>
        </w:tc>
        <w:tc>
          <w:tcPr>
            <w:tcW w:type="dxa" w:w="50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Identifies highest-pressure specialties</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Monthly trends?</w:t>
            </w:r>
          </w:p>
        </w:tc>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Line Chart</w:t>
            </w:r>
          </w:p>
        </w:tc>
        <w:tc>
          <w:tcPr>
            <w:tcW w:type="dxa" w:w="50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Reveals directional trends and patterns</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Granular breakdown?</w:t>
            </w:r>
          </w:p>
        </w:tc>
        <w:tc>
          <w:tcPr>
            <w:tcW w:type="dxa" w:w="1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Matrix Table</w:t>
            </w:r>
          </w:p>
        </w:tc>
        <w:tc>
          <w:tcPr>
            <w:tcW w:type="dxa" w:w="50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Drill-down with multi-dimensional slicing</w:t>
            </w:r>
          </w:p>
        </w:tc>
      </w:tr>
    </w:tbl>
    <w:p>
      <w:pPr>
        <w:shd w:fill="1F4E79" w:val="clear"/>
        <w:spacing w:before="200" w:after="100"/>
      </w:pPr>
      <w:r>
        <w:rPr>
          <w:rFonts w:ascii="Arial" w:cs="Arial" w:eastAsia="Arial" w:hAnsi="Arial"/>
          <w:b/>
          <w:bCs/>
          <w:color w:val="FFFFFF"/>
          <w:sz w:val="26"/>
          <w:szCs w:val="26"/>
        </w:rPr>
        <w:t xml:space="preserve">  9.  Dashboard Layout &amp; Design</w:t>
      </w:r>
    </w:p>
    <w:p>
      <w:pPr>
        <w:pBdr>
          <w:bottom w:val="single" w:color="2E75B6" w:sz="4" w:space="1"/>
        </w:pBdr>
        <w:spacing w:before="140" w:after="60"/>
      </w:pPr>
      <w:r>
        <w:rPr>
          <w:rFonts w:ascii="Arial" w:cs="Arial" w:eastAsia="Arial" w:hAnsi="Arial"/>
          <w:b/>
          <w:bCs/>
          <w:color w:val="1F4E79"/>
          <w:sz w:val="22"/>
          <w:szCs w:val="22"/>
        </w:rPr>
        <w:t xml:space="preserve">Page 1 — Executive Overview</w:t>
      </w:r>
    </w:p>
    <w:p>
      <w:pPr>
        <w:spacing w:before="60" w:after="60"/>
      </w:pPr>
      <w:r>
        <w:rPr>
          <w:rFonts w:ascii="Arial" w:cs="Arial" w:eastAsia="Arial" w:hAnsi="Arial"/>
          <w:color w:val="2D2D2D"/>
          <w:sz w:val="20"/>
          <w:szCs w:val="20"/>
        </w:rPr>
        <w:t xml:space="preserve">Designed for healthcare leadership and operations managers. Provides high-level scannable insights with drill-down capability.</w:t>
      </w:r>
    </w:p>
    <w:p>
      <w:pPr>
        <w:spacing w:before="4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2E75B6" w:sz="6"/>
              <w:left w:val="none" w:color="FFFFFF" w:sz="0"/>
              <w:bottom w:val="single" w:color="2E75B6" w:sz="6"/>
              <w:right w:val="single" w:color="CCCCCC" w:sz="1"/>
            </w:tcBorders>
            <w:shd w:fill="D6E4F0" w:val="clear"/>
            <w:tcMar>
              <w:top w:type="dxa" w:w="80"/>
              <w:left w:type="dxa" w:w="160"/>
              <w:bottom w:type="dxa" w:w="80"/>
              <w:right w:type="dxa" w:w="160"/>
            </w:tcMar>
          </w:tcPr>
          <w:p>
            <w:pPr>
              <w:spacing w:before="0" w:after="0"/>
              <w:jc w:val="center"/>
            </w:pPr>
            <w:r>
              <w:rPr>
                <w:rFonts w:ascii="Arial" w:cs="Arial" w:eastAsia="Arial" w:hAnsi="Arial"/>
                <w:b/>
                <w:bCs/>
                <w:color w:val="1F4E79"/>
                <w:sz w:val="34"/>
                <w:szCs w:val="34"/>
              </w:rPr>
              <w:t xml:space="preserve">709K</w:t>
            </w:r>
          </w:p>
          <w:p>
            <w:pPr>
              <w:spacing w:before="0" w:after="0"/>
              <w:jc w:val="center"/>
            </w:pPr>
            <w:r>
              <w:rPr>
                <w:rFonts w:ascii="Arial" w:cs="Arial" w:eastAsia="Arial" w:hAnsi="Arial"/>
                <w:b/>
                <w:bCs/>
                <w:color w:val="2D2D2D"/>
                <w:sz w:val="17"/>
                <w:szCs w:val="17"/>
              </w:rPr>
              <w:t xml:space="preserve">Latest Month Wait List</w:t>
            </w:r>
          </w:p>
          <w:p>
            <w:pPr>
              <w:spacing w:before="0" w:after="0"/>
              <w:jc w:val="center"/>
            </w:pPr>
            <w:r>
              <w:rPr>
                <w:rFonts w:ascii="Arial" w:cs="Arial" w:eastAsia="Arial" w:hAnsi="Arial"/>
                <w:i/>
                <w:iCs/>
                <w:color w:val="888888"/>
                <w:sz w:val="16"/>
                <w:szCs w:val="16"/>
              </w:rPr>
              <w:t xml:space="preserve">March 2021</w:t>
            </w:r>
          </w:p>
        </w:tc>
        <w:tc>
          <w:tcPr>
            <w:tcBorders>
              <w:top w:val="single" w:color="2E75B6" w:sz="6"/>
              <w:left w:val="none" w:color="FFFFFF" w:sz="0"/>
              <w:bottom w:val="single" w:color="2E75B6" w:sz="6"/>
              <w:right w:val="single" w:color="CCCCCC" w:sz="1"/>
            </w:tcBorders>
            <w:shd w:fill="D6E4F0" w:val="clear"/>
            <w:tcMar>
              <w:top w:type="dxa" w:w="80"/>
              <w:left w:type="dxa" w:w="160"/>
              <w:bottom w:type="dxa" w:w="80"/>
              <w:right w:type="dxa" w:w="160"/>
            </w:tcMar>
          </w:tcPr>
          <w:p>
            <w:pPr>
              <w:spacing w:before="0" w:after="0"/>
              <w:jc w:val="center"/>
            </w:pPr>
            <w:r>
              <w:rPr>
                <w:rFonts w:ascii="Arial" w:cs="Arial" w:eastAsia="Arial" w:hAnsi="Arial"/>
                <w:b/>
                <w:bCs/>
                <w:color w:val="1F4E79"/>
                <w:sz w:val="34"/>
                <w:szCs w:val="34"/>
              </w:rPr>
              <w:t xml:space="preserve">640K</w:t>
            </w:r>
          </w:p>
          <w:p>
            <w:pPr>
              <w:spacing w:before="0" w:after="0"/>
              <w:jc w:val="center"/>
            </w:pPr>
            <w:r>
              <w:rPr>
                <w:rFonts w:ascii="Arial" w:cs="Arial" w:eastAsia="Arial" w:hAnsi="Arial"/>
                <w:b/>
                <w:bCs/>
                <w:color w:val="2D2D2D"/>
                <w:sz w:val="17"/>
                <w:szCs w:val="17"/>
              </w:rPr>
              <w:t xml:space="preserve">Previous Year</w:t>
            </w:r>
          </w:p>
          <w:p>
            <w:pPr>
              <w:spacing w:before="0" w:after="0"/>
              <w:jc w:val="center"/>
            </w:pPr>
            <w:r>
              <w:rPr>
                <w:rFonts w:ascii="Arial" w:cs="Arial" w:eastAsia="Arial" w:hAnsi="Arial"/>
                <w:i/>
                <w:iCs/>
                <w:color w:val="888888"/>
                <w:sz w:val="16"/>
                <w:szCs w:val="16"/>
              </w:rPr>
              <w:t xml:space="preserve">March 2020</w:t>
            </w:r>
          </w:p>
        </w:tc>
        <w:tc>
          <w:tcPr>
            <w:tcBorders>
              <w:top w:val="single" w:color="2E75B6" w:sz="6"/>
              <w:left w:val="none" w:color="FFFFFF" w:sz="0"/>
              <w:bottom w:val="single" w:color="2E75B6" w:sz="6"/>
              <w:right w:val="single" w:color="CCCCCC" w:sz="1"/>
            </w:tcBorders>
            <w:shd w:fill="D6E4F0" w:val="clear"/>
            <w:tcMar>
              <w:top w:type="dxa" w:w="80"/>
              <w:left w:type="dxa" w:w="160"/>
              <w:bottom w:type="dxa" w:w="80"/>
              <w:right w:type="dxa" w:w="160"/>
            </w:tcMar>
          </w:tcPr>
          <w:p>
            <w:pPr>
              <w:spacing w:before="0" w:after="0"/>
              <w:jc w:val="center"/>
            </w:pPr>
            <w:r>
              <w:rPr>
                <w:rFonts w:ascii="Arial" w:cs="Arial" w:eastAsia="Arial" w:hAnsi="Arial"/>
                <w:b/>
                <w:bCs/>
                <w:color w:val="1F4E79"/>
                <w:sz w:val="34"/>
                <w:szCs w:val="34"/>
              </w:rPr>
              <w:t xml:space="preserve">+10.7%</w:t>
            </w:r>
          </w:p>
          <w:p>
            <w:pPr>
              <w:spacing w:before="0" w:after="0"/>
              <w:jc w:val="center"/>
            </w:pPr>
            <w:r>
              <w:rPr>
                <w:rFonts w:ascii="Arial" w:cs="Arial" w:eastAsia="Arial" w:hAnsi="Arial"/>
                <w:b/>
                <w:bCs/>
                <w:color w:val="2D2D2D"/>
                <w:sz w:val="17"/>
                <w:szCs w:val="17"/>
              </w:rPr>
              <w:t xml:space="preserve">YoY Change</w:t>
            </w:r>
          </w:p>
          <w:p>
            <w:pPr>
              <w:spacing w:before="0" w:after="0"/>
              <w:jc w:val="center"/>
            </w:pPr>
            <w:r>
              <w:rPr>
                <w:rFonts w:ascii="Arial" w:cs="Arial" w:eastAsia="Arial" w:hAnsi="Arial"/>
                <w:i/>
                <w:iCs/>
                <w:color w:val="888888"/>
                <w:sz w:val="16"/>
                <w:szCs w:val="16"/>
              </w:rPr>
              <w:t xml:space="preserve">Backlog is growing</w:t>
            </w:r>
          </w:p>
        </w:tc>
      </w:tr>
    </w:tbl>
    <w:p>
      <w:pPr>
        <w:spacing w:before="60" w:after="0"/>
      </w:pPr>
      <w:r>
        <w:rPr>
          <w:rFonts w:ascii="Arial" w:cs="Arial" w:eastAsia="Arial" w:hAnsi="Arial"/>
          <w:color w:val="2D2D2D"/>
          <w:sz w:val="20"/>
          <w:szCs w:val="20"/>
        </w:rPr>
        <w:t xml:space="preserve"/>
      </w:r>
    </w:p>
    <w:p>
      <w:pPr>
        <w:spacing w:before="100" w:after="40"/>
      </w:pPr>
      <w:r>
        <w:rPr>
          <w:rFonts w:ascii="Arial" w:cs="Arial" w:eastAsia="Arial" w:hAnsi="Arial"/>
          <w:b/>
          <w:bCs/>
          <w:color w:val="2E75B6"/>
          <w:sz w:val="20"/>
          <w:szCs w:val="20"/>
        </w:rPr>
        <w:t xml:space="preserve">Case Type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Case Type</w:t>
            </w:r>
          </w:p>
        </w:tc>
        <w:tc>
          <w:tcPr>
            <w:tcW w:type="dxa" w:w="30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Patient Count</w:t>
            </w:r>
          </w:p>
        </w:tc>
        <w:tc>
          <w:tcPr>
            <w:tcW w:type="dxa" w:w="33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Share</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Outpatient</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628,756</w:t>
            </w:r>
          </w:p>
        </w:tc>
        <w:tc>
          <w:tcPr>
            <w:tcW w:type="dxa" w:w="3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~89%</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Day Case</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57,631</w:t>
            </w:r>
          </w:p>
        </w:tc>
        <w:tc>
          <w:tcPr>
            <w:tcW w:type="dxa" w:w="3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~8%</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Inpatient</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22,342</w:t>
            </w:r>
          </w:p>
        </w:tc>
        <w:tc>
          <w:tcPr>
            <w:tcW w:type="dxa" w:w="3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~3%</w:t>
            </w:r>
          </w:p>
        </w:tc>
      </w:tr>
    </w:tbl>
    <w:p>
      <w:pPr>
        <w:spacing w:before="40" w:after="0"/>
      </w:pPr>
      <w:r>
        <w:rPr>
          <w:rFonts w:ascii="Arial" w:cs="Arial" w:eastAsia="Arial" w:hAnsi="Arial"/>
          <w:color w:val="2D2D2D"/>
          <w:sz w:val="20"/>
          <w:szCs w:val="20"/>
        </w:rPr>
        <w:t xml:space="preserve"/>
      </w:r>
    </w:p>
    <w:p>
      <w:pPr>
        <w:spacing w:before="60" w:after="60"/>
      </w:pPr>
      <w:r>
        <w:rPr>
          <w:rFonts w:ascii="Arial" w:cs="Arial" w:eastAsia="Arial" w:hAnsi="Arial"/>
          <w:color w:val="2D2D2D"/>
          <w:sz w:val="20"/>
          <w:szCs w:val="20"/>
        </w:rPr>
        <w:t xml:space="preserve">Outpatient services dominate the wait list. Consultations and diagnostic appointments are the primary system bottleneck, accounting for nearly 9 in every 10 waiting patients.</w:t>
      </w:r>
    </w:p>
    <w:p>
      <w:pPr>
        <w:spacing w:before="40" w:after="0"/>
      </w:pPr>
      <w:r>
        <w:rPr>
          <w:rFonts w:ascii="Arial" w:cs="Arial" w:eastAsia="Arial" w:hAnsi="Arial"/>
          <w:color w:val="2D2D2D"/>
          <w:sz w:val="20"/>
          <w:szCs w:val="20"/>
        </w:rPr>
        <w:t xml:space="preserve"/>
      </w:r>
    </w:p>
    <w:p>
      <w:pPr>
        <w:spacing w:before="100" w:after="40"/>
      </w:pPr>
      <w:r>
        <w:rPr>
          <w:rFonts w:ascii="Arial" w:cs="Arial" w:eastAsia="Arial" w:hAnsi="Arial"/>
          <w:b/>
          <w:bCs/>
          <w:color w:val="2E75B6"/>
          <w:sz w:val="20"/>
          <w:szCs w:val="20"/>
        </w:rPr>
        <w:t xml:space="preserve">Wait List by Time Band &amp; Age Profile</w:t>
      </w:r>
    </w:p>
    <w:p>
      <w:pPr>
        <w:pStyle w:val="ListParagraph"/>
        <w:numPr>
          <w:ilvl w:val="0"/>
          <w:numId w:val="2"/>
        </w:numPr>
        <w:spacing w:before="30" w:after="30"/>
      </w:pPr>
      <w:r>
        <w:rPr>
          <w:rFonts w:ascii="Arial" w:cs="Arial" w:eastAsia="Arial" w:hAnsi="Arial"/>
          <w:b w:val="false"/>
          <w:bCs w:val="false"/>
          <w:color w:val="2D2D2D"/>
          <w:sz w:val="20"/>
          <w:szCs w:val="20"/>
        </w:rPr>
        <w:t xml:space="preserve">0–15 years — Paediatric segment</w:t>
      </w:r>
    </w:p>
    <w:p>
      <w:pPr>
        <w:pStyle w:val="ListParagraph"/>
        <w:numPr>
          <w:ilvl w:val="0"/>
          <w:numId w:val="2"/>
        </w:numPr>
        <w:spacing w:before="30" w:after="30"/>
      </w:pPr>
      <w:r>
        <w:rPr>
          <w:rFonts w:ascii="Arial" w:cs="Arial" w:eastAsia="Arial" w:hAnsi="Arial"/>
          <w:b w:val="false"/>
          <w:bCs w:val="false"/>
          <w:color w:val="2D2D2D"/>
          <w:sz w:val="20"/>
          <w:szCs w:val="20"/>
        </w:rPr>
        <w:t xml:space="preserve">16–64 years — Working-age population, highest patient volume</w:t>
      </w:r>
    </w:p>
    <w:p>
      <w:pPr>
        <w:pStyle w:val="ListParagraph"/>
        <w:numPr>
          <w:ilvl w:val="0"/>
          <w:numId w:val="2"/>
        </w:numPr>
        <w:spacing w:before="30" w:after="30"/>
      </w:pPr>
      <w:r>
        <w:rPr>
          <w:rFonts w:ascii="Arial" w:cs="Arial" w:eastAsia="Arial" w:hAnsi="Arial"/>
          <w:b w:val="false"/>
          <w:bCs w:val="false"/>
          <w:color w:val="2D2D2D"/>
          <w:sz w:val="20"/>
          <w:szCs w:val="20"/>
        </w:rPr>
        <w:t xml:space="preserve">65+ years — Highest concentration in long-wait bands (12 months+)</w:t>
      </w:r>
    </w:p>
    <w:p>
      <w:pPr>
        <w:spacing w:before="40" w:after="0"/>
      </w:pPr>
      <w:r>
        <w:rPr>
          <w:rFonts w:ascii="Arial" w:cs="Arial" w:eastAsia="Arial" w:hAnsi="Arial"/>
          <w:color w:val="2D2D2D"/>
          <w:sz w:val="20"/>
          <w:szCs w:val="20"/>
        </w:rPr>
        <w:t xml:space="preserve"/>
      </w:r>
    </w:p>
    <w:p>
      <w:pPr>
        <w:spacing w:before="100" w:after="40"/>
      </w:pPr>
      <w:r>
        <w:rPr>
          <w:rFonts w:ascii="Arial" w:cs="Arial" w:eastAsia="Arial" w:hAnsi="Arial"/>
          <w:b/>
          <w:bCs/>
          <w:color w:val="2E75B6"/>
          <w:sz w:val="20"/>
          <w:szCs w:val="20"/>
        </w:rPr>
        <w:t xml:space="preserve">Specialty Wait List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rPr>
          <w:tblHeader/>
        </w:trPr>
        <w:tc>
          <w:tcPr>
            <w:tcW w:type="dxa" w:w="38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Medical Specialty</w:t>
            </w:r>
          </w:p>
        </w:tc>
        <w:tc>
          <w:tcPr>
            <w:tcW w:type="dxa" w:w="24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Avg Wait List</w:t>
            </w:r>
          </w:p>
        </w:tc>
        <w:tc>
          <w:tcPr>
            <w:tcW w:type="dxa" w:w="31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Risk Level</w:t>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Paediatric Dermatology</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167.89</w:t>
            </w:r>
          </w:p>
        </w:tc>
        <w:tc>
          <w:tcPr>
            <w:tcW w:type="dxa" w:w="3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High</w:t>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Paediatric Orthopaedic</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114.50</w:t>
            </w:r>
          </w:p>
        </w:tc>
        <w:tc>
          <w:tcPr>
            <w:tcW w:type="dxa" w:w="3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High</w:t>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Accident &amp; Emergency</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111.19</w:t>
            </w:r>
          </w:p>
        </w:tc>
        <w:tc>
          <w:tcPr>
            <w:tcW w:type="dxa" w:w="3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High</w:t>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Orthopaedics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98.40</w:t>
            </w:r>
          </w:p>
        </w:tc>
        <w:tc>
          <w:tcPr>
            <w:tcW w:type="dxa" w:w="3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Medium</w:t>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ENT (Otolaryngology)</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91.20</w:t>
            </w:r>
          </w:p>
        </w:tc>
        <w:tc>
          <w:tcPr>
            <w:tcW w:type="dxa" w:w="3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Medium</w:t>
            </w:r>
          </w:p>
        </w:tc>
      </w:tr>
      <w:tr>
        <w:tc>
          <w:tcPr>
            <w:tcW w:type="dxa" w:w="3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General Surgery</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87.60</w:t>
            </w:r>
          </w:p>
        </w:tc>
        <w:tc>
          <w:tcPr>
            <w:tcW w:type="dxa" w:w="3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Medium</w:t>
            </w:r>
          </w:p>
        </w:tc>
      </w:tr>
    </w:tbl>
    <w:p>
      <w:pPr>
        <w:spacing w:before="40" w:after="0"/>
      </w:pPr>
      <w:r>
        <w:rPr>
          <w:rFonts w:ascii="Arial" w:cs="Arial" w:eastAsia="Arial" w:hAnsi="Arial"/>
          <w:color w:val="2D2D2D"/>
          <w:sz w:val="20"/>
          <w:szCs w:val="20"/>
        </w:rPr>
        <w:t xml:space="preserve"/>
      </w:r>
    </w:p>
    <w:p>
      <w:pPr>
        <w:spacing w:before="100" w:after="40"/>
      </w:pPr>
      <w:r>
        <w:rPr>
          <w:rFonts w:ascii="Arial" w:cs="Arial" w:eastAsia="Arial" w:hAnsi="Arial"/>
          <w:b/>
          <w:bCs/>
          <w:color w:val="2E75B6"/>
          <w:sz w:val="20"/>
          <w:szCs w:val="20"/>
        </w:rPr>
        <w:t xml:space="preserve">Monthly Trend Analysis</w:t>
      </w:r>
    </w:p>
    <w:p>
      <w:pPr>
        <w:pStyle w:val="ListParagraph"/>
        <w:numPr>
          <w:ilvl w:val="0"/>
          <w:numId w:val="2"/>
        </w:numPr>
        <w:spacing w:before="30" w:after="30"/>
      </w:pPr>
      <w:r>
        <w:rPr>
          <w:rFonts w:ascii="Arial" w:cs="Arial" w:eastAsia="Arial" w:hAnsi="Arial"/>
          <w:b w:val="false"/>
          <w:bCs w:val="false"/>
          <w:color w:val="2D2D2D"/>
          <w:sz w:val="20"/>
          <w:szCs w:val="20"/>
        </w:rPr>
        <w:t xml:space="preserve">Day Case &amp; Inpatient — both remain relatively stable over the period.</w:t>
      </w:r>
    </w:p>
    <w:p>
      <w:pPr>
        <w:pStyle w:val="ListParagraph"/>
        <w:numPr>
          <w:ilvl w:val="0"/>
          <w:numId w:val="2"/>
        </w:numPr>
        <w:spacing w:before="30" w:after="30"/>
      </w:pPr>
      <w:r>
        <w:rPr>
          <w:rFonts w:ascii="Arial" w:cs="Arial" w:eastAsia="Arial" w:hAnsi="Arial"/>
          <w:b w:val="false"/>
          <w:bCs w:val="false"/>
          <w:color w:val="2D2D2D"/>
          <w:sz w:val="20"/>
          <w:szCs w:val="20"/>
        </w:rPr>
        <w:t xml:space="preserve">Outpatient — consistent upward trajectory, confirming it as the primary growth driver.</w:t>
      </w:r>
    </w:p>
    <w:p>
      <w:pPr>
        <w:spacing w:before="60" w:after="0"/>
      </w:pPr>
      <w:r>
        <w:rPr>
          <w:rFonts w:ascii="Arial" w:cs="Arial" w:eastAsia="Arial" w:hAnsi="Arial"/>
          <w:color w:val="2D2D2D"/>
          <w:sz w:val="20"/>
          <w:szCs w:val="20"/>
        </w:rPr>
        <w:t xml:space="preserve"/>
      </w:r>
    </w:p>
    <w:p>
      <w:pPr>
        <w:pBdr>
          <w:bottom w:val="single" w:color="2E75B6" w:sz="4" w:space="1"/>
        </w:pBdr>
        <w:spacing w:before="140" w:after="60"/>
      </w:pPr>
      <w:r>
        <w:rPr>
          <w:rFonts w:ascii="Arial" w:cs="Arial" w:eastAsia="Arial" w:hAnsi="Arial"/>
          <w:b/>
          <w:bCs/>
          <w:color w:val="1F4E79"/>
          <w:sz w:val="22"/>
          <w:szCs w:val="22"/>
        </w:rPr>
        <w:t xml:space="preserve">Page 2 — Detailed Analysis View</w:t>
      </w:r>
    </w:p>
    <w:p>
      <w:pPr>
        <w:spacing w:before="60" w:after="60"/>
      </w:pPr>
      <w:r>
        <w:rPr>
          <w:rFonts w:ascii="Arial" w:cs="Arial" w:eastAsia="Arial" w:hAnsi="Arial"/>
          <w:color w:val="2D2D2D"/>
          <w:sz w:val="20"/>
          <w:szCs w:val="20"/>
        </w:rPr>
        <w:t xml:space="preserve">Designed for clinical managers and operational analysts requiring row-level detail and cross-dimensional filtering.</w:t>
      </w:r>
    </w:p>
    <w:p>
      <w:pPr>
        <w:pStyle w:val="ListParagraph"/>
        <w:numPr>
          <w:ilvl w:val="0"/>
          <w:numId w:val="2"/>
        </w:numPr>
        <w:spacing w:before="30" w:after="30"/>
      </w:pPr>
      <w:r>
        <w:rPr>
          <w:rFonts w:ascii="Arial" w:cs="Arial" w:eastAsia="Arial" w:hAnsi="Arial"/>
          <w:b w:val="false"/>
          <w:bCs w:val="false"/>
          <w:color w:val="2D2D2D"/>
          <w:sz w:val="20"/>
          <w:szCs w:val="20"/>
        </w:rPr>
        <w:t xml:space="preserve">Drill-down across: Specialty, Age Profile, Time Band, Case Type, Archive Date.</w:t>
      </w:r>
    </w:p>
    <w:p>
      <w:pPr>
        <w:pStyle w:val="ListParagraph"/>
        <w:numPr>
          <w:ilvl w:val="0"/>
          <w:numId w:val="2"/>
        </w:numPr>
        <w:spacing w:before="30" w:after="30"/>
      </w:pPr>
      <w:r>
        <w:rPr>
          <w:rFonts w:ascii="Arial" w:cs="Arial" w:eastAsia="Arial" w:hAnsi="Arial"/>
          <w:b w:val="false"/>
          <w:bCs w:val="false"/>
          <w:color w:val="2D2D2D"/>
          <w:sz w:val="20"/>
          <w:szCs w:val="20"/>
        </w:rPr>
        <w:t xml:space="preserve">Matrix table provides patient counts by Day Case, Inpatient, Outpatient, and Total.</w:t>
      </w:r>
    </w:p>
    <w:p>
      <w:pPr>
        <w:spacing w:before="4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680"/>
        <w:gridCol w:w="1680"/>
        <w:gridCol w:w="232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Archive Date</w:t>
            </w:r>
          </w:p>
        </w:tc>
        <w:tc>
          <w:tcPr>
            <w:tcW w:type="dxa" w:w="168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Day Case</w:t>
            </w:r>
          </w:p>
        </w:tc>
        <w:tc>
          <w:tcPr>
            <w:tcW w:type="dxa" w:w="168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Inpatient</w:t>
            </w:r>
          </w:p>
        </w:tc>
        <w:tc>
          <w:tcPr>
            <w:tcW w:type="dxa" w:w="168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Outpatient</w:t>
            </w:r>
          </w:p>
        </w:tc>
        <w:tc>
          <w:tcPr>
            <w:tcW w:type="dxa" w:w="232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Total</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31 Mar 2021</w:t>
            </w:r>
          </w:p>
        </w:tc>
        <w:tc>
          <w:tcPr>
            <w:tcW w:type="dxa" w:w="1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57,631</w:t>
            </w:r>
          </w:p>
        </w:tc>
        <w:tc>
          <w:tcPr>
            <w:tcW w:type="dxa" w:w="1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22,342</w:t>
            </w:r>
          </w:p>
        </w:tc>
        <w:tc>
          <w:tcPr>
            <w:tcW w:type="dxa" w:w="1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628,756</w:t>
            </w:r>
          </w:p>
        </w:tc>
        <w:tc>
          <w:tcPr>
            <w:tcW w:type="dxa" w:w="23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708,729</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31 Mar 2020</w:t>
            </w:r>
          </w:p>
        </w:tc>
        <w:tc>
          <w:tcPr>
            <w:tcW w:type="dxa" w:w="1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53,218</w:t>
            </w:r>
          </w:p>
        </w:tc>
        <w:tc>
          <w:tcPr>
            <w:tcW w:type="dxa" w:w="1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20,105</w:t>
            </w:r>
          </w:p>
        </w:tc>
        <w:tc>
          <w:tcPr>
            <w:tcW w:type="dxa" w:w="1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567,118</w:t>
            </w:r>
          </w:p>
        </w:tc>
        <w:tc>
          <w:tcPr>
            <w:tcW w:type="dxa" w:w="23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640,441</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31 Mar 2019</w:t>
            </w:r>
          </w:p>
        </w:tc>
        <w:tc>
          <w:tcPr>
            <w:tcW w:type="dxa" w:w="1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49,882</w:t>
            </w:r>
          </w:p>
        </w:tc>
        <w:tc>
          <w:tcPr>
            <w:tcW w:type="dxa" w:w="1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18,740</w:t>
            </w:r>
          </w:p>
        </w:tc>
        <w:tc>
          <w:tcPr>
            <w:tcW w:type="dxa" w:w="1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521,334</w:t>
            </w:r>
          </w:p>
        </w:tc>
        <w:tc>
          <w:tcPr>
            <w:tcW w:type="dxa" w:w="23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589,956</w:t>
            </w:r>
          </w:p>
        </w:tc>
      </w:tr>
    </w:tbl>
    <w:p>
      <w:pPr>
        <w:shd w:fill="1F4E79" w:val="clear"/>
        <w:spacing w:before="200" w:after="100"/>
      </w:pPr>
      <w:r>
        <w:rPr>
          <w:rFonts w:ascii="Arial" w:cs="Arial" w:eastAsia="Arial" w:hAnsi="Arial"/>
          <w:b/>
          <w:bCs/>
          <w:color w:val="FFFFFF"/>
          <w:sz w:val="26"/>
          <w:szCs w:val="26"/>
        </w:rPr>
        <w:t xml:space="preserve">  10.  Interactivity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Filter / Feature</w:t>
            </w:r>
          </w:p>
        </w:tc>
        <w:tc>
          <w:tcPr>
            <w:tcW w:type="dxa" w:w="63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Function</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Archive Date Slicer</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Filter all visuals to a specific date range or snapshot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Case Type Slicer</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Isolate Outpatient, Day Case, or Inpatient segments</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Specialty Slicer</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Focus analysis on a specific medical department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Age Profile Slicer</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Filter by patient demographic bracket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Time Bands Slicer</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Filter by waiting time category for backlog analysis</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Metric Toggle (Avg/Med)</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Switch between Average and Median across all visuals</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Cross-Visual Filtering</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Clicking any chart point filters all other visuals on the page</w:t>
            </w:r>
          </w:p>
        </w:tc>
      </w:tr>
    </w:tbl>
    <w:p>
      <w:pPr>
        <w:shd w:fill="1F4E79" w:val="clear"/>
        <w:spacing w:before="200" w:after="100"/>
      </w:pPr>
      <w:r>
        <w:rPr>
          <w:rFonts w:ascii="Arial" w:cs="Arial" w:eastAsia="Arial" w:hAnsi="Arial"/>
          <w:b/>
          <w:bCs/>
          <w:color w:val="FFFFFF"/>
          <w:sz w:val="26"/>
          <w:szCs w:val="26"/>
        </w:rPr>
        <w:t xml:space="preserve">  11.  Testing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56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Test Category</w:t>
            </w:r>
          </w:p>
        </w:tc>
        <w:tc>
          <w:tcPr>
            <w:tcW w:type="dxa" w:w="45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Test Performed</w:t>
            </w:r>
          </w:p>
        </w:tc>
        <w:tc>
          <w:tcPr>
            <w:tcW w:type="dxa" w:w="25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Result</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Data Accuracy</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Verified dashboard totals against source dataset aggregations</w:t>
            </w:r>
          </w:p>
        </w:tc>
        <w:tc>
          <w:tcPr>
            <w:tcW w:type="dxa" w:w="2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Passed</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DAX Validation</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Cross-checked all DAX measures against manual calculations</w:t>
            </w:r>
          </w:p>
        </w:tc>
        <w:tc>
          <w:tcPr>
            <w:tcW w:type="dxa" w:w="2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Passed</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Filter Testing</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Tested all slicer combinations for unexpected interactions</w:t>
            </w:r>
          </w:p>
        </w:tc>
        <w:tc>
          <w:tcPr>
            <w:tcW w:type="dxa" w:w="2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Passed</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Drill-Down</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Verified drill-down paths and matrix table behaviour</w:t>
            </w:r>
          </w:p>
        </w:tc>
        <w:tc>
          <w:tcPr>
            <w:tcW w:type="dxa" w:w="2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Passed</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Responsive Visuals</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Confirmed visuals resize correctly across screen sizes</w:t>
            </w:r>
          </w:p>
        </w:tc>
        <w:tc>
          <w:tcPr>
            <w:tcW w:type="dxa" w:w="2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Passed</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YoY Logic</w:t>
            </w:r>
          </w:p>
        </w:tc>
        <w:tc>
          <w:tcPr>
            <w:tcW w:type="dxa" w:w="4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Validated SAMEPERIODLASTYEAR() against raw data</w:t>
            </w:r>
          </w:p>
        </w:tc>
        <w:tc>
          <w:tcPr>
            <w:tcW w:type="dxa" w:w="2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Passed</w:t>
            </w:r>
          </w:p>
        </w:tc>
      </w:tr>
    </w:tbl>
    <w:p>
      <w:pPr>
        <w:shd w:fill="1F4E79" w:val="clear"/>
        <w:spacing w:before="200" w:after="100"/>
      </w:pPr>
      <w:r>
        <w:rPr>
          <w:rFonts w:ascii="Arial" w:cs="Arial" w:eastAsia="Arial" w:hAnsi="Arial"/>
          <w:b/>
          <w:bCs/>
          <w:color w:val="FFFFFF"/>
          <w:sz w:val="26"/>
          <w:szCs w:val="26"/>
        </w:rPr>
        <w:t xml:space="preserve">  12.  Sharing, Deployment &amp; Maintenance</w:t>
      </w:r>
    </w:p>
    <w:p>
      <w:pPr>
        <w:spacing w:before="100" w:after="40"/>
      </w:pPr>
      <w:r>
        <w:rPr>
          <w:rFonts w:ascii="Arial" w:cs="Arial" w:eastAsia="Arial" w:hAnsi="Arial"/>
          <w:b/>
          <w:bCs/>
          <w:color w:val="2E75B6"/>
          <w:sz w:val="20"/>
          <w:szCs w:val="20"/>
        </w:rPr>
        <w:t xml:space="preserve">Deployment</w:t>
      </w:r>
    </w:p>
    <w:p>
      <w:pPr>
        <w:pStyle w:val="ListParagraph"/>
        <w:numPr>
          <w:ilvl w:val="0"/>
          <w:numId w:val="2"/>
        </w:numPr>
        <w:spacing w:before="30" w:after="30"/>
      </w:pPr>
      <w:r>
        <w:rPr>
          <w:rFonts w:ascii="Arial" w:cs="Arial" w:eastAsia="Arial" w:hAnsi="Arial"/>
          <w:b w:val="false"/>
          <w:bCs w:val="false"/>
          <w:color w:val="2D2D2D"/>
          <w:sz w:val="20"/>
          <w:szCs w:val="20"/>
        </w:rPr>
        <w:t xml:space="preserve">Published to a dedicated healthcare workspace on Power BI Service.</w:t>
      </w:r>
    </w:p>
    <w:p>
      <w:pPr>
        <w:pStyle w:val="ListParagraph"/>
        <w:numPr>
          <w:ilvl w:val="0"/>
          <w:numId w:val="2"/>
        </w:numPr>
        <w:spacing w:before="30" w:after="30"/>
      </w:pPr>
      <w:r>
        <w:rPr>
          <w:rFonts w:ascii="Arial" w:cs="Arial" w:eastAsia="Arial" w:hAnsi="Arial"/>
          <w:b w:val="false"/>
          <w:bCs w:val="false"/>
          <w:color w:val="2D2D2D"/>
          <w:sz w:val="20"/>
          <w:szCs w:val="20"/>
        </w:rPr>
        <w:t xml:space="preserve">Scheduled automatic dataset refresh configured to keep the dashboard current.</w:t>
      </w:r>
    </w:p>
    <w:p>
      <w:pPr>
        <w:pStyle w:val="ListParagraph"/>
        <w:numPr>
          <w:ilvl w:val="0"/>
          <w:numId w:val="2"/>
        </w:numPr>
        <w:spacing w:before="30" w:after="30"/>
      </w:pPr>
      <w:r>
        <w:rPr>
          <w:rFonts w:ascii="Arial" w:cs="Arial" w:eastAsia="Arial" w:hAnsi="Arial"/>
          <w:b w:val="false"/>
          <w:bCs w:val="false"/>
          <w:color w:val="2D2D2D"/>
          <w:sz w:val="20"/>
          <w:szCs w:val="20"/>
        </w:rPr>
        <w:t xml:space="preserve">Role-based access control defined per stakeholder role (Executive, Clinical Manager, Analyst).</w:t>
      </w:r>
    </w:p>
    <w:p>
      <w:pPr>
        <w:pStyle w:val="ListParagraph"/>
        <w:numPr>
          <w:ilvl w:val="0"/>
          <w:numId w:val="2"/>
        </w:numPr>
        <w:spacing w:before="30" w:after="30"/>
      </w:pPr>
      <w:r>
        <w:rPr>
          <w:rFonts w:ascii="Arial" w:cs="Arial" w:eastAsia="Arial" w:hAnsi="Arial"/>
          <w:b w:val="false"/>
          <w:bCs w:val="false"/>
          <w:color w:val="2D2D2D"/>
          <w:sz w:val="20"/>
          <w:szCs w:val="20"/>
        </w:rPr>
        <w:t xml:space="preserve">PDF and PowerPoint export enabled for board-level presentations.</w:t>
      </w:r>
    </w:p>
    <w:p>
      <w:pPr>
        <w:spacing w:before="100" w:after="40"/>
      </w:pPr>
      <w:r>
        <w:rPr>
          <w:rFonts w:ascii="Arial" w:cs="Arial" w:eastAsia="Arial" w:hAnsi="Arial"/>
          <w:b/>
          <w:bCs/>
          <w:color w:val="2E75B6"/>
          <w:sz w:val="20"/>
          <w:szCs w:val="20"/>
        </w:rPr>
        <w:t xml:space="preserve">Maintenance</w:t>
      </w:r>
    </w:p>
    <w:p>
      <w:pPr>
        <w:pStyle w:val="ListParagraph"/>
        <w:numPr>
          <w:ilvl w:val="0"/>
          <w:numId w:val="2"/>
        </w:numPr>
        <w:spacing w:before="30" w:after="30"/>
      </w:pPr>
      <w:r>
        <w:rPr>
          <w:rFonts w:ascii="Arial" w:cs="Arial" w:eastAsia="Arial" w:hAnsi="Arial"/>
          <w:b w:val="false"/>
          <w:bCs w:val="false"/>
          <w:color w:val="2D2D2D"/>
          <w:sz w:val="20"/>
          <w:szCs w:val="20"/>
        </w:rPr>
        <w:t xml:space="preserve">Automated refresh cycles aligned with data source update frequency.</w:t>
      </w:r>
    </w:p>
    <w:p>
      <w:pPr>
        <w:pStyle w:val="ListParagraph"/>
        <w:numPr>
          <w:ilvl w:val="0"/>
          <w:numId w:val="2"/>
        </w:numPr>
        <w:spacing w:before="30" w:after="30"/>
      </w:pPr>
      <w:r>
        <w:rPr>
          <w:rFonts w:ascii="Arial" w:cs="Arial" w:eastAsia="Arial" w:hAnsi="Arial"/>
          <w:b w:val="false"/>
          <w:bCs w:val="false"/>
          <w:color w:val="2D2D2D"/>
          <w:sz w:val="20"/>
          <w:szCs w:val="20"/>
        </w:rPr>
        <w:t xml:space="preserve">Alerts configured for unexpected data gaps or volume anomalies.</w:t>
      </w:r>
    </w:p>
    <w:p>
      <w:pPr>
        <w:pStyle w:val="ListParagraph"/>
        <w:numPr>
          <w:ilvl w:val="0"/>
          <w:numId w:val="2"/>
        </w:numPr>
        <w:spacing w:before="30" w:after="30"/>
      </w:pPr>
      <w:r>
        <w:rPr>
          <w:rFonts w:ascii="Arial" w:cs="Arial" w:eastAsia="Arial" w:hAnsi="Arial"/>
          <w:b w:val="false"/>
          <w:bCs w:val="false"/>
          <w:color w:val="2D2D2D"/>
          <w:sz w:val="20"/>
          <w:szCs w:val="20"/>
        </w:rPr>
        <w:t xml:space="preserve">All DAX measures documented in a centralised data dictionary.</w:t>
      </w:r>
    </w:p>
    <w:p>
      <w:pPr>
        <w:pStyle w:val="ListParagraph"/>
        <w:numPr>
          <w:ilvl w:val="0"/>
          <w:numId w:val="2"/>
        </w:numPr>
        <w:spacing w:before="30" w:after="30"/>
      </w:pPr>
      <w:r>
        <w:rPr>
          <w:rFonts w:ascii="Arial" w:cs="Arial" w:eastAsia="Arial" w:hAnsi="Arial"/>
          <w:b w:val="false"/>
          <w:bCs w:val="false"/>
          <w:color w:val="2D2D2D"/>
          <w:sz w:val="20"/>
          <w:szCs w:val="20"/>
        </w:rPr>
        <w:t xml:space="preserve">Version-controlled change log for all model and report modifications.</w:t>
      </w:r>
    </w:p>
    <w:p>
      <w:r>
        <w:br w:type="page"/>
      </w:r>
    </w:p>
    <w:p>
      <w:pPr>
        <w:shd w:fill="1F4E79" w:val="clear"/>
        <w:spacing w:before="200" w:after="100"/>
      </w:pPr>
      <w:r>
        <w:rPr>
          <w:rFonts w:ascii="Arial" w:cs="Arial" w:eastAsia="Arial" w:hAnsi="Arial"/>
          <w:b/>
          <w:bCs/>
          <w:color w:val="FFFFFF"/>
          <w:sz w:val="26"/>
          <w:szCs w:val="26"/>
        </w:rPr>
        <w:t xml:space="preserve">  14.  Key Insights from the Analysis</w:t>
      </w:r>
    </w:p>
    <w:p>
      <w:pPr>
        <w:spacing w:before="100" w:after="40"/>
      </w:pPr>
      <w:r>
        <w:rPr>
          <w:rFonts w:ascii="Arial" w:cs="Arial" w:eastAsia="Arial" w:hAnsi="Arial"/>
          <w:b/>
          <w:bCs/>
          <w:color w:val="2E75B6"/>
          <w:sz w:val="20"/>
          <w:szCs w:val="20"/>
        </w:rPr>
        <w:t xml:space="preserve">1 — Growing Wait Lists Indicate Rising System Pressure</w:t>
      </w:r>
    </w:p>
    <w:p>
      <w:pPr>
        <w:spacing w:before="60" w:after="60"/>
      </w:pPr>
      <w:r>
        <w:rPr>
          <w:rFonts w:ascii="Arial" w:cs="Arial" w:eastAsia="Arial" w:hAnsi="Arial"/>
          <w:color w:val="2D2D2D"/>
          <w:sz w:val="20"/>
          <w:szCs w:val="20"/>
        </w:rPr>
        <w:t xml:space="preserve">The latest wait list (708,729) is 10.7% higher than the prior year (640,441). Without targeted intervention the backlog will continue to compound.</w:t>
      </w:r>
    </w:p>
    <w:p>
      <w:pPr>
        <w:spacing w:before="100" w:after="40"/>
      </w:pPr>
      <w:r>
        <w:rPr>
          <w:rFonts w:ascii="Arial" w:cs="Arial" w:eastAsia="Arial" w:hAnsi="Arial"/>
          <w:b/>
          <w:bCs/>
          <w:color w:val="2E75B6"/>
          <w:sz w:val="20"/>
          <w:szCs w:val="20"/>
        </w:rPr>
        <w:t xml:space="preserve">2 — Outpatient Services Are the Dominant Bottleneck</w:t>
      </w:r>
    </w:p>
    <w:p>
      <w:pPr>
        <w:spacing w:before="60" w:after="60"/>
      </w:pPr>
      <w:r>
        <w:rPr>
          <w:rFonts w:ascii="Arial" w:cs="Arial" w:eastAsia="Arial" w:hAnsi="Arial"/>
          <w:color w:val="2D2D2D"/>
          <w:sz w:val="20"/>
          <w:szCs w:val="20"/>
        </w:rPr>
        <w:t xml:space="preserve">Outpatient cases account for ~89% of the total wait list. Any broad-based reduction strategy must begin with outpatient capacity.</w:t>
      </w:r>
    </w:p>
    <w:p>
      <w:pPr>
        <w:spacing w:before="100" w:after="40"/>
      </w:pPr>
      <w:r>
        <w:rPr>
          <w:rFonts w:ascii="Arial" w:cs="Arial" w:eastAsia="Arial" w:hAnsi="Arial"/>
          <w:b/>
          <w:bCs/>
          <w:color w:val="2E75B6"/>
          <w:sz w:val="20"/>
          <w:szCs w:val="20"/>
        </w:rPr>
        <w:t xml:space="preserve">3 — Specific Specialties Face Disproportionate Demand</w:t>
      </w:r>
    </w:p>
    <w:p>
      <w:pPr>
        <w:spacing w:before="60" w:after="60"/>
      </w:pPr>
      <w:r>
        <w:rPr>
          <w:rFonts w:ascii="Arial" w:cs="Arial" w:eastAsia="Arial" w:hAnsi="Arial"/>
          <w:color w:val="2D2D2D"/>
          <w:sz w:val="20"/>
          <w:szCs w:val="20"/>
        </w:rPr>
        <w:t xml:space="preserve">Paediatric Dermatology, Paediatric Orthopaedics, and Accident &amp; Emergency consistently show the highest average wait list figures and represent targeted intervention opportunities.</w:t>
      </w:r>
    </w:p>
    <w:p>
      <w:pPr>
        <w:spacing w:before="100" w:after="40"/>
      </w:pPr>
      <w:r>
        <w:rPr>
          <w:rFonts w:ascii="Arial" w:cs="Arial" w:eastAsia="Arial" w:hAnsi="Arial"/>
          <w:b/>
          <w:bCs/>
          <w:color w:val="2E75B6"/>
          <w:sz w:val="20"/>
          <w:szCs w:val="20"/>
        </w:rPr>
        <w:t xml:space="preserve">4 — Long-Term Backlogs Persist Beyond 18 Months</w:t>
      </w:r>
    </w:p>
    <w:p>
      <w:pPr>
        <w:spacing w:before="60" w:after="60"/>
      </w:pPr>
      <w:r>
        <w:rPr>
          <w:rFonts w:ascii="Arial" w:cs="Arial" w:eastAsia="Arial" w:hAnsi="Arial"/>
          <w:color w:val="2D2D2D"/>
          <w:sz w:val="20"/>
          <w:szCs w:val="20"/>
        </w:rPr>
        <w:t xml:space="preserve">A significant cohort remains in the 18+ months category. These cases require dedicated clearance initiatives separate from routine demand management.</w:t>
      </w:r>
    </w:p>
    <w:p>
      <w:pPr>
        <w:spacing w:before="100" w:after="40"/>
      </w:pPr>
      <w:r>
        <w:rPr>
          <w:rFonts w:ascii="Arial" w:cs="Arial" w:eastAsia="Arial" w:hAnsi="Arial"/>
          <w:b/>
          <w:bCs/>
          <w:color w:val="2E75B6"/>
          <w:sz w:val="20"/>
          <w:szCs w:val="20"/>
        </w:rPr>
        <w:t xml:space="preserve">5 — Older Patients Are More Vulnerable to Extended Waits</w:t>
      </w:r>
    </w:p>
    <w:p>
      <w:pPr>
        <w:spacing w:before="60" w:after="60"/>
      </w:pPr>
      <w:r>
        <w:rPr>
          <w:rFonts w:ascii="Arial" w:cs="Arial" w:eastAsia="Arial" w:hAnsi="Arial"/>
          <w:color w:val="2D2D2D"/>
          <w:sz w:val="20"/>
          <w:szCs w:val="20"/>
        </w:rPr>
        <w:t xml:space="preserve">Patients aged 65+ are disproportionately represented in longer waiting bands, carrying significant clinical implications and suggesting the need for age-sensitive prioritisation protocols.</w:t>
      </w:r>
    </w:p>
    <w:p>
      <w:pPr>
        <w:spacing w:before="100" w:after="40"/>
      </w:pPr>
      <w:r>
        <w:rPr>
          <w:rFonts w:ascii="Arial" w:cs="Arial" w:eastAsia="Arial" w:hAnsi="Arial"/>
          <w:b/>
          <w:bCs/>
          <w:color w:val="2E75B6"/>
          <w:sz w:val="20"/>
          <w:szCs w:val="20"/>
        </w:rPr>
        <w:t xml:space="preserve">6 — Outpatient Demand Is Growing Consistently Over Time</w:t>
      </w:r>
    </w:p>
    <w:p>
      <w:pPr>
        <w:spacing w:before="60" w:after="60"/>
      </w:pPr>
      <w:r>
        <w:rPr>
          <w:rFonts w:ascii="Arial" w:cs="Arial" w:eastAsia="Arial" w:hAnsi="Arial"/>
          <w:color w:val="2D2D2D"/>
          <w:sz w:val="20"/>
          <w:szCs w:val="20"/>
        </w:rPr>
        <w:t xml:space="preserve">Trend analysis confirms a steady upward trajectory across the full 2018–2021 period, reflecting structural demand growth rather than a temporary spike.</w:t>
      </w:r>
    </w:p>
    <w:p>
      <w:pPr>
        <w:shd w:fill="1F4E79" w:val="clear"/>
        <w:spacing w:before="200" w:after="100"/>
      </w:pPr>
      <w:r>
        <w:rPr>
          <w:rFonts w:ascii="Arial" w:cs="Arial" w:eastAsia="Arial" w:hAnsi="Arial"/>
          <w:b/>
          <w:bCs/>
          <w:color w:val="FFFFFF"/>
          <w:sz w:val="26"/>
          <w:szCs w:val="26"/>
        </w:rPr>
        <w:t xml:space="preserve">  15.  Business Recommendations</w:t>
      </w:r>
    </w:p>
    <w:p>
      <w:pPr>
        <w:spacing w:before="100" w:after="40"/>
      </w:pPr>
      <w:r>
        <w:rPr>
          <w:rFonts w:ascii="Arial" w:cs="Arial" w:eastAsia="Arial" w:hAnsi="Arial"/>
          <w:b/>
          <w:bCs/>
          <w:color w:val="2E75B6"/>
          <w:sz w:val="20"/>
          <w:szCs w:val="20"/>
        </w:rPr>
        <w:t xml:space="preserve">1 — Expand Outpatient Consultation Capacity</w:t>
      </w:r>
    </w:p>
    <w:p>
      <w:pPr>
        <w:spacing w:before="60" w:after="60"/>
      </w:pPr>
      <w:r>
        <w:rPr>
          <w:rFonts w:ascii="Arial" w:cs="Arial" w:eastAsia="Arial" w:hAnsi="Arial"/>
          <w:color w:val="2D2D2D"/>
          <w:sz w:val="20"/>
          <w:szCs w:val="20"/>
        </w:rPr>
        <w:t xml:space="preserve">Increase consultation slots, deploy telehealth services, and utilise advanced nurse practitioners for lower-acuity outpatient cases to absorb demand that does not require physical attendance.</w:t>
      </w:r>
    </w:p>
    <w:p>
      <w:pPr>
        <w:spacing w:before="100" w:after="40"/>
      </w:pPr>
      <w:r>
        <w:rPr>
          <w:rFonts w:ascii="Arial" w:cs="Arial" w:eastAsia="Arial" w:hAnsi="Arial"/>
          <w:b/>
          <w:bCs/>
          <w:color w:val="2E75B6"/>
          <w:sz w:val="20"/>
          <w:szCs w:val="20"/>
        </w:rPr>
        <w:t xml:space="preserve">2 — Prioritise High-Demand Specialties</w:t>
      </w:r>
    </w:p>
    <w:p>
      <w:pPr>
        <w:spacing w:before="60" w:after="60"/>
      </w:pPr>
      <w:r>
        <w:rPr>
          <w:rFonts w:ascii="Arial" w:cs="Arial" w:eastAsia="Arial" w:hAnsi="Arial"/>
          <w:color w:val="2D2D2D"/>
          <w:sz w:val="20"/>
          <w:szCs w:val="20"/>
        </w:rPr>
        <w:t xml:space="preserve">Allocate additional resources — locum staffing, extra clinical sessions, cross-specialty referral agreements — to departments with the highest average wait lists.</w:t>
      </w:r>
    </w:p>
    <w:p>
      <w:pPr>
        <w:spacing w:before="100" w:after="40"/>
      </w:pPr>
      <w:r>
        <w:rPr>
          <w:rFonts w:ascii="Arial" w:cs="Arial" w:eastAsia="Arial" w:hAnsi="Arial"/>
          <w:b/>
          <w:bCs/>
          <w:color w:val="2E75B6"/>
          <w:sz w:val="20"/>
          <w:szCs w:val="20"/>
        </w:rPr>
        <w:t xml:space="preserve">3 — Establish a Long-Wait Backlog Clearance Programme</w:t>
      </w:r>
    </w:p>
    <w:p>
      <w:pPr>
        <w:spacing w:before="60" w:after="60"/>
      </w:pPr>
      <w:r>
        <w:rPr>
          <w:rFonts w:ascii="Arial" w:cs="Arial" w:eastAsia="Arial" w:hAnsi="Arial"/>
          <w:color w:val="2D2D2D"/>
          <w:sz w:val="20"/>
          <w:szCs w:val="20"/>
        </w:rPr>
        <w:t xml:space="preserve">Create a dedicated initiative for patients waiting 18+ months, potentially leveraging weekend clinics, independent sector capacity, or specialised waiting list task forces with measurable targets.</w:t>
      </w:r>
    </w:p>
    <w:p>
      <w:pPr>
        <w:spacing w:before="100" w:after="40"/>
      </w:pPr>
      <w:r>
        <w:rPr>
          <w:rFonts w:ascii="Arial" w:cs="Arial" w:eastAsia="Arial" w:hAnsi="Arial"/>
          <w:b/>
          <w:bCs/>
          <w:color w:val="2E75B6"/>
          <w:sz w:val="20"/>
          <w:szCs w:val="20"/>
        </w:rPr>
        <w:t xml:space="preserve">4 — Introduce Age-Sensitive Prioritisation Protocols</w:t>
      </w:r>
    </w:p>
    <w:p>
      <w:pPr>
        <w:spacing w:before="60" w:after="60"/>
      </w:pPr>
      <w:r>
        <w:rPr>
          <w:rFonts w:ascii="Arial" w:cs="Arial" w:eastAsia="Arial" w:hAnsi="Arial"/>
          <w:color w:val="2D2D2D"/>
          <w:sz w:val="20"/>
          <w:szCs w:val="20"/>
        </w:rPr>
        <w:t xml:space="preserve">Review clinical triage protocols to incorporate age and clinical urgency as co-equal prioritisation factors. Geriatric fast-track pathways may be warranted for high-acuity elderly patients.</w:t>
      </w:r>
    </w:p>
    <w:p>
      <w:pPr>
        <w:spacing w:before="100" w:after="40"/>
      </w:pPr>
      <w:r>
        <w:rPr>
          <w:rFonts w:ascii="Arial" w:cs="Arial" w:eastAsia="Arial" w:hAnsi="Arial"/>
          <w:b/>
          <w:bCs/>
          <w:color w:val="2E75B6"/>
          <w:sz w:val="20"/>
          <w:szCs w:val="20"/>
        </w:rPr>
        <w:t xml:space="preserve">5 — Deploy Data-Driven Patient Scheduling</w:t>
      </w:r>
    </w:p>
    <w:p>
      <w:pPr>
        <w:spacing w:before="60" w:after="60"/>
      </w:pPr>
      <w:r>
        <w:rPr>
          <w:rFonts w:ascii="Arial" w:cs="Arial" w:eastAsia="Arial" w:hAnsi="Arial"/>
          <w:color w:val="2D2D2D"/>
          <w:sz w:val="20"/>
          <w:szCs w:val="20"/>
        </w:rPr>
        <w:t xml:space="preserve">Implement intelligent scheduling algorithms that optimise appointment allocation based on urgency, wait time, case type, and specialty capacity, using predictive analytics to anticipate demand peaks.</w:t>
      </w:r>
    </w:p>
    <w:p>
      <w:pPr>
        <w:spacing w:before="100" w:after="40"/>
      </w:pPr>
      <w:r>
        <w:rPr>
          <w:rFonts w:ascii="Arial" w:cs="Arial" w:eastAsia="Arial" w:hAnsi="Arial"/>
          <w:b/>
          <w:bCs/>
          <w:color w:val="2E75B6"/>
          <w:sz w:val="20"/>
          <w:szCs w:val="20"/>
        </w:rPr>
        <w:t xml:space="preserve">6 — Embed Real-Time Dashboard Monitoring Organisation-wide</w:t>
      </w:r>
    </w:p>
    <w:p>
      <w:pPr>
        <w:spacing w:before="60" w:after="60"/>
      </w:pPr>
      <w:r>
        <w:rPr>
          <w:rFonts w:ascii="Arial" w:cs="Arial" w:eastAsia="Arial" w:hAnsi="Arial"/>
          <w:color w:val="2D2D2D"/>
          <w:sz w:val="20"/>
          <w:szCs w:val="20"/>
        </w:rPr>
        <w:t xml:space="preserve">Deploy the Power BI dashboard as a standard operational monitoring tool across all clinical and operational teams to drive a culture of data-informed decision-making.</w:t>
      </w:r>
    </w:p>
    <w:p>
      <w:pPr>
        <w:shd w:fill="1F4E79" w:val="clear"/>
        <w:spacing w:before="200" w:after="100"/>
      </w:pPr>
      <w:r>
        <w:rPr>
          <w:rFonts w:ascii="Arial" w:cs="Arial" w:eastAsia="Arial" w:hAnsi="Arial"/>
          <w:b/>
          <w:bCs/>
          <w:color w:val="FFFFFF"/>
          <w:sz w:val="26"/>
          <w:szCs w:val="26"/>
        </w:rPr>
        <w:t xml:space="preserve">  16.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Tool / Technology</w:t>
            </w:r>
          </w:p>
        </w:tc>
        <w:tc>
          <w:tcPr>
            <w:tcW w:type="dxa" w:w="44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Role in Project</w:t>
            </w:r>
          </w:p>
        </w:tc>
        <w:tc>
          <w:tcPr>
            <w:tcW w:type="dxa" w:w="23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Level</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Power BI Desktop</w:t>
            </w:r>
          </w:p>
        </w:tc>
        <w:tc>
          <w:tcPr>
            <w:tcW w:type="dxa" w:w="4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Primary dashboard development and report authoring</w:t>
            </w:r>
          </w:p>
        </w:tc>
        <w:tc>
          <w:tcPr>
            <w:tcW w:type="dxa" w:w="2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Advanced</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Power Query (M Language)</w:t>
            </w:r>
          </w:p>
        </w:tc>
        <w:tc>
          <w:tcPr>
            <w:tcW w:type="dxa" w:w="4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Data ingestion, cleaning, transformation, and shaping</w:t>
            </w:r>
          </w:p>
        </w:tc>
        <w:tc>
          <w:tcPr>
            <w:tcW w:type="dxa" w:w="2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Advanced</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DAX</w:t>
            </w:r>
          </w:p>
        </w:tc>
        <w:tc>
          <w:tcPr>
            <w:tcW w:type="dxa" w:w="4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Calculated measures, KPIs, time intelligence functions</w:t>
            </w:r>
          </w:p>
        </w:tc>
        <w:tc>
          <w:tcPr>
            <w:tcW w:type="dxa" w:w="2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Advanced</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Star Schema Modelling</w:t>
            </w:r>
          </w:p>
        </w:tc>
        <w:tc>
          <w:tcPr>
            <w:tcW w:type="dxa" w:w="4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Dimensional model design for optimised query performance</w:t>
            </w:r>
          </w:p>
        </w:tc>
        <w:tc>
          <w:tcPr>
            <w:tcW w:type="dxa" w:w="2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Advanced</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Excel / CSV</w:t>
            </w:r>
          </w:p>
        </w:tc>
        <w:tc>
          <w:tcPr>
            <w:tcW w:type="dxa" w:w="4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Source data storage and initial data review</w:t>
            </w:r>
          </w:p>
        </w:tc>
        <w:tc>
          <w:tcPr>
            <w:tcW w:type="dxa" w:w="2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Intermediate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before="0" w:after="0"/>
            </w:pPr>
            <w:r>
              <w:rPr>
                <w:rFonts w:ascii="Arial" w:cs="Arial" w:eastAsia="Arial" w:hAnsi="Arial"/>
                <w:b/>
                <w:bCs/>
                <w:color w:val="2D2D2D"/>
                <w:sz w:val="18"/>
                <w:szCs w:val="18"/>
              </w:rPr>
              <w:t xml:space="preserve">Power BI Service</w:t>
            </w:r>
          </w:p>
        </w:tc>
        <w:tc>
          <w:tcPr>
            <w:tcW w:type="dxa" w:w="4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Cloud deployment, scheduled refresh, role-based sharing</w:t>
            </w:r>
          </w:p>
        </w:tc>
        <w:tc>
          <w:tcPr>
            <w:tcW w:type="dxa" w:w="2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2D2D2D"/>
                <w:sz w:val="18"/>
                <w:szCs w:val="18"/>
              </w:rPr>
              <w:t xml:space="preserve">Intermediate</w:t>
            </w:r>
          </w:p>
        </w:tc>
      </w:tr>
    </w:tbl>
    <w:p>
      <w:pPr>
        <w:shd w:fill="1F4E79" w:val="clear"/>
        <w:spacing w:before="200" w:after="100"/>
      </w:pPr>
      <w:r>
        <w:rPr>
          <w:rFonts w:ascii="Arial" w:cs="Arial" w:eastAsia="Arial" w:hAnsi="Arial"/>
          <w:b/>
          <w:bCs/>
          <w:color w:val="FFFFFF"/>
          <w:sz w:val="26"/>
          <w:szCs w:val="26"/>
        </w:rPr>
        <w:t xml:space="preserve">  17.  Project Impact</w:t>
      </w:r>
    </w:p>
    <w:p>
      <w:pPr>
        <w:pStyle w:val="ListParagraph"/>
        <w:numPr>
          <w:ilvl w:val="0"/>
          <w:numId w:val="2"/>
        </w:numPr>
        <w:spacing w:before="30" w:after="30"/>
      </w:pPr>
      <w:r>
        <w:rPr>
          <w:rFonts w:ascii="Arial" w:cs="Arial" w:eastAsia="Arial" w:hAnsi="Arial"/>
          <w:b w:val="false"/>
          <w:bCs w:val="false"/>
          <w:color w:val="2D2D2D"/>
          <w:sz w:val="20"/>
          <w:szCs w:val="20"/>
        </w:rPr>
        <w:t xml:space="preserve">Bottleneck Identification — clear visibility into which specialties and case types face the greatest capacity constraints.</w:t>
      </w:r>
    </w:p>
    <w:p>
      <w:pPr>
        <w:pStyle w:val="ListParagraph"/>
        <w:numPr>
          <w:ilvl w:val="0"/>
          <w:numId w:val="2"/>
        </w:numPr>
        <w:spacing w:before="30" w:after="30"/>
      </w:pPr>
      <w:r>
        <w:rPr>
          <w:rFonts w:ascii="Arial" w:cs="Arial" w:eastAsia="Arial" w:hAnsi="Arial"/>
          <w:b w:val="false"/>
          <w:bCs w:val="false"/>
          <w:color w:val="2D2D2D"/>
          <w:sz w:val="20"/>
          <w:szCs w:val="20"/>
        </w:rPr>
        <w:t xml:space="preserve">Performance Benchmarking — year-over-year comparison enables teams to measure progress and drive accountability.</w:t>
      </w:r>
    </w:p>
    <w:p>
      <w:pPr>
        <w:pStyle w:val="ListParagraph"/>
        <w:numPr>
          <w:ilvl w:val="0"/>
          <w:numId w:val="2"/>
        </w:numPr>
        <w:spacing w:before="30" w:after="30"/>
      </w:pPr>
      <w:r>
        <w:rPr>
          <w:rFonts w:ascii="Arial" w:cs="Arial" w:eastAsia="Arial" w:hAnsi="Arial"/>
          <w:b w:val="false"/>
          <w:bCs w:val="false"/>
          <w:color w:val="2D2D2D"/>
          <w:sz w:val="20"/>
          <w:szCs w:val="20"/>
        </w:rPr>
        <w:t xml:space="preserve">Resource Planning — specialty and age-group analysis informs workforce planning, clinic scheduling, and capital allocation.</w:t>
      </w:r>
    </w:p>
    <w:p>
      <w:pPr>
        <w:pStyle w:val="ListParagraph"/>
        <w:numPr>
          <w:ilvl w:val="0"/>
          <w:numId w:val="2"/>
        </w:numPr>
        <w:spacing w:before="30" w:after="30"/>
      </w:pPr>
      <w:r>
        <w:rPr>
          <w:rFonts w:ascii="Arial" w:cs="Arial" w:eastAsia="Arial" w:hAnsi="Arial"/>
          <w:b w:val="false"/>
          <w:bCs w:val="false"/>
          <w:color w:val="2D2D2D"/>
          <w:sz w:val="20"/>
          <w:szCs w:val="20"/>
        </w:rPr>
        <w:t xml:space="preserve">Policy Evidence — quantitative evidence to support funding bids, service redesign proposals, and policy submissions.</w:t>
      </w:r>
    </w:p>
    <w:p>
      <w:pPr>
        <w:pStyle w:val="ListParagraph"/>
        <w:numPr>
          <w:ilvl w:val="0"/>
          <w:numId w:val="2"/>
        </w:numPr>
        <w:spacing w:before="30" w:after="30"/>
      </w:pPr>
      <w:r>
        <w:rPr>
          <w:rFonts w:ascii="Arial" w:cs="Arial" w:eastAsia="Arial" w:hAnsi="Arial"/>
          <w:b w:val="false"/>
          <w:bCs w:val="false"/>
          <w:color w:val="2D2D2D"/>
          <w:sz w:val="20"/>
          <w:szCs w:val="20"/>
        </w:rPr>
        <w:t xml:space="preserve">Patient Outcome Improvement — reducing long waits directly improves clinical outcomes, especially for elderly and paediatric patients.</w:t>
      </w:r>
    </w:p>
    <w:p>
      <w:pPr>
        <w:pStyle w:val="ListParagraph"/>
        <w:numPr>
          <w:ilvl w:val="0"/>
          <w:numId w:val="2"/>
        </w:numPr>
        <w:spacing w:before="30" w:after="30"/>
      </w:pPr>
      <w:r>
        <w:rPr>
          <w:rFonts w:ascii="Arial" w:cs="Arial" w:eastAsia="Arial" w:hAnsi="Arial"/>
          <w:b w:val="false"/>
          <w:bCs w:val="false"/>
          <w:color w:val="2D2D2D"/>
          <w:sz w:val="20"/>
          <w:szCs w:val="20"/>
        </w:rPr>
        <w:t xml:space="preserve">Data Culture — self-service analytics empowers non-technical stakeholders, building broader data literacy across the organisation.</w:t>
      </w:r>
    </w:p>
    <w:p>
      <w:pPr>
        <w:shd w:fill="1F4E79" w:val="clear"/>
        <w:spacing w:before="200" w:after="100"/>
      </w:pPr>
      <w:r>
        <w:rPr>
          <w:rFonts w:ascii="Arial" w:cs="Arial" w:eastAsia="Arial" w:hAnsi="Arial"/>
          <w:b/>
          <w:bCs/>
          <w:color w:val="FFFFFF"/>
          <w:sz w:val="26"/>
          <w:szCs w:val="26"/>
        </w:rPr>
        <w:t xml:space="preserve">  18.  Conclusion</w:t>
      </w:r>
    </w:p>
    <w:p>
      <w:pPr>
        <w:spacing w:before="60" w:after="60"/>
      </w:pPr>
      <w:r>
        <w:rPr>
          <w:rFonts w:ascii="Arial" w:cs="Arial" w:eastAsia="Arial" w:hAnsi="Arial"/>
          <w:color w:val="2D2D2D"/>
          <w:sz w:val="20"/>
          <w:szCs w:val="20"/>
        </w:rPr>
        <w:t xml:space="preserve">This project demonstrates a complete, production-grade healthcare analytics solution built across every phase of the data analyst lifecycle — from requirement gathering and data cleaning through to DAX modelling, visualization design, testing, and deployment.</w:t>
      </w:r>
    </w:p>
    <w:p>
      <w:pPr>
        <w:spacing w:before="60" w:after="60"/>
      </w:pPr>
      <w:r>
        <w:rPr>
          <w:rFonts w:ascii="Arial" w:cs="Arial" w:eastAsia="Arial" w:hAnsi="Arial"/>
          <w:color w:val="2D2D2D"/>
          <w:sz w:val="20"/>
          <w:szCs w:val="20"/>
        </w:rPr>
        <w:t xml:space="preserve">The analysis revealed a 10.7% year-over-year increase in wait list volumes, an overwhelming concentration in outpatient services (89% of all waiting patients), and a persistent long-wait backlog disproportionately affecting elderly patients. These findings translated into six evidence-based recommendations with the potential to meaningfully reduce waiting times and improve patient outcomes.</w:t>
      </w:r>
    </w:p>
    <w:p>
      <w:pPr>
        <w:spacing w:before="60" w:after="60"/>
      </w:pPr>
      <w:r>
        <w:rPr>
          <w:rFonts w:ascii="Arial" w:cs="Arial" w:eastAsia="Arial" w:hAnsi="Arial"/>
          <w:color w:val="2D2D2D"/>
          <w:sz w:val="20"/>
          <w:szCs w:val="20"/>
        </w:rPr>
        <w:t xml:space="preserve">This project exemplifies how rigorous, business-oriented data analytics can transform complex operational data into clear, actionable intelligence — directly enabling healthcare administrators to make faster, more confident, and more effective decisions.</w:t>
      </w:r>
    </w:p>
    <w:p>
      <w:pPr>
        <w:spacing w:before="80" w:after="0"/>
      </w:pPr>
      <w:r>
        <w:rPr>
          <w:rFonts w:ascii="Arial" w:cs="Arial" w:eastAsia="Arial" w:hAnsi="Arial"/>
          <w:color w:val="2D2D2D"/>
          <w:sz w:val="20"/>
          <w:szCs w:val="20"/>
        </w:rPr>
        <w:t xml:space="preserve"/>
      </w:r>
    </w:p>
    <w:p>
      <w:pPr>
        <w:shd w:fill="D6E4F0" w:val="clear"/>
        <w:spacing w:before="60" w:after="60"/>
        <w:jc w:val="center"/>
      </w:pPr>
      <w:r>
        <w:rPr>
          <w:rFonts w:ascii="Arial" w:cs="Arial" w:eastAsia="Arial" w:hAnsi="Arial"/>
          <w:b/>
          <w:bCs/>
          <w:color w:val="1F4E79"/>
          <w:sz w:val="17"/>
          <w:szCs w:val="17"/>
        </w:rPr>
        <w:t xml:space="preserve">Gayathri  ·  Data Analyst  |  Healthcare Patient Wait List Analytics  |  Power BI  |  2018–2021</w:t>
      </w:r>
    </w:p>
    <w:sectPr>
      <w:headerReference w:type="default" r:id="rId6"/>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3" w:space="1"/>
      </w:pBdr>
      <w:spacing w:before="60" w:after="0"/>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4E79" w:val="clear"/>
      <w:spacing w:before="0" w:after="0"/>
    </w:pPr>
    <w:r>
      <w:rPr>
        <w:rFonts w:ascii="Arial" w:cs="Arial" w:eastAsia="Arial" w:hAnsi="Arial"/>
        <w:b/>
        <w:bCs/>
        <w:color w:val="FFFFFF"/>
        <w:sz w:val="16"/>
        <w:szCs w:val="16"/>
      </w:rPr>
      <w:t xml:space="preserve">  Healthcare Patient Wait List Analytics  |  Power BI End-to-End Project  |  Gayathri · Data Analyst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00" w:after="100"/>
      <w:outlineLvl w:val="0"/>
    </w:pPr>
    <w:rPr>
      <w:rFonts w:ascii="Arial" w:cs="Arial" w:eastAsia="Arial" w:hAnsi="Arial"/>
      <w:b/>
      <w:bCs/>
      <w:color w:val="FFFFFF"/>
      <w:sz w:val="26"/>
      <w:szCs w:val="26"/>
    </w:rPr>
  </w:style>
  <w:style w:type="paragraph" w:styleId="Heading2">
    <w:name w:val="Heading 2"/>
    <w:basedOn w:val="Normal"/>
    <w:next w:val="Normal"/>
    <w:pPr>
      <w:spacing w:before="140" w:after="60"/>
      <w:outlineLvl w:val="1"/>
    </w:pPr>
    <w:rPr>
      <w:rFonts w:ascii="Arial" w:cs="Arial" w:eastAsia="Arial" w:hAnsi="Arial"/>
      <w:b/>
      <w:bCs/>
      <w:color w:val="1F4E79"/>
      <w:sz w:val="22"/>
      <w:szCs w:val="22"/>
    </w:rPr>
  </w:style>
  <w:style w:type="paragraph" w:styleId="Heading3">
    <w:name w:val="Heading 3"/>
    <w:basedOn w:val="Normal"/>
    <w:next w:val="Normal"/>
    <w:pPr>
      <w:spacing w:before="100" w:after="40"/>
      <w:outlineLvl w:val="2"/>
    </w:pPr>
    <w:rPr>
      <w:rFonts w:ascii="Arial" w:cs="Arial" w:eastAsia="Arial" w:hAnsi="Arial"/>
      <w:b/>
      <w:bCs/>
      <w:color w:val="2E75B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2026-03-10T23:03:01.581Z</dcterms:created>
  <dcterms:modified xsi:type="dcterms:W3CDTF">2026-03-10T23:03:01.581Z</dcterms:modified>
</cp:coreProperties>
</file>

<file path=docProps/custom.xml><?xml version="1.0" encoding="utf-8"?>
<Properties xmlns="http://schemas.openxmlformats.org/officeDocument/2006/custom-properties" xmlns:vt="http://schemas.openxmlformats.org/officeDocument/2006/docPropsVTypes"/>
</file>