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F08A0" w14:textId="77777777" w:rsidR="004E4584" w:rsidRDefault="004E4584" w:rsidP="004E4584">
      <w:pPr>
        <w:pStyle w:val="Heading2"/>
      </w:pPr>
      <w:r>
        <w:t>Team Members</w:t>
      </w:r>
    </w:p>
    <w:tbl>
      <w:tblPr>
        <w:tblStyle w:val="TableGrid"/>
        <w:tblW w:w="0" w:type="auto"/>
        <w:tblLook w:val="04A0" w:firstRow="1" w:lastRow="0" w:firstColumn="1" w:lastColumn="0" w:noHBand="0" w:noVBand="1"/>
      </w:tblPr>
      <w:tblGrid>
        <w:gridCol w:w="2785"/>
        <w:gridCol w:w="6565"/>
      </w:tblGrid>
      <w:tr w:rsidR="004E4584" w14:paraId="5CE9BFA0" w14:textId="77777777" w:rsidTr="00ED58A4">
        <w:tc>
          <w:tcPr>
            <w:tcW w:w="2785" w:type="dxa"/>
          </w:tcPr>
          <w:p w14:paraId="675AD597" w14:textId="77777777" w:rsidR="004E4584" w:rsidRDefault="004E4584" w:rsidP="00ED58A4">
            <w:r>
              <w:t>Gayathri Movva</w:t>
            </w:r>
          </w:p>
        </w:tc>
        <w:tc>
          <w:tcPr>
            <w:tcW w:w="6565" w:type="dxa"/>
          </w:tcPr>
          <w:p w14:paraId="22C0E3A4" w14:textId="77777777" w:rsidR="004E4584" w:rsidRDefault="004E4584" w:rsidP="00ED58A4">
            <w:r>
              <w:t>Graduate Student in Data Analytics Engineering</w:t>
            </w:r>
          </w:p>
        </w:tc>
      </w:tr>
      <w:tr w:rsidR="004E4584" w14:paraId="56057621" w14:textId="77777777" w:rsidTr="00ED58A4">
        <w:tc>
          <w:tcPr>
            <w:tcW w:w="2785" w:type="dxa"/>
          </w:tcPr>
          <w:p w14:paraId="0E694E0C" w14:textId="77777777" w:rsidR="004E4584" w:rsidRDefault="004E4584" w:rsidP="00ED58A4">
            <w:r>
              <w:t>Padma Mala Narayanan</w:t>
            </w:r>
          </w:p>
        </w:tc>
        <w:tc>
          <w:tcPr>
            <w:tcW w:w="6565" w:type="dxa"/>
          </w:tcPr>
          <w:p w14:paraId="78E3CB91" w14:textId="77777777" w:rsidR="004E4584" w:rsidRDefault="004E4584" w:rsidP="00ED58A4">
            <w:r>
              <w:t>Graduate Student in Data Analytics Engineering</w:t>
            </w:r>
          </w:p>
        </w:tc>
      </w:tr>
      <w:tr w:rsidR="004E4584" w14:paraId="155224C0" w14:textId="77777777" w:rsidTr="00ED58A4">
        <w:tc>
          <w:tcPr>
            <w:tcW w:w="2785" w:type="dxa"/>
          </w:tcPr>
          <w:p w14:paraId="2A91C4F4" w14:textId="77777777" w:rsidR="004E4584" w:rsidRDefault="004E4584" w:rsidP="00ED58A4">
            <w:r>
              <w:t>Akbar Jiwani</w:t>
            </w:r>
          </w:p>
        </w:tc>
        <w:tc>
          <w:tcPr>
            <w:tcW w:w="6565" w:type="dxa"/>
          </w:tcPr>
          <w:p w14:paraId="353D8CDF" w14:textId="77777777" w:rsidR="004E4584" w:rsidRDefault="004E4584" w:rsidP="00ED58A4">
            <w:r>
              <w:t>Graduate Student in Data Analytics in Financial Engineering</w:t>
            </w:r>
          </w:p>
        </w:tc>
      </w:tr>
    </w:tbl>
    <w:p w14:paraId="0B589625" w14:textId="77777777" w:rsidR="004E4584" w:rsidRDefault="004E4584" w:rsidP="004E4584"/>
    <w:p w14:paraId="6084CC5A" w14:textId="77777777" w:rsidR="004E4584" w:rsidRDefault="004E4584" w:rsidP="004E4584">
      <w:pPr>
        <w:pStyle w:val="Heading2"/>
      </w:pPr>
      <w:r>
        <w:t>Predicting the Loan Delinquency Category</w:t>
      </w:r>
    </w:p>
    <w:p w14:paraId="61A07A66" w14:textId="77777777" w:rsidR="00660AFD" w:rsidRDefault="004E4584" w:rsidP="004E4584">
      <w:r>
        <w:t xml:space="preserve">The primary objective of this analytical exercise if to predict the type of delinquency category. </w:t>
      </w:r>
    </w:p>
    <w:p w14:paraId="648495DC" w14:textId="77777777" w:rsidR="00806CC9" w:rsidRDefault="00806CC9" w:rsidP="00723B66">
      <w:pPr>
        <w:pStyle w:val="Heading2"/>
      </w:pPr>
      <w:r>
        <w:t>Why to Identify Delinquent Loans - Business use case</w:t>
      </w:r>
    </w:p>
    <w:p w14:paraId="4D760DF6" w14:textId="77777777" w:rsidR="00806CC9" w:rsidRDefault="006B67D4" w:rsidP="00806CC9">
      <w:r w:rsidRPr="00C72C2F">
        <w:rPr>
          <w:noProof/>
        </w:rPr>
        <w:drawing>
          <wp:anchor distT="0" distB="0" distL="114300" distR="114300" simplePos="0" relativeHeight="251659264" behindDoc="0" locked="0" layoutInCell="1" allowOverlap="1" wp14:anchorId="014229BA" wp14:editId="624765E9">
            <wp:simplePos x="0" y="0"/>
            <wp:positionH relativeFrom="margin">
              <wp:posOffset>325755</wp:posOffset>
            </wp:positionH>
            <wp:positionV relativeFrom="page">
              <wp:posOffset>3498215</wp:posOffset>
            </wp:positionV>
            <wp:extent cx="4523740" cy="802640"/>
            <wp:effectExtent l="0" t="0" r="10160" b="16510"/>
            <wp:wrapSquare wrapText="bothSides"/>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806CC9">
        <w:t xml:space="preserve">Identifying delinquency category of loans is only one piece of the big puzzle. The bigger picture is to identify the default rate, prepay rate and loss severity vectors. The predictive models generate future cashflow and vectors for different economic scenarios based on the individual business needs. Investors </w:t>
      </w:r>
      <w:r w:rsidR="005C4FA8">
        <w:t xml:space="preserve">take </w:t>
      </w:r>
      <w:r w:rsidR="00806CC9">
        <w:t>the vectors</w:t>
      </w:r>
      <w:r w:rsidR="00BC2B52">
        <w:t>/coefficients</w:t>
      </w:r>
      <w:r w:rsidR="00806CC9">
        <w:t xml:space="preserve"> </w:t>
      </w:r>
      <w:r w:rsidR="00BC2B52">
        <w:t xml:space="preserve">into considerations </w:t>
      </w:r>
      <w:r w:rsidR="00806CC9">
        <w:t>to evaluate bond’s future returns for investors</w:t>
      </w:r>
    </w:p>
    <w:p w14:paraId="45026591" w14:textId="77777777" w:rsidR="004E4584" w:rsidRPr="00FB2269" w:rsidRDefault="004E4584" w:rsidP="00806CC9">
      <w:pPr>
        <w:rPr>
          <w:i/>
          <w:color w:val="FF0000"/>
        </w:rPr>
      </w:pPr>
    </w:p>
    <w:p w14:paraId="07FF454B" w14:textId="77777777" w:rsidR="006B29E7" w:rsidRDefault="006B29E7" w:rsidP="00FB2269"/>
    <w:p w14:paraId="67120B03" w14:textId="77777777" w:rsidR="006B29E7" w:rsidRDefault="006B29E7" w:rsidP="00FB2269"/>
    <w:p w14:paraId="3A3D57D8" w14:textId="77777777" w:rsidR="004F37AA" w:rsidRDefault="004F37AA" w:rsidP="00FB2269"/>
    <w:p w14:paraId="5E5FC692" w14:textId="77777777" w:rsidR="00FB2269" w:rsidRDefault="00FB2269" w:rsidP="00FB2269">
      <w:r>
        <w:t>Following are the categories of the class variable Delinquency Category</w:t>
      </w:r>
    </w:p>
    <w:tbl>
      <w:tblPr>
        <w:tblStyle w:val="GridTable4-Accent3"/>
        <w:tblW w:w="0" w:type="auto"/>
        <w:tblLook w:val="04A0" w:firstRow="1" w:lastRow="0" w:firstColumn="1" w:lastColumn="0" w:noHBand="0" w:noVBand="1"/>
      </w:tblPr>
      <w:tblGrid>
        <w:gridCol w:w="3595"/>
        <w:gridCol w:w="4675"/>
      </w:tblGrid>
      <w:tr w:rsidR="00FB2269" w14:paraId="3891D1AC" w14:textId="77777777" w:rsidTr="00ED5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B51A55C" w14:textId="77777777" w:rsidR="00FB2269" w:rsidRDefault="00FB2269" w:rsidP="00ED58A4">
            <w:r>
              <w:t>Category</w:t>
            </w:r>
          </w:p>
        </w:tc>
        <w:tc>
          <w:tcPr>
            <w:tcW w:w="4675" w:type="dxa"/>
          </w:tcPr>
          <w:p w14:paraId="2641777E" w14:textId="77777777" w:rsidR="00FB2269" w:rsidRDefault="00FB2269" w:rsidP="00ED58A4">
            <w:pPr>
              <w:cnfStyle w:val="100000000000" w:firstRow="1" w:lastRow="0" w:firstColumn="0" w:lastColumn="0" w:oddVBand="0" w:evenVBand="0" w:oddHBand="0" w:evenHBand="0" w:firstRowFirstColumn="0" w:firstRowLastColumn="0" w:lastRowFirstColumn="0" w:lastRowLastColumn="0"/>
            </w:pPr>
            <w:r>
              <w:t>Description</w:t>
            </w:r>
          </w:p>
        </w:tc>
      </w:tr>
      <w:tr w:rsidR="00FB2269" w14:paraId="3F2240B4" w14:textId="77777777" w:rsidTr="00ED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D259677" w14:textId="77777777" w:rsidR="00FB2269" w:rsidRPr="00953536" w:rsidRDefault="00FB2269" w:rsidP="00ED58A4">
            <w:pPr>
              <w:rPr>
                <w:b w:val="0"/>
              </w:rPr>
            </w:pPr>
            <w:r w:rsidRPr="00953536">
              <w:rPr>
                <w:b w:val="0"/>
              </w:rPr>
              <w:t>30 days</w:t>
            </w:r>
          </w:p>
        </w:tc>
        <w:tc>
          <w:tcPr>
            <w:tcW w:w="4675" w:type="dxa"/>
          </w:tcPr>
          <w:p w14:paraId="360A2B0C" w14:textId="77777777" w:rsidR="00FB2269" w:rsidRDefault="00FB2269" w:rsidP="00ED58A4">
            <w:pPr>
              <w:cnfStyle w:val="000000100000" w:firstRow="0" w:lastRow="0" w:firstColumn="0" w:lastColumn="0" w:oddVBand="0" w:evenVBand="0" w:oddHBand="1" w:evenHBand="0" w:firstRowFirstColumn="0" w:firstRowLastColumn="0" w:lastRowFirstColumn="0" w:lastRowLastColumn="0"/>
            </w:pPr>
            <w:r>
              <w:t>Loan is 30 days delinquent. A loan can transition to either 60 days, 90 days or Current status again</w:t>
            </w:r>
          </w:p>
        </w:tc>
      </w:tr>
      <w:tr w:rsidR="00FB2269" w14:paraId="7F0EA16D" w14:textId="77777777" w:rsidTr="00ED58A4">
        <w:tc>
          <w:tcPr>
            <w:cnfStyle w:val="001000000000" w:firstRow="0" w:lastRow="0" w:firstColumn="1" w:lastColumn="0" w:oddVBand="0" w:evenVBand="0" w:oddHBand="0" w:evenHBand="0" w:firstRowFirstColumn="0" w:firstRowLastColumn="0" w:lastRowFirstColumn="0" w:lastRowLastColumn="0"/>
            <w:tcW w:w="3595" w:type="dxa"/>
          </w:tcPr>
          <w:p w14:paraId="20190EF6" w14:textId="77777777" w:rsidR="00FB2269" w:rsidRPr="00953536" w:rsidRDefault="00FB2269" w:rsidP="00ED58A4">
            <w:pPr>
              <w:rPr>
                <w:b w:val="0"/>
              </w:rPr>
            </w:pPr>
            <w:r w:rsidRPr="00953536">
              <w:rPr>
                <w:b w:val="0"/>
              </w:rPr>
              <w:t>60 days</w:t>
            </w:r>
          </w:p>
        </w:tc>
        <w:tc>
          <w:tcPr>
            <w:tcW w:w="4675" w:type="dxa"/>
          </w:tcPr>
          <w:p w14:paraId="7C5FB779" w14:textId="77777777" w:rsidR="00FB2269" w:rsidRDefault="00FB2269" w:rsidP="00ED58A4">
            <w:pPr>
              <w:cnfStyle w:val="000000000000" w:firstRow="0" w:lastRow="0" w:firstColumn="0" w:lastColumn="0" w:oddVBand="0" w:evenVBand="0" w:oddHBand="0" w:evenHBand="0" w:firstRowFirstColumn="0" w:firstRowLastColumn="0" w:lastRowFirstColumn="0" w:lastRowLastColumn="0"/>
            </w:pPr>
            <w:r>
              <w:t>Loan is 60 days delinquent. A loan can transition to either 90 days or Current status again</w:t>
            </w:r>
          </w:p>
        </w:tc>
      </w:tr>
      <w:tr w:rsidR="00FB2269" w14:paraId="6D0A10E7" w14:textId="77777777" w:rsidTr="00ED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F53D831" w14:textId="77777777" w:rsidR="00FB2269" w:rsidRPr="00953536" w:rsidRDefault="00FB2269" w:rsidP="00ED58A4">
            <w:pPr>
              <w:rPr>
                <w:b w:val="0"/>
              </w:rPr>
            </w:pPr>
            <w:r w:rsidRPr="00953536">
              <w:rPr>
                <w:b w:val="0"/>
              </w:rPr>
              <w:t>90 Days</w:t>
            </w:r>
          </w:p>
        </w:tc>
        <w:tc>
          <w:tcPr>
            <w:tcW w:w="4675" w:type="dxa"/>
          </w:tcPr>
          <w:p w14:paraId="7E99CAE8" w14:textId="77777777" w:rsidR="00FB2269" w:rsidRDefault="00FB2269" w:rsidP="00ED58A4">
            <w:pPr>
              <w:cnfStyle w:val="000000100000" w:firstRow="0" w:lastRow="0" w:firstColumn="0" w:lastColumn="0" w:oddVBand="0" w:evenVBand="0" w:oddHBand="1" w:evenHBand="0" w:firstRowFirstColumn="0" w:firstRowLastColumn="0" w:lastRowFirstColumn="0" w:lastRowLastColumn="0"/>
            </w:pPr>
            <w:r>
              <w:t>Loan is 90+ days delinquent. A loan can transition to Current or Bankruptcy status</w:t>
            </w:r>
          </w:p>
        </w:tc>
      </w:tr>
      <w:tr w:rsidR="00FB2269" w14:paraId="2613EB63" w14:textId="77777777" w:rsidTr="00ED58A4">
        <w:tc>
          <w:tcPr>
            <w:cnfStyle w:val="001000000000" w:firstRow="0" w:lastRow="0" w:firstColumn="1" w:lastColumn="0" w:oddVBand="0" w:evenVBand="0" w:oddHBand="0" w:evenHBand="0" w:firstRowFirstColumn="0" w:firstRowLastColumn="0" w:lastRowFirstColumn="0" w:lastRowLastColumn="0"/>
            <w:tcW w:w="3595" w:type="dxa"/>
          </w:tcPr>
          <w:p w14:paraId="36375A0A" w14:textId="77777777" w:rsidR="00FB2269" w:rsidRPr="00953536" w:rsidRDefault="00FB2269" w:rsidP="00ED58A4">
            <w:pPr>
              <w:rPr>
                <w:b w:val="0"/>
              </w:rPr>
            </w:pPr>
            <w:r w:rsidRPr="00953536">
              <w:rPr>
                <w:b w:val="0"/>
              </w:rPr>
              <w:t>Bankruptcy</w:t>
            </w:r>
          </w:p>
        </w:tc>
        <w:tc>
          <w:tcPr>
            <w:tcW w:w="4675" w:type="dxa"/>
          </w:tcPr>
          <w:p w14:paraId="04860FAC" w14:textId="77777777" w:rsidR="00FB2269" w:rsidRDefault="00FB2269" w:rsidP="00ED58A4">
            <w:pPr>
              <w:cnfStyle w:val="000000000000" w:firstRow="0" w:lastRow="0" w:firstColumn="0" w:lastColumn="0" w:oddVBand="0" w:evenVBand="0" w:oddHBand="0" w:evenHBand="0" w:firstRowFirstColumn="0" w:firstRowLastColumn="0" w:lastRowFirstColumn="0" w:lastRowLastColumn="0"/>
            </w:pPr>
            <w:r>
              <w:t xml:space="preserve">Loan is in Bankruptcy status. The loan can transition to Foreclosure or REO status </w:t>
            </w:r>
          </w:p>
        </w:tc>
      </w:tr>
      <w:tr w:rsidR="00FB2269" w14:paraId="37307826" w14:textId="77777777" w:rsidTr="00ED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53A0DC1" w14:textId="77777777" w:rsidR="00FB2269" w:rsidRPr="00953536" w:rsidRDefault="00FB2269" w:rsidP="00ED58A4">
            <w:pPr>
              <w:rPr>
                <w:b w:val="0"/>
              </w:rPr>
            </w:pPr>
            <w:r w:rsidRPr="00953536">
              <w:rPr>
                <w:b w:val="0"/>
              </w:rPr>
              <w:t>Current</w:t>
            </w:r>
          </w:p>
        </w:tc>
        <w:tc>
          <w:tcPr>
            <w:tcW w:w="4675" w:type="dxa"/>
          </w:tcPr>
          <w:p w14:paraId="7F2E8851" w14:textId="77777777" w:rsidR="00FB2269" w:rsidRDefault="00FB2269" w:rsidP="00ED58A4">
            <w:pPr>
              <w:cnfStyle w:val="000000100000" w:firstRow="0" w:lastRow="0" w:firstColumn="0" w:lastColumn="0" w:oddVBand="0" w:evenVBand="0" w:oddHBand="1" w:evenHBand="0" w:firstRowFirstColumn="0" w:firstRowLastColumn="0" w:lastRowFirstColumn="0" w:lastRowLastColumn="0"/>
            </w:pPr>
            <w:r>
              <w:t>If the loan is paid on time and is in no delinquent situation</w:t>
            </w:r>
          </w:p>
        </w:tc>
      </w:tr>
      <w:tr w:rsidR="00FB2269" w14:paraId="0DADB2EB" w14:textId="77777777" w:rsidTr="00ED58A4">
        <w:tc>
          <w:tcPr>
            <w:cnfStyle w:val="001000000000" w:firstRow="0" w:lastRow="0" w:firstColumn="1" w:lastColumn="0" w:oddVBand="0" w:evenVBand="0" w:oddHBand="0" w:evenHBand="0" w:firstRowFirstColumn="0" w:firstRowLastColumn="0" w:lastRowFirstColumn="0" w:lastRowLastColumn="0"/>
            <w:tcW w:w="3595" w:type="dxa"/>
          </w:tcPr>
          <w:p w14:paraId="597E12DC" w14:textId="77777777" w:rsidR="00FB2269" w:rsidRPr="00953536" w:rsidRDefault="00FB2269" w:rsidP="00ED58A4">
            <w:pPr>
              <w:rPr>
                <w:b w:val="0"/>
              </w:rPr>
            </w:pPr>
            <w:r w:rsidRPr="00953536">
              <w:rPr>
                <w:b w:val="0"/>
              </w:rPr>
              <w:t>Foreclosure</w:t>
            </w:r>
          </w:p>
        </w:tc>
        <w:tc>
          <w:tcPr>
            <w:tcW w:w="4675" w:type="dxa"/>
          </w:tcPr>
          <w:p w14:paraId="54A65F95" w14:textId="77777777" w:rsidR="00FB2269" w:rsidRDefault="00FB2269" w:rsidP="00ED58A4">
            <w:pPr>
              <w:cnfStyle w:val="000000000000" w:firstRow="0" w:lastRow="0" w:firstColumn="0" w:lastColumn="0" w:oddVBand="0" w:evenVBand="0" w:oddHBand="0" w:evenHBand="0" w:firstRowFirstColumn="0" w:firstRowLastColumn="0" w:lastRowFirstColumn="0" w:lastRowLastColumn="0"/>
            </w:pPr>
            <w:r>
              <w:t>Post-Bankruptcy the loan is in foreclosure and is not considered to calculate future cash flows and predictive vectors (prepay, default and loss severity)</w:t>
            </w:r>
          </w:p>
        </w:tc>
      </w:tr>
      <w:tr w:rsidR="00FB2269" w14:paraId="1EFB95B8" w14:textId="77777777" w:rsidTr="00ED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BB5A867" w14:textId="77777777" w:rsidR="00FB2269" w:rsidRPr="00953536" w:rsidRDefault="00FB2269" w:rsidP="00ED58A4">
            <w:pPr>
              <w:rPr>
                <w:b w:val="0"/>
              </w:rPr>
            </w:pPr>
            <w:r w:rsidRPr="00953536">
              <w:rPr>
                <w:b w:val="0"/>
              </w:rPr>
              <w:t>REO</w:t>
            </w:r>
          </w:p>
        </w:tc>
        <w:tc>
          <w:tcPr>
            <w:tcW w:w="4675" w:type="dxa"/>
          </w:tcPr>
          <w:p w14:paraId="630A58BF" w14:textId="77777777" w:rsidR="00FB2269" w:rsidRDefault="00FB2269" w:rsidP="00ED58A4">
            <w:pPr>
              <w:cnfStyle w:val="000000100000" w:firstRow="0" w:lastRow="0" w:firstColumn="0" w:lastColumn="0" w:oddVBand="0" w:evenVBand="0" w:oddHBand="1" w:evenHBand="0" w:firstRowFirstColumn="0" w:firstRowLastColumn="0" w:lastRowFirstColumn="0" w:lastRowLastColumn="0"/>
            </w:pPr>
            <w:r>
              <w:t>Post-Bankruptcy the loan is in Real-estate owned status and is not considered to calculate future cash flows and predictive vectors (prepay, default and loss severity)</w:t>
            </w:r>
          </w:p>
        </w:tc>
      </w:tr>
      <w:tr w:rsidR="00FB2269" w14:paraId="3011B62B" w14:textId="77777777" w:rsidTr="0091285E">
        <w:tc>
          <w:tcPr>
            <w:cnfStyle w:val="001000000000" w:firstRow="0" w:lastRow="0" w:firstColumn="1" w:lastColumn="0" w:oddVBand="0" w:evenVBand="0" w:oddHBand="0" w:evenHBand="0" w:firstRowFirstColumn="0" w:firstRowLastColumn="0" w:lastRowFirstColumn="0" w:lastRowLastColumn="0"/>
            <w:tcW w:w="8270" w:type="dxa"/>
            <w:gridSpan w:val="2"/>
          </w:tcPr>
          <w:p w14:paraId="34AB70C3" w14:textId="77777777" w:rsidR="00FB2269" w:rsidRDefault="00FB2269" w:rsidP="00E4038C">
            <w:r>
              <w:rPr>
                <w:b w:val="0"/>
                <w:i/>
              </w:rPr>
              <w:t xml:space="preserve">For Modeling purposes, it </w:t>
            </w:r>
            <w:r w:rsidR="00DF1711">
              <w:rPr>
                <w:b w:val="0"/>
                <w:i/>
              </w:rPr>
              <w:t>makes sense to combine the status of Foreclosure and REO</w:t>
            </w:r>
            <w:r w:rsidR="00E4038C">
              <w:rPr>
                <w:b w:val="0"/>
                <w:i/>
              </w:rPr>
              <w:t>. P</w:t>
            </w:r>
            <w:r w:rsidR="00DF1711">
              <w:rPr>
                <w:b w:val="0"/>
                <w:i/>
              </w:rPr>
              <w:t>ost</w:t>
            </w:r>
            <w:r w:rsidR="00E4038C">
              <w:rPr>
                <w:b w:val="0"/>
                <w:i/>
              </w:rPr>
              <w:t>-</w:t>
            </w:r>
            <w:r w:rsidR="00DF1711">
              <w:rPr>
                <w:b w:val="0"/>
                <w:i/>
              </w:rPr>
              <w:t xml:space="preserve"> bankruptcy, the lender decides either to foreclose or own the property for fix and sale.</w:t>
            </w:r>
            <w:r w:rsidR="00E4038C">
              <w:rPr>
                <w:b w:val="0"/>
                <w:i/>
              </w:rPr>
              <w:t xml:space="preserve"> We have merged the REO delinquency category to Foreclosure for modelling purposes</w:t>
            </w:r>
          </w:p>
        </w:tc>
      </w:tr>
    </w:tbl>
    <w:p w14:paraId="3286547B" w14:textId="77777777" w:rsidR="00FB2269" w:rsidRDefault="00FB2269" w:rsidP="00FB2269"/>
    <w:p w14:paraId="6663C9C0" w14:textId="77777777" w:rsidR="00336B00" w:rsidRDefault="00336B00" w:rsidP="00336B00">
      <w:pPr>
        <w:pStyle w:val="Heading2"/>
      </w:pPr>
      <w:r w:rsidRPr="004D34E5">
        <w:lastRenderedPageBreak/>
        <w:t>Summary of Data</w:t>
      </w:r>
    </w:p>
    <w:p w14:paraId="1D3FA724" w14:textId="77777777" w:rsidR="00336B00" w:rsidRPr="00952874" w:rsidRDefault="005153D9" w:rsidP="00336B00">
      <w:r>
        <w:t>The data we</w:t>
      </w:r>
      <w:r w:rsidR="00336B00">
        <w:t xml:space="preserve"> used is licensed from </w:t>
      </w:r>
      <w:r w:rsidR="000538DD">
        <w:t>third party vendor that provides collateral/loan level data on a monthly basis for all securitized assets</w:t>
      </w:r>
      <w:r w:rsidR="00336B00">
        <w:t>.</w:t>
      </w:r>
      <w:r w:rsidR="000538DD">
        <w:t xml:space="preserve"> </w:t>
      </w:r>
      <w:r w:rsidR="003A5E5D">
        <w:t>We</w:t>
      </w:r>
      <w:r w:rsidR="00336B00">
        <w:t xml:space="preserve"> </w:t>
      </w:r>
      <w:r w:rsidR="00445B5D">
        <w:t xml:space="preserve">have </w:t>
      </w:r>
      <w:r w:rsidR="00336B00">
        <w:t xml:space="preserve">used around 3000 loans from several RMBS deals (bonds) of various </w:t>
      </w:r>
      <w:r w:rsidR="000538DD">
        <w:t>vintages and prospectus groups.</w:t>
      </w:r>
      <w:r w:rsidR="00336B00">
        <w:t xml:space="preserve"> </w:t>
      </w:r>
    </w:p>
    <w:tbl>
      <w:tblPr>
        <w:tblStyle w:val="TableGrid"/>
        <w:tblW w:w="0" w:type="auto"/>
        <w:tblLook w:val="04A0" w:firstRow="1" w:lastRow="0" w:firstColumn="1" w:lastColumn="0" w:noHBand="0" w:noVBand="1"/>
      </w:tblPr>
      <w:tblGrid>
        <w:gridCol w:w="4675"/>
        <w:gridCol w:w="4675"/>
      </w:tblGrid>
      <w:tr w:rsidR="00336B00" w14:paraId="4D991171" w14:textId="77777777" w:rsidTr="00ED58A4">
        <w:tc>
          <w:tcPr>
            <w:tcW w:w="4675" w:type="dxa"/>
          </w:tcPr>
          <w:p w14:paraId="2DFBC222" w14:textId="77777777" w:rsidR="00336B00" w:rsidRDefault="00336B00" w:rsidP="00ED58A4">
            <w:r>
              <w:t>Total records used to train and test</w:t>
            </w:r>
          </w:p>
        </w:tc>
        <w:tc>
          <w:tcPr>
            <w:tcW w:w="4675" w:type="dxa"/>
          </w:tcPr>
          <w:p w14:paraId="2E5352B7" w14:textId="77777777" w:rsidR="00336B00" w:rsidRDefault="00336B00" w:rsidP="00ED58A4">
            <w:r>
              <w:t>2978</w:t>
            </w:r>
          </w:p>
        </w:tc>
      </w:tr>
      <w:tr w:rsidR="00336B00" w14:paraId="6BF9503E" w14:textId="77777777" w:rsidTr="00ED58A4">
        <w:tc>
          <w:tcPr>
            <w:tcW w:w="4675" w:type="dxa"/>
          </w:tcPr>
          <w:p w14:paraId="043F0986" w14:textId="77777777" w:rsidR="00336B00" w:rsidRDefault="00336B00" w:rsidP="00ED58A4">
            <w:r>
              <w:t>Number of Columns</w:t>
            </w:r>
          </w:p>
        </w:tc>
        <w:tc>
          <w:tcPr>
            <w:tcW w:w="4675" w:type="dxa"/>
          </w:tcPr>
          <w:p w14:paraId="015D1B9F" w14:textId="77777777" w:rsidR="00336B00" w:rsidRDefault="00AD5490" w:rsidP="00ED58A4">
            <w:r>
              <w:t>33</w:t>
            </w:r>
          </w:p>
        </w:tc>
      </w:tr>
      <w:tr w:rsidR="00336B00" w14:paraId="27942EA8" w14:textId="77777777" w:rsidTr="00ED58A4">
        <w:tc>
          <w:tcPr>
            <w:tcW w:w="4675" w:type="dxa"/>
          </w:tcPr>
          <w:p w14:paraId="56883E2E" w14:textId="77777777" w:rsidR="00336B00" w:rsidRDefault="00336B00" w:rsidP="00ED58A4">
            <w:r>
              <w:t>Number of Categorical Columns</w:t>
            </w:r>
          </w:p>
        </w:tc>
        <w:tc>
          <w:tcPr>
            <w:tcW w:w="4675" w:type="dxa"/>
          </w:tcPr>
          <w:p w14:paraId="43C6400E" w14:textId="77777777" w:rsidR="00336B00" w:rsidRDefault="000A617E" w:rsidP="00ED58A4">
            <w:r>
              <w:t>7</w:t>
            </w:r>
          </w:p>
        </w:tc>
      </w:tr>
    </w:tbl>
    <w:p w14:paraId="7ACEA723" w14:textId="77777777" w:rsidR="00EA6FDE" w:rsidRDefault="00EA6FDE" w:rsidP="004E4584">
      <w:pPr>
        <w:rPr>
          <w:i/>
        </w:rPr>
      </w:pPr>
    </w:p>
    <w:p w14:paraId="64EEEE30" w14:textId="77777777" w:rsidR="004E4584" w:rsidRDefault="005F3B35" w:rsidP="005F3B35">
      <w:pPr>
        <w:jc w:val="center"/>
        <w:rPr>
          <w:i/>
        </w:rPr>
      </w:pPr>
      <w:r>
        <w:rPr>
          <w:noProof/>
        </w:rPr>
        <w:drawing>
          <wp:inline distT="0" distB="0" distL="0" distR="0" wp14:anchorId="681D9554" wp14:editId="51F69C38">
            <wp:extent cx="5383033" cy="2870376"/>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607" cy="2872815"/>
                    </a:xfrm>
                    <a:prstGeom prst="rect">
                      <a:avLst/>
                    </a:prstGeom>
                  </pic:spPr>
                </pic:pic>
              </a:graphicData>
            </a:graphic>
          </wp:inline>
        </w:drawing>
      </w:r>
    </w:p>
    <w:p w14:paraId="3D3486AC" w14:textId="77777777" w:rsidR="00EA6FDE" w:rsidRDefault="00EA6FDE" w:rsidP="004E4584">
      <w:pPr>
        <w:rPr>
          <w:i/>
        </w:rPr>
      </w:pPr>
    </w:p>
    <w:p w14:paraId="231F4928" w14:textId="77777777" w:rsidR="006166DC" w:rsidRDefault="006166DC" w:rsidP="006166DC">
      <w:pPr>
        <w:pStyle w:val="Heading2"/>
      </w:pPr>
      <w:r>
        <w:t>Data Exploration</w:t>
      </w:r>
    </w:p>
    <w:p w14:paraId="024640C0" w14:textId="77777777" w:rsidR="006166DC" w:rsidRDefault="00410141" w:rsidP="00C12919">
      <w:pPr>
        <w:pStyle w:val="Heading4"/>
      </w:pPr>
      <w:r>
        <w:t>Missing Values</w:t>
      </w:r>
    </w:p>
    <w:p w14:paraId="5C2EC896" w14:textId="77777777" w:rsidR="00410141" w:rsidRDefault="00BE4EBC" w:rsidP="00410141">
      <w:r>
        <w:t xml:space="preserve">Since this is a post-transformation data, there are no missing values </w:t>
      </w:r>
      <w:r w:rsidR="00571646">
        <w:t>in all the key attributes that we have used. Only issue that we</w:t>
      </w:r>
      <w:r>
        <w:t xml:space="preserve"> fixed is </w:t>
      </w:r>
      <w:r>
        <w:rPr>
          <w:i/>
        </w:rPr>
        <w:t xml:space="preserve">IsArm </w:t>
      </w:r>
      <w:r w:rsidR="00571646">
        <w:t>variable that has both 0</w:t>
      </w:r>
      <w:r>
        <w:t xml:space="preserve"> and </w:t>
      </w:r>
      <w:r w:rsidR="00571646">
        <w:t xml:space="preserve">false </w:t>
      </w:r>
      <w:r>
        <w:t>values. All the values are converted to 1 for true and 0 for false part of the cleansing routine</w:t>
      </w:r>
    </w:p>
    <w:p w14:paraId="09D1FD3C" w14:textId="77777777" w:rsidR="00C26F21" w:rsidRDefault="00E14BD5" w:rsidP="00F53BA5">
      <w:pPr>
        <w:jc w:val="center"/>
      </w:pPr>
      <w:r>
        <w:rPr>
          <w:noProof/>
        </w:rPr>
        <w:drawing>
          <wp:inline distT="0" distB="0" distL="0" distR="0" wp14:anchorId="7CD3EEFA" wp14:editId="6983D678">
            <wp:extent cx="1596654" cy="21786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4247" cy="2189018"/>
                    </a:xfrm>
                    <a:prstGeom prst="rect">
                      <a:avLst/>
                    </a:prstGeom>
                  </pic:spPr>
                </pic:pic>
              </a:graphicData>
            </a:graphic>
          </wp:inline>
        </w:drawing>
      </w:r>
    </w:p>
    <w:p w14:paraId="57ECB000" w14:textId="77777777" w:rsidR="00315990" w:rsidRDefault="00315990" w:rsidP="00315990">
      <w:pPr>
        <w:pStyle w:val="Heading4"/>
      </w:pPr>
      <w:r>
        <w:lastRenderedPageBreak/>
        <w:t xml:space="preserve">Data Coverage by Loan-to-Value </w:t>
      </w:r>
    </w:p>
    <w:p w14:paraId="2E28DB99" w14:textId="77777777" w:rsidR="00BF3C5D" w:rsidRDefault="00BF3C5D" w:rsidP="00410141">
      <w:r>
        <w:t>The graph below shows coverage the data by LTV (Loan-to-Value) range. In the mortgage industry, LTV below 80 is favored. Any loans request above the 80 LTV could potentially be charged higher interest rate. During the data transformation process, any missing values for LTV is given a default value of 80</w:t>
      </w:r>
    </w:p>
    <w:p w14:paraId="707D5020" w14:textId="77777777" w:rsidR="00E14BD5" w:rsidRDefault="00315990" w:rsidP="00BA6CD6">
      <w:pPr>
        <w:jc w:val="center"/>
      </w:pPr>
      <w:r>
        <w:rPr>
          <w:noProof/>
        </w:rPr>
        <w:drawing>
          <wp:inline distT="0" distB="0" distL="0" distR="0" wp14:anchorId="01C797EF" wp14:editId="611C533C">
            <wp:extent cx="5632272" cy="28624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417" cy="2871184"/>
                    </a:xfrm>
                    <a:prstGeom prst="rect">
                      <a:avLst/>
                    </a:prstGeom>
                  </pic:spPr>
                </pic:pic>
              </a:graphicData>
            </a:graphic>
          </wp:inline>
        </w:drawing>
      </w:r>
    </w:p>
    <w:p w14:paraId="1277C9C6" w14:textId="77777777" w:rsidR="0055457C" w:rsidRDefault="0055457C" w:rsidP="00410141"/>
    <w:p w14:paraId="18846502" w14:textId="77777777" w:rsidR="00053B9F" w:rsidRDefault="00053B9F" w:rsidP="00053B9F">
      <w:pPr>
        <w:pStyle w:val="Heading4"/>
      </w:pPr>
      <w:r>
        <w:t>Identifying Outliers for Key Numerical Predictor variables</w:t>
      </w:r>
    </w:p>
    <w:p w14:paraId="2A23BA6C" w14:textId="77777777" w:rsidR="009C601F" w:rsidRPr="009C601F" w:rsidRDefault="00254065" w:rsidP="009C601F">
      <w:r>
        <w:t xml:space="preserve">As per the domain, </w:t>
      </w:r>
      <w:r w:rsidR="00EC0F1C">
        <w:t xml:space="preserve">Credit Score, </w:t>
      </w:r>
      <w:r w:rsidR="00010E66">
        <w:t>Current Balance, Property Valuation Amount and Original Note Amount are key numerical factors to evaluate the delinquency status on the loan. The Current Balance and Property Valuation Amount are calculated every period for the updated delinquency factor evaluation. Current balance is retrieved from a third party vendor but the property valuation amount is calculated during the transformation process.</w:t>
      </w:r>
    </w:p>
    <w:tbl>
      <w:tblPr>
        <w:tblStyle w:val="TableGrid"/>
        <w:tblW w:w="0" w:type="auto"/>
        <w:tblLook w:val="04A0" w:firstRow="1" w:lastRow="0" w:firstColumn="1" w:lastColumn="0" w:noHBand="0" w:noVBand="1"/>
      </w:tblPr>
      <w:tblGrid>
        <w:gridCol w:w="9350"/>
      </w:tblGrid>
      <w:tr w:rsidR="0006197E" w14:paraId="7B4EF340" w14:textId="77777777" w:rsidTr="0006197E">
        <w:tc>
          <w:tcPr>
            <w:tcW w:w="9350" w:type="dxa"/>
          </w:tcPr>
          <w:p w14:paraId="37B379A8" w14:textId="77777777" w:rsidR="0006197E" w:rsidRDefault="0006197E" w:rsidP="0006197E">
            <w:pPr>
              <w:jc w:val="center"/>
            </w:pPr>
            <w:r>
              <w:rPr>
                <w:noProof/>
              </w:rPr>
              <w:drawing>
                <wp:inline distT="0" distB="0" distL="0" distR="0" wp14:anchorId="16B21379" wp14:editId="48A1B7F0">
                  <wp:extent cx="3876675" cy="1966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9465" cy="1993700"/>
                          </a:xfrm>
                          <a:prstGeom prst="rect">
                            <a:avLst/>
                          </a:prstGeom>
                        </pic:spPr>
                      </pic:pic>
                    </a:graphicData>
                  </a:graphic>
                </wp:inline>
              </w:drawing>
            </w:r>
          </w:p>
        </w:tc>
      </w:tr>
      <w:tr w:rsidR="0006197E" w14:paraId="338B609D" w14:textId="77777777" w:rsidTr="0006197E">
        <w:tc>
          <w:tcPr>
            <w:tcW w:w="9350" w:type="dxa"/>
          </w:tcPr>
          <w:p w14:paraId="1ED6DA8F" w14:textId="77777777" w:rsidR="0006197E" w:rsidRDefault="0006197E" w:rsidP="0006197E">
            <w:pPr>
              <w:jc w:val="center"/>
            </w:pPr>
            <w:r>
              <w:rPr>
                <w:noProof/>
              </w:rPr>
              <w:lastRenderedPageBreak/>
              <w:drawing>
                <wp:inline distT="0" distB="0" distL="0" distR="0" wp14:anchorId="7F1A47C1" wp14:editId="2E3FA196">
                  <wp:extent cx="3590925" cy="182193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0934" cy="1852381"/>
                          </a:xfrm>
                          <a:prstGeom prst="rect">
                            <a:avLst/>
                          </a:prstGeom>
                        </pic:spPr>
                      </pic:pic>
                    </a:graphicData>
                  </a:graphic>
                </wp:inline>
              </w:drawing>
            </w:r>
          </w:p>
        </w:tc>
      </w:tr>
      <w:tr w:rsidR="0006197E" w14:paraId="5A8C5336" w14:textId="77777777" w:rsidTr="0006197E">
        <w:tc>
          <w:tcPr>
            <w:tcW w:w="9350" w:type="dxa"/>
          </w:tcPr>
          <w:p w14:paraId="05063783" w14:textId="77777777" w:rsidR="0006197E" w:rsidRDefault="00E4468E" w:rsidP="00E4468E">
            <w:pPr>
              <w:jc w:val="center"/>
            </w:pPr>
            <w:r>
              <w:rPr>
                <w:noProof/>
              </w:rPr>
              <w:drawing>
                <wp:inline distT="0" distB="0" distL="0" distR="0" wp14:anchorId="5A26D5AD" wp14:editId="1EE0340D">
                  <wp:extent cx="3581400" cy="18171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442" cy="1841476"/>
                          </a:xfrm>
                          <a:prstGeom prst="rect">
                            <a:avLst/>
                          </a:prstGeom>
                        </pic:spPr>
                      </pic:pic>
                    </a:graphicData>
                  </a:graphic>
                </wp:inline>
              </w:drawing>
            </w:r>
          </w:p>
        </w:tc>
      </w:tr>
    </w:tbl>
    <w:p w14:paraId="5461286A" w14:textId="77777777" w:rsidR="0006197E" w:rsidRDefault="0006197E" w:rsidP="00053B9F"/>
    <w:p w14:paraId="2E5856A1" w14:textId="77777777" w:rsidR="004774D9" w:rsidRDefault="004774D9" w:rsidP="004774D9">
      <w:pPr>
        <w:pStyle w:val="Heading4"/>
      </w:pPr>
      <w:r>
        <w:t>Normalizing the Data</w:t>
      </w:r>
    </w:p>
    <w:p w14:paraId="0E003C74" w14:textId="77777777" w:rsidR="00BF5956" w:rsidRDefault="00BF5956" w:rsidP="004774D9">
      <w:r>
        <w:t xml:space="preserve">Based on the visualization shown below, </w:t>
      </w:r>
      <w:r w:rsidR="002C3479">
        <w:t xml:space="preserve">Note Amount, Property Valuation Amount and Current Balance are right skewed. We did log() transformation to normalize the data by shortening the range of the values. </w:t>
      </w:r>
    </w:p>
    <w:p w14:paraId="3A1BD913" w14:textId="77777777" w:rsidR="00BF5956" w:rsidRDefault="00BF5956" w:rsidP="004774D9"/>
    <w:tbl>
      <w:tblPr>
        <w:tblStyle w:val="TableGrid"/>
        <w:tblW w:w="0" w:type="auto"/>
        <w:tblLook w:val="04A0" w:firstRow="1" w:lastRow="0" w:firstColumn="1" w:lastColumn="0" w:noHBand="0" w:noVBand="1"/>
      </w:tblPr>
      <w:tblGrid>
        <w:gridCol w:w="4704"/>
        <w:gridCol w:w="4646"/>
      </w:tblGrid>
      <w:tr w:rsidR="00D11FF8" w14:paraId="4FB4DF11" w14:textId="77777777" w:rsidTr="009F028D">
        <w:trPr>
          <w:trHeight w:val="1275"/>
        </w:trPr>
        <w:tc>
          <w:tcPr>
            <w:tcW w:w="4534" w:type="dxa"/>
          </w:tcPr>
          <w:p w14:paraId="59638AD0" w14:textId="77777777" w:rsidR="00BF5956" w:rsidRDefault="00BF5956" w:rsidP="004774D9">
            <w:r>
              <w:rPr>
                <w:noProof/>
              </w:rPr>
              <w:drawing>
                <wp:inline distT="0" distB="0" distL="0" distR="0" wp14:anchorId="1A39A746" wp14:editId="30D2E606">
                  <wp:extent cx="2771775" cy="140632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337" cy="1425378"/>
                          </a:xfrm>
                          <a:prstGeom prst="rect">
                            <a:avLst/>
                          </a:prstGeom>
                        </pic:spPr>
                      </pic:pic>
                    </a:graphicData>
                  </a:graphic>
                </wp:inline>
              </w:drawing>
            </w:r>
          </w:p>
          <w:p w14:paraId="5AD13064" w14:textId="77777777" w:rsidR="002C3479" w:rsidRPr="002C3479" w:rsidRDefault="002C3479" w:rsidP="002C3479">
            <w:pPr>
              <w:jc w:val="center"/>
              <w:rPr>
                <w:i/>
              </w:rPr>
            </w:pPr>
            <w:r w:rsidRPr="004A5BA0">
              <w:rPr>
                <w:i/>
                <w:color w:val="2E74B5" w:themeColor="accent1" w:themeShade="BF"/>
                <w:sz w:val="18"/>
              </w:rPr>
              <w:t>Note Amount - Prior to transformation</w:t>
            </w:r>
          </w:p>
        </w:tc>
        <w:tc>
          <w:tcPr>
            <w:tcW w:w="4351" w:type="dxa"/>
          </w:tcPr>
          <w:p w14:paraId="263A5C93" w14:textId="77777777" w:rsidR="00BF5956" w:rsidRDefault="00D11FF8" w:rsidP="004774D9">
            <w:r>
              <w:rPr>
                <w:noProof/>
              </w:rPr>
              <w:drawing>
                <wp:inline distT="0" distB="0" distL="0" distR="0" wp14:anchorId="25CF337F" wp14:editId="18F75546">
                  <wp:extent cx="2781300" cy="14111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847" cy="1443395"/>
                          </a:xfrm>
                          <a:prstGeom prst="rect">
                            <a:avLst/>
                          </a:prstGeom>
                        </pic:spPr>
                      </pic:pic>
                    </a:graphicData>
                  </a:graphic>
                </wp:inline>
              </w:drawing>
            </w:r>
          </w:p>
          <w:p w14:paraId="27FE2AA0" w14:textId="77777777" w:rsidR="002C3479" w:rsidRDefault="002C3479" w:rsidP="002C3479">
            <w:pPr>
              <w:jc w:val="center"/>
              <w:rPr>
                <w:i/>
                <w:color w:val="2E74B5" w:themeColor="accent1" w:themeShade="BF"/>
                <w:sz w:val="18"/>
              </w:rPr>
            </w:pPr>
            <w:r w:rsidRPr="004A5BA0">
              <w:rPr>
                <w:i/>
                <w:color w:val="2E74B5" w:themeColor="accent1" w:themeShade="BF"/>
                <w:sz w:val="18"/>
              </w:rPr>
              <w:t>Note Amount - Post transformation</w:t>
            </w:r>
          </w:p>
          <w:p w14:paraId="5CB610F1" w14:textId="77777777" w:rsidR="009C5C6B" w:rsidRDefault="009C5C6B" w:rsidP="002C3479">
            <w:pPr>
              <w:jc w:val="center"/>
            </w:pPr>
            <w:r>
              <w:rPr>
                <w:noProof/>
              </w:rPr>
              <w:drawing>
                <wp:inline distT="0" distB="0" distL="0" distR="0" wp14:anchorId="638F1281" wp14:editId="02C5C1EC">
                  <wp:extent cx="1622066" cy="4140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2405" cy="421744"/>
                          </a:xfrm>
                          <a:prstGeom prst="rect">
                            <a:avLst/>
                          </a:prstGeom>
                        </pic:spPr>
                      </pic:pic>
                    </a:graphicData>
                  </a:graphic>
                </wp:inline>
              </w:drawing>
            </w:r>
          </w:p>
        </w:tc>
      </w:tr>
      <w:tr w:rsidR="00D11FF8" w14:paraId="0B0CF1D3" w14:textId="77777777" w:rsidTr="009F028D">
        <w:trPr>
          <w:trHeight w:val="1336"/>
        </w:trPr>
        <w:tc>
          <w:tcPr>
            <w:tcW w:w="4534" w:type="dxa"/>
          </w:tcPr>
          <w:p w14:paraId="68DE7021" w14:textId="77777777" w:rsidR="00BF5956" w:rsidRDefault="00BF5956" w:rsidP="004774D9">
            <w:r>
              <w:rPr>
                <w:noProof/>
              </w:rPr>
              <w:lastRenderedPageBreak/>
              <w:drawing>
                <wp:inline distT="0" distB="0" distL="0" distR="0" wp14:anchorId="77AD3327" wp14:editId="4A9056C1">
                  <wp:extent cx="2914650" cy="14788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8921" cy="1486052"/>
                          </a:xfrm>
                          <a:prstGeom prst="rect">
                            <a:avLst/>
                          </a:prstGeom>
                        </pic:spPr>
                      </pic:pic>
                    </a:graphicData>
                  </a:graphic>
                </wp:inline>
              </w:drawing>
            </w:r>
          </w:p>
          <w:p w14:paraId="3880A3D7" w14:textId="77777777" w:rsidR="002C3479" w:rsidRDefault="002C3479" w:rsidP="002C3479">
            <w:pPr>
              <w:jc w:val="center"/>
            </w:pPr>
            <w:r w:rsidRPr="004A5BA0">
              <w:rPr>
                <w:i/>
                <w:color w:val="2E74B5" w:themeColor="accent1" w:themeShade="BF"/>
                <w:sz w:val="18"/>
              </w:rPr>
              <w:t>Current Balance - Prior to transformation</w:t>
            </w:r>
          </w:p>
        </w:tc>
        <w:tc>
          <w:tcPr>
            <w:tcW w:w="4351" w:type="dxa"/>
          </w:tcPr>
          <w:p w14:paraId="3A1A40A1" w14:textId="77777777" w:rsidR="00BF5956" w:rsidRDefault="00D11FF8" w:rsidP="004774D9">
            <w:r>
              <w:rPr>
                <w:noProof/>
              </w:rPr>
              <w:drawing>
                <wp:inline distT="0" distB="0" distL="0" distR="0" wp14:anchorId="1E5D1723" wp14:editId="744D5834">
                  <wp:extent cx="2891076" cy="1466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9420" cy="1481231"/>
                          </a:xfrm>
                          <a:prstGeom prst="rect">
                            <a:avLst/>
                          </a:prstGeom>
                        </pic:spPr>
                      </pic:pic>
                    </a:graphicData>
                  </a:graphic>
                </wp:inline>
              </w:drawing>
            </w:r>
          </w:p>
          <w:p w14:paraId="1C2E2BF2" w14:textId="77777777" w:rsidR="002C3479" w:rsidRDefault="002C3479" w:rsidP="002C3479">
            <w:pPr>
              <w:jc w:val="center"/>
              <w:rPr>
                <w:i/>
                <w:color w:val="2E74B5" w:themeColor="accent1" w:themeShade="BF"/>
                <w:sz w:val="18"/>
              </w:rPr>
            </w:pPr>
            <w:r w:rsidRPr="004A5BA0">
              <w:rPr>
                <w:i/>
                <w:color w:val="2E74B5" w:themeColor="accent1" w:themeShade="BF"/>
                <w:sz w:val="18"/>
              </w:rPr>
              <w:t>Current Balance – Post transformation</w:t>
            </w:r>
          </w:p>
          <w:p w14:paraId="32589305" w14:textId="77777777" w:rsidR="009C5C6B" w:rsidRDefault="009C5C6B" w:rsidP="002C3479">
            <w:pPr>
              <w:jc w:val="center"/>
            </w:pPr>
            <w:r>
              <w:rPr>
                <w:noProof/>
              </w:rPr>
              <w:drawing>
                <wp:inline distT="0" distB="0" distL="0" distR="0" wp14:anchorId="563DAF76" wp14:editId="1781235A">
                  <wp:extent cx="1604274" cy="345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3256" cy="356086"/>
                          </a:xfrm>
                          <a:prstGeom prst="rect">
                            <a:avLst/>
                          </a:prstGeom>
                        </pic:spPr>
                      </pic:pic>
                    </a:graphicData>
                  </a:graphic>
                </wp:inline>
              </w:drawing>
            </w:r>
          </w:p>
        </w:tc>
      </w:tr>
      <w:tr w:rsidR="00D11FF8" w14:paraId="55DBFA11" w14:textId="77777777" w:rsidTr="009F028D">
        <w:trPr>
          <w:trHeight w:val="2725"/>
        </w:trPr>
        <w:tc>
          <w:tcPr>
            <w:tcW w:w="4534" w:type="dxa"/>
          </w:tcPr>
          <w:p w14:paraId="0AA5D850" w14:textId="77777777" w:rsidR="00BF5956" w:rsidRDefault="00BF5956" w:rsidP="004774D9">
            <w:r>
              <w:rPr>
                <w:noProof/>
              </w:rPr>
              <w:drawing>
                <wp:inline distT="0" distB="0" distL="0" distR="0" wp14:anchorId="5035F33C" wp14:editId="40C11FD6">
                  <wp:extent cx="2928622" cy="14859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5745" cy="1499661"/>
                          </a:xfrm>
                          <a:prstGeom prst="rect">
                            <a:avLst/>
                          </a:prstGeom>
                        </pic:spPr>
                      </pic:pic>
                    </a:graphicData>
                  </a:graphic>
                </wp:inline>
              </w:drawing>
            </w:r>
          </w:p>
          <w:p w14:paraId="1768326E" w14:textId="77777777" w:rsidR="004A5BA0" w:rsidRDefault="004A5BA0" w:rsidP="004A5BA0">
            <w:pPr>
              <w:jc w:val="center"/>
            </w:pPr>
            <w:r>
              <w:rPr>
                <w:i/>
                <w:color w:val="2E74B5" w:themeColor="accent1" w:themeShade="BF"/>
                <w:sz w:val="18"/>
              </w:rPr>
              <w:t xml:space="preserve">Property Valuation Amount </w:t>
            </w:r>
            <w:r w:rsidRPr="004A5BA0">
              <w:rPr>
                <w:i/>
                <w:color w:val="2E74B5" w:themeColor="accent1" w:themeShade="BF"/>
                <w:sz w:val="18"/>
              </w:rPr>
              <w:t>- Prior to transformation</w:t>
            </w:r>
          </w:p>
        </w:tc>
        <w:tc>
          <w:tcPr>
            <w:tcW w:w="4351" w:type="dxa"/>
          </w:tcPr>
          <w:p w14:paraId="136376BD" w14:textId="77777777" w:rsidR="00BF5956" w:rsidRDefault="00D11FF8" w:rsidP="004774D9">
            <w:r>
              <w:rPr>
                <w:noProof/>
              </w:rPr>
              <w:drawing>
                <wp:inline distT="0" distB="0" distL="0" distR="0" wp14:anchorId="4BEF22D1" wp14:editId="3017901B">
                  <wp:extent cx="2891076" cy="14668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8585" cy="1496028"/>
                          </a:xfrm>
                          <a:prstGeom prst="rect">
                            <a:avLst/>
                          </a:prstGeom>
                        </pic:spPr>
                      </pic:pic>
                    </a:graphicData>
                  </a:graphic>
                </wp:inline>
              </w:drawing>
            </w:r>
          </w:p>
          <w:p w14:paraId="69CEDCCA" w14:textId="77777777" w:rsidR="004A5BA0" w:rsidRDefault="004A5BA0" w:rsidP="004A5BA0">
            <w:pPr>
              <w:jc w:val="center"/>
              <w:rPr>
                <w:i/>
                <w:color w:val="2E74B5" w:themeColor="accent1" w:themeShade="BF"/>
                <w:sz w:val="18"/>
              </w:rPr>
            </w:pPr>
            <w:r>
              <w:rPr>
                <w:i/>
                <w:color w:val="2E74B5" w:themeColor="accent1" w:themeShade="BF"/>
                <w:sz w:val="18"/>
              </w:rPr>
              <w:t>Property Valuation Amount –</w:t>
            </w:r>
            <w:r w:rsidRPr="004A5BA0">
              <w:rPr>
                <w:i/>
                <w:color w:val="2E74B5" w:themeColor="accent1" w:themeShade="BF"/>
                <w:sz w:val="18"/>
              </w:rPr>
              <w:t xml:space="preserve"> </w:t>
            </w:r>
            <w:r>
              <w:rPr>
                <w:i/>
                <w:color w:val="2E74B5" w:themeColor="accent1" w:themeShade="BF"/>
                <w:sz w:val="18"/>
              </w:rPr>
              <w:t xml:space="preserve">Post </w:t>
            </w:r>
            <w:r w:rsidRPr="004A5BA0">
              <w:rPr>
                <w:i/>
                <w:color w:val="2E74B5" w:themeColor="accent1" w:themeShade="BF"/>
                <w:sz w:val="18"/>
              </w:rPr>
              <w:t>transformation</w:t>
            </w:r>
          </w:p>
          <w:p w14:paraId="3FF93110" w14:textId="77777777" w:rsidR="009C5C6B" w:rsidRDefault="009C5C6B" w:rsidP="004A5BA0">
            <w:pPr>
              <w:jc w:val="center"/>
            </w:pPr>
            <w:r>
              <w:rPr>
                <w:noProof/>
              </w:rPr>
              <w:drawing>
                <wp:inline distT="0" distB="0" distL="0" distR="0" wp14:anchorId="13003008" wp14:editId="093F5CAE">
                  <wp:extent cx="1807799" cy="359204"/>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5517" cy="364712"/>
                          </a:xfrm>
                          <a:prstGeom prst="rect">
                            <a:avLst/>
                          </a:prstGeom>
                        </pic:spPr>
                      </pic:pic>
                    </a:graphicData>
                  </a:graphic>
                </wp:inline>
              </w:drawing>
            </w:r>
          </w:p>
        </w:tc>
      </w:tr>
    </w:tbl>
    <w:p w14:paraId="73155469" w14:textId="77777777" w:rsidR="00BF5956" w:rsidRDefault="00BF5956" w:rsidP="004774D9"/>
    <w:p w14:paraId="1454321D" w14:textId="77777777" w:rsidR="0008130B" w:rsidRDefault="00F87DAF" w:rsidP="00F87DAF">
      <w:pPr>
        <w:pStyle w:val="Heading2"/>
      </w:pPr>
      <w:r>
        <w:t>Classification Models</w:t>
      </w:r>
    </w:p>
    <w:p w14:paraId="7D1340A6" w14:textId="77777777" w:rsidR="00EF239B" w:rsidRDefault="00841938" w:rsidP="00EF239B">
      <w:r>
        <w:t>We tried 4 different classification models to predict Delinquency Category</w:t>
      </w:r>
      <w:r w:rsidR="00E805FC">
        <w:t>. Initially, we used all the variables but as we tune our parameters with different subset combinations, number of tress etc., we kept the log of Misclassification Error rate and ultimately selected the model that reduced the misclassification error rate.</w:t>
      </w:r>
    </w:p>
    <w:p w14:paraId="66A41065" w14:textId="77777777" w:rsidR="00C12A2D" w:rsidRPr="00EF239B" w:rsidRDefault="00C12A2D" w:rsidP="00EF239B">
      <w:r>
        <w:t>We used 75% of the data for training the model and the rest 25% for the validation set.</w:t>
      </w:r>
    </w:p>
    <w:p w14:paraId="3F15E8B4" w14:textId="77777777" w:rsidR="00DD1589" w:rsidRDefault="00117939" w:rsidP="00480BA3">
      <w:pPr>
        <w:pStyle w:val="Heading3"/>
      </w:pPr>
      <w:r>
        <w:t>Random Forest Model</w:t>
      </w:r>
    </w:p>
    <w:p w14:paraId="468D1E74" w14:textId="77777777" w:rsidR="00106998" w:rsidRDefault="007720A3" w:rsidP="00BD3807">
      <w:pPr>
        <w:pStyle w:val="NoSpacing"/>
      </w:pPr>
      <w:r>
        <w:t xml:space="preserve">Random forest was the first model that we ran and initially used all the variables to identify the important variables to consider for our future models. </w:t>
      </w:r>
      <w:r w:rsidR="00A24365">
        <w:t>W</w:t>
      </w:r>
      <w:r w:rsidR="004A0B06">
        <w:t xml:space="preserve">e used at least 6 difference combinations of target variables based on the Mean decrease Gini-variable and Mean decrease accuracy-variable importance </w:t>
      </w:r>
      <w:r w:rsidR="00824711">
        <w:t>as shown in the section below</w:t>
      </w:r>
      <w:r w:rsidR="004A0B06">
        <w:t>.</w:t>
      </w:r>
      <w:r w:rsidR="00BF27BA">
        <w:t xml:space="preserve"> We identified about </w:t>
      </w:r>
      <w:r w:rsidR="00BF27BA" w:rsidRPr="00BF27BA">
        <w:rPr>
          <w:u w:val="single"/>
        </w:rPr>
        <w:t>14 variables</w:t>
      </w:r>
      <w:r w:rsidR="00BF27BA" w:rsidRPr="00BF27BA">
        <w:t xml:space="preserve"> that </w:t>
      </w:r>
      <w:r w:rsidR="00BF27BA">
        <w:t xml:space="preserve">provided the lowest MSE across all the models. </w:t>
      </w:r>
    </w:p>
    <w:p w14:paraId="2ED6128C" w14:textId="77777777" w:rsidR="00BF27BA" w:rsidRDefault="00BF27BA" w:rsidP="00BD3807">
      <w:pPr>
        <w:pStyle w:val="NoSpacing"/>
      </w:pPr>
    </w:p>
    <w:p w14:paraId="6592467F" w14:textId="77777777" w:rsidR="00BF27BA" w:rsidRDefault="00BF27BA" w:rsidP="00BD3807">
      <w:pPr>
        <w:pStyle w:val="NoSpacing"/>
      </w:pPr>
      <w:r>
        <w:t xml:space="preserve">On Random forest specifically, we used different combinations of individual trees and number of randomly chosen variables at each split. </w:t>
      </w:r>
      <w:r w:rsidR="00F15443">
        <w:t>In the end 1000 individual trees with 4 randomly chosen variable gave the lowest MSE.</w:t>
      </w:r>
    </w:p>
    <w:p w14:paraId="37A75479" w14:textId="77777777" w:rsidR="00656330" w:rsidRPr="00BF27BA" w:rsidRDefault="00656330" w:rsidP="00BD3807">
      <w:pPr>
        <w:pStyle w:val="NoSpacing"/>
      </w:pPr>
    </w:p>
    <w:p w14:paraId="296073BC" w14:textId="77777777" w:rsidR="006372E4" w:rsidRDefault="00656330" w:rsidP="00BD3807">
      <w:pPr>
        <w:pStyle w:val="NoSpacing"/>
      </w:pPr>
      <w:r>
        <w:rPr>
          <w:noProof/>
        </w:rPr>
        <w:drawing>
          <wp:inline distT="0" distB="0" distL="0" distR="0" wp14:anchorId="5ED33469" wp14:editId="678E78A2">
            <wp:extent cx="5943600" cy="255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5905"/>
                    </a:xfrm>
                    <a:prstGeom prst="rect">
                      <a:avLst/>
                    </a:prstGeom>
                  </pic:spPr>
                </pic:pic>
              </a:graphicData>
            </a:graphic>
          </wp:inline>
        </w:drawing>
      </w:r>
    </w:p>
    <w:p w14:paraId="7444BB9A" w14:textId="77777777" w:rsidR="00F7390C" w:rsidRDefault="00F7390C" w:rsidP="00BD3807">
      <w:pPr>
        <w:pStyle w:val="NoSpacing"/>
      </w:pPr>
    </w:p>
    <w:p w14:paraId="0BDDE7A7" w14:textId="77777777" w:rsidR="00F7390C" w:rsidRDefault="00F7390C" w:rsidP="00BD3807">
      <w:pPr>
        <w:pStyle w:val="NoSpacing"/>
      </w:pPr>
      <w:r>
        <w:rPr>
          <w:noProof/>
        </w:rPr>
        <w:drawing>
          <wp:inline distT="0" distB="0" distL="0" distR="0" wp14:anchorId="5FB6CC8C" wp14:editId="02D1EDB5">
            <wp:extent cx="5943600" cy="3003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0355"/>
                    </a:xfrm>
                    <a:prstGeom prst="rect">
                      <a:avLst/>
                    </a:prstGeom>
                  </pic:spPr>
                </pic:pic>
              </a:graphicData>
            </a:graphic>
          </wp:inline>
        </w:drawing>
      </w:r>
    </w:p>
    <w:p w14:paraId="5B0CA9F0" w14:textId="77777777" w:rsidR="00117939" w:rsidRDefault="004A0B06" w:rsidP="00166091">
      <w:pPr>
        <w:ind w:left="-630" w:right="-810"/>
      </w:pPr>
      <w:r>
        <w:rPr>
          <w:noProof/>
        </w:rPr>
        <w:lastRenderedPageBreak/>
        <w:drawing>
          <wp:inline distT="0" distB="0" distL="0" distR="0" wp14:anchorId="4A98D9DF" wp14:editId="64EB24CA">
            <wp:extent cx="3398871" cy="2562225"/>
            <wp:effectExtent l="19050" t="19050" r="1143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8871" cy="2562225"/>
                    </a:xfrm>
                    <a:prstGeom prst="rect">
                      <a:avLst/>
                    </a:prstGeom>
                    <a:ln>
                      <a:solidFill>
                        <a:schemeClr val="tx1"/>
                      </a:solidFill>
                    </a:ln>
                  </pic:spPr>
                </pic:pic>
              </a:graphicData>
            </a:graphic>
          </wp:inline>
        </w:drawing>
      </w:r>
      <w:r>
        <w:rPr>
          <w:noProof/>
        </w:rPr>
        <w:drawing>
          <wp:inline distT="0" distB="0" distL="0" distR="0" wp14:anchorId="2BEF55FD" wp14:editId="17C2A760">
            <wp:extent cx="3399462" cy="2571750"/>
            <wp:effectExtent l="19050" t="19050" r="1079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7154" cy="2600265"/>
                    </a:xfrm>
                    <a:prstGeom prst="rect">
                      <a:avLst/>
                    </a:prstGeom>
                    <a:ln>
                      <a:solidFill>
                        <a:schemeClr val="tx1"/>
                      </a:solidFill>
                    </a:ln>
                  </pic:spPr>
                </pic:pic>
              </a:graphicData>
            </a:graphic>
          </wp:inline>
        </w:drawing>
      </w:r>
    </w:p>
    <w:p w14:paraId="0FE045D7" w14:textId="77777777" w:rsidR="00166091" w:rsidRDefault="00166091" w:rsidP="00166091">
      <w:pPr>
        <w:pStyle w:val="Heading4"/>
      </w:pPr>
      <w:r>
        <w:t>Results of Random Forest Model</w:t>
      </w:r>
    </w:p>
    <w:p w14:paraId="29E400EE" w14:textId="77777777" w:rsidR="002C1532" w:rsidRDefault="002C1532" w:rsidP="002C1532">
      <w:pPr>
        <w:pStyle w:val="Heading5"/>
      </w:pPr>
      <w:r>
        <w:t>Accuracy and MSE</w:t>
      </w:r>
    </w:p>
    <w:p w14:paraId="2B046A4D" w14:textId="77777777" w:rsidR="00B50BC9" w:rsidRPr="00166091" w:rsidRDefault="00B50BC9" w:rsidP="00B50BC9">
      <w:r>
        <w:t>We have listed few results of difference combinations that we implemented.</w:t>
      </w:r>
    </w:p>
    <w:tbl>
      <w:tblPr>
        <w:tblStyle w:val="GridTable4-Accent3"/>
        <w:tblW w:w="0" w:type="auto"/>
        <w:tblLook w:val="04A0" w:firstRow="1" w:lastRow="0" w:firstColumn="1" w:lastColumn="0" w:noHBand="0" w:noVBand="1"/>
      </w:tblPr>
      <w:tblGrid>
        <w:gridCol w:w="3116"/>
        <w:gridCol w:w="3117"/>
        <w:gridCol w:w="3117"/>
      </w:tblGrid>
      <w:tr w:rsidR="00B50BC9" w14:paraId="7C5B5F84" w14:textId="77777777" w:rsidTr="00BE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6EDC85" w14:textId="77777777" w:rsidR="00B50BC9" w:rsidRDefault="00B50BC9" w:rsidP="00BE2484">
            <w:r>
              <w:t>Predictors</w:t>
            </w:r>
          </w:p>
        </w:tc>
        <w:tc>
          <w:tcPr>
            <w:tcW w:w="3117" w:type="dxa"/>
          </w:tcPr>
          <w:p w14:paraId="2F0EBE46" w14:textId="77777777" w:rsidR="00B50BC9" w:rsidRDefault="00B50BC9" w:rsidP="00BE2484">
            <w:pPr>
              <w:cnfStyle w:val="100000000000" w:firstRow="1" w:lastRow="0" w:firstColumn="0" w:lastColumn="0" w:oddVBand="0" w:evenVBand="0" w:oddHBand="0" w:evenHBand="0" w:firstRowFirstColumn="0" w:firstRowLastColumn="0" w:lastRowFirstColumn="0" w:lastRowLastColumn="0"/>
            </w:pPr>
            <w:r>
              <w:t>Accuracy</w:t>
            </w:r>
          </w:p>
        </w:tc>
        <w:tc>
          <w:tcPr>
            <w:tcW w:w="3117" w:type="dxa"/>
          </w:tcPr>
          <w:p w14:paraId="63A642BE" w14:textId="77777777" w:rsidR="00B50BC9" w:rsidRDefault="00B50BC9" w:rsidP="00BE2484">
            <w:pPr>
              <w:cnfStyle w:val="100000000000" w:firstRow="1" w:lastRow="0" w:firstColumn="0" w:lastColumn="0" w:oddVBand="0" w:evenVBand="0" w:oddHBand="0" w:evenHBand="0" w:firstRowFirstColumn="0" w:firstRowLastColumn="0" w:lastRowFirstColumn="0" w:lastRowLastColumn="0"/>
            </w:pPr>
            <w:r>
              <w:t>MSE</w:t>
            </w:r>
          </w:p>
        </w:tc>
      </w:tr>
      <w:tr w:rsidR="00B50BC9" w14:paraId="05A2DEE6" w14:textId="77777777" w:rsidTr="00BE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C4BC1" w14:textId="77777777" w:rsidR="00B50BC9" w:rsidRDefault="00B50BC9" w:rsidP="00BE2484">
            <w:r>
              <w:t>All</w:t>
            </w:r>
          </w:p>
        </w:tc>
        <w:tc>
          <w:tcPr>
            <w:tcW w:w="3117" w:type="dxa"/>
          </w:tcPr>
          <w:p w14:paraId="4DA30E3E" w14:textId="77777777" w:rsidR="00B50BC9" w:rsidRDefault="00B50BC9" w:rsidP="00BE2484">
            <w:pPr>
              <w:cnfStyle w:val="000000100000" w:firstRow="0" w:lastRow="0" w:firstColumn="0" w:lastColumn="0" w:oddVBand="0" w:evenVBand="0" w:oddHBand="1" w:evenHBand="0" w:firstRowFirstColumn="0" w:firstRowLastColumn="0" w:lastRowFirstColumn="0" w:lastRowLastColumn="0"/>
            </w:pPr>
            <w:r>
              <w:t>90.20%</w:t>
            </w:r>
          </w:p>
        </w:tc>
        <w:tc>
          <w:tcPr>
            <w:tcW w:w="3117" w:type="dxa"/>
          </w:tcPr>
          <w:p w14:paraId="03664648" w14:textId="77777777" w:rsidR="00B50BC9" w:rsidRDefault="00B50BC9" w:rsidP="00BE2484">
            <w:pPr>
              <w:cnfStyle w:val="000000100000" w:firstRow="0" w:lastRow="0" w:firstColumn="0" w:lastColumn="0" w:oddVBand="0" w:evenVBand="0" w:oddHBand="1" w:evenHBand="0" w:firstRowFirstColumn="0" w:firstRowLastColumn="0" w:lastRowFirstColumn="0" w:lastRowLastColumn="0"/>
            </w:pPr>
            <w:r>
              <w:t>9.798</w:t>
            </w:r>
            <w:r w:rsidR="00870C2B">
              <w:t>%</w:t>
            </w:r>
          </w:p>
        </w:tc>
      </w:tr>
      <w:tr w:rsidR="00B50BC9" w14:paraId="5595D73A" w14:textId="77777777" w:rsidTr="00BE2484">
        <w:tc>
          <w:tcPr>
            <w:cnfStyle w:val="001000000000" w:firstRow="0" w:lastRow="0" w:firstColumn="1" w:lastColumn="0" w:oddVBand="0" w:evenVBand="0" w:oddHBand="0" w:evenHBand="0" w:firstRowFirstColumn="0" w:firstRowLastColumn="0" w:lastRowFirstColumn="0" w:lastRowLastColumn="0"/>
            <w:tcW w:w="3116" w:type="dxa"/>
          </w:tcPr>
          <w:p w14:paraId="544DCD82" w14:textId="77777777" w:rsidR="00B50BC9" w:rsidRDefault="00B50BC9" w:rsidP="00B50BC9">
            <w:r>
              <w:t>14 variables mtry=5, ntrees=1000</w:t>
            </w:r>
          </w:p>
        </w:tc>
        <w:tc>
          <w:tcPr>
            <w:tcW w:w="3117" w:type="dxa"/>
          </w:tcPr>
          <w:p w14:paraId="47D1D7A8" w14:textId="77777777" w:rsidR="00B50BC9" w:rsidRDefault="00870C2B" w:rsidP="00BE2484">
            <w:pPr>
              <w:cnfStyle w:val="000000000000" w:firstRow="0" w:lastRow="0" w:firstColumn="0" w:lastColumn="0" w:oddVBand="0" w:evenVBand="0" w:oddHBand="0" w:evenHBand="0" w:firstRowFirstColumn="0" w:firstRowLastColumn="0" w:lastRowFirstColumn="0" w:lastRowLastColumn="0"/>
            </w:pPr>
            <w:r>
              <w:t>91.54%</w:t>
            </w:r>
          </w:p>
        </w:tc>
        <w:tc>
          <w:tcPr>
            <w:tcW w:w="3117" w:type="dxa"/>
          </w:tcPr>
          <w:p w14:paraId="584B234B" w14:textId="77777777" w:rsidR="00B50BC9" w:rsidRDefault="00870C2B" w:rsidP="00BE2484">
            <w:pPr>
              <w:cnfStyle w:val="000000000000" w:firstRow="0" w:lastRow="0" w:firstColumn="0" w:lastColumn="0" w:oddVBand="0" w:evenVBand="0" w:oddHBand="0" w:evenHBand="0" w:firstRowFirstColumn="0" w:firstRowLastColumn="0" w:lastRowFirstColumn="0" w:lastRowLastColumn="0"/>
            </w:pPr>
            <w:r>
              <w:t>8.45%</w:t>
            </w:r>
          </w:p>
        </w:tc>
      </w:tr>
      <w:tr w:rsidR="00870C2B" w14:paraId="4BF5EB8C" w14:textId="77777777" w:rsidTr="00BE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6EA3E2" w14:textId="77777777" w:rsidR="00870C2B" w:rsidRDefault="00870C2B" w:rsidP="00870C2B">
            <w:r>
              <w:t>14 variables mtry=4, ntrees=5000</w:t>
            </w:r>
          </w:p>
        </w:tc>
        <w:tc>
          <w:tcPr>
            <w:tcW w:w="3117" w:type="dxa"/>
          </w:tcPr>
          <w:p w14:paraId="5F9210CE" w14:textId="77777777" w:rsidR="00870C2B" w:rsidRDefault="00870C2B" w:rsidP="00870C2B">
            <w:pPr>
              <w:cnfStyle w:val="000000100000" w:firstRow="0" w:lastRow="0" w:firstColumn="0" w:lastColumn="0" w:oddVBand="0" w:evenVBand="0" w:oddHBand="1" w:evenHBand="0" w:firstRowFirstColumn="0" w:firstRowLastColumn="0" w:lastRowFirstColumn="0" w:lastRowLastColumn="0"/>
            </w:pPr>
            <w:r>
              <w:t>91.81%</w:t>
            </w:r>
          </w:p>
        </w:tc>
        <w:tc>
          <w:tcPr>
            <w:tcW w:w="3117" w:type="dxa"/>
          </w:tcPr>
          <w:p w14:paraId="019BAAD9" w14:textId="77777777" w:rsidR="00870C2B" w:rsidRDefault="00870C2B" w:rsidP="00870C2B">
            <w:pPr>
              <w:cnfStyle w:val="000000100000" w:firstRow="0" w:lastRow="0" w:firstColumn="0" w:lastColumn="0" w:oddVBand="0" w:evenVBand="0" w:oddHBand="1" w:evenHBand="0" w:firstRowFirstColumn="0" w:firstRowLastColumn="0" w:lastRowFirstColumn="0" w:lastRowLastColumn="0"/>
            </w:pPr>
            <w:r>
              <w:t>8.18</w:t>
            </w:r>
            <w:r w:rsidR="00C23B67">
              <w:t>5</w:t>
            </w:r>
            <w:r>
              <w:t>%</w:t>
            </w:r>
          </w:p>
        </w:tc>
      </w:tr>
      <w:tr w:rsidR="00870C2B" w14:paraId="438AFFC6" w14:textId="77777777" w:rsidTr="00BE2484">
        <w:tc>
          <w:tcPr>
            <w:cnfStyle w:val="001000000000" w:firstRow="0" w:lastRow="0" w:firstColumn="1" w:lastColumn="0" w:oddVBand="0" w:evenVBand="0" w:oddHBand="0" w:evenHBand="0" w:firstRowFirstColumn="0" w:firstRowLastColumn="0" w:lastRowFirstColumn="0" w:lastRowLastColumn="0"/>
            <w:tcW w:w="3116" w:type="dxa"/>
          </w:tcPr>
          <w:p w14:paraId="345A33DA" w14:textId="77777777" w:rsidR="00870C2B" w:rsidRDefault="00870C2B" w:rsidP="00870C2B">
            <w:r>
              <w:t>15 variables mtry=4, ntrees=5000</w:t>
            </w:r>
          </w:p>
        </w:tc>
        <w:tc>
          <w:tcPr>
            <w:tcW w:w="3117" w:type="dxa"/>
          </w:tcPr>
          <w:p w14:paraId="0383F6E9" w14:textId="77777777" w:rsidR="00870C2B" w:rsidRDefault="00870C2B" w:rsidP="00870C2B">
            <w:pPr>
              <w:cnfStyle w:val="000000000000" w:firstRow="0" w:lastRow="0" w:firstColumn="0" w:lastColumn="0" w:oddVBand="0" w:evenVBand="0" w:oddHBand="0" w:evenHBand="0" w:firstRowFirstColumn="0" w:firstRowLastColumn="0" w:lastRowFirstColumn="0" w:lastRowLastColumn="0"/>
            </w:pPr>
            <w:r>
              <w:t>91.40%</w:t>
            </w:r>
          </w:p>
        </w:tc>
        <w:tc>
          <w:tcPr>
            <w:tcW w:w="3117" w:type="dxa"/>
          </w:tcPr>
          <w:p w14:paraId="78A3EB68" w14:textId="77777777" w:rsidR="00870C2B" w:rsidRDefault="00870C2B" w:rsidP="00870C2B">
            <w:pPr>
              <w:cnfStyle w:val="000000000000" w:firstRow="0" w:lastRow="0" w:firstColumn="0" w:lastColumn="0" w:oddVBand="0" w:evenVBand="0" w:oddHBand="0" w:evenHBand="0" w:firstRowFirstColumn="0" w:firstRowLastColumn="0" w:lastRowFirstColumn="0" w:lastRowLastColumn="0"/>
            </w:pPr>
            <w:r>
              <w:t>8.59%</w:t>
            </w:r>
          </w:p>
        </w:tc>
      </w:tr>
      <w:tr w:rsidR="00870C2B" w14:paraId="289D29C6" w14:textId="77777777" w:rsidTr="00BE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8326AC" w14:textId="77777777" w:rsidR="00870C2B" w:rsidRPr="00DA5900" w:rsidRDefault="00870C2B" w:rsidP="00870C2B">
            <w:pPr>
              <w:rPr>
                <w:highlight w:val="yellow"/>
              </w:rPr>
            </w:pPr>
            <w:r w:rsidRPr="00DA5900">
              <w:rPr>
                <w:highlight w:val="yellow"/>
              </w:rPr>
              <w:t>14 variables mtry=4, ntrees=1000</w:t>
            </w:r>
          </w:p>
        </w:tc>
        <w:tc>
          <w:tcPr>
            <w:tcW w:w="3117" w:type="dxa"/>
          </w:tcPr>
          <w:p w14:paraId="306F62DC" w14:textId="77777777" w:rsidR="00870C2B" w:rsidRPr="00DA5900" w:rsidRDefault="00870C2B" w:rsidP="00870C2B">
            <w:pPr>
              <w:cnfStyle w:val="000000100000" w:firstRow="0" w:lastRow="0" w:firstColumn="0" w:lastColumn="0" w:oddVBand="0" w:evenVBand="0" w:oddHBand="1" w:evenHBand="0" w:firstRowFirstColumn="0" w:firstRowLastColumn="0" w:lastRowFirstColumn="0" w:lastRowLastColumn="0"/>
              <w:rPr>
                <w:highlight w:val="yellow"/>
              </w:rPr>
            </w:pPr>
            <w:r w:rsidRPr="00DA5900">
              <w:rPr>
                <w:highlight w:val="yellow"/>
              </w:rPr>
              <w:t>91.82%</w:t>
            </w:r>
          </w:p>
        </w:tc>
        <w:tc>
          <w:tcPr>
            <w:tcW w:w="3117" w:type="dxa"/>
          </w:tcPr>
          <w:p w14:paraId="3C306B9D" w14:textId="77777777" w:rsidR="00870C2B" w:rsidRPr="00DA5900" w:rsidRDefault="00870C2B" w:rsidP="00870C2B">
            <w:pPr>
              <w:cnfStyle w:val="000000100000" w:firstRow="0" w:lastRow="0" w:firstColumn="0" w:lastColumn="0" w:oddVBand="0" w:evenVBand="0" w:oddHBand="1" w:evenHBand="0" w:firstRowFirstColumn="0" w:firstRowLastColumn="0" w:lastRowFirstColumn="0" w:lastRowLastColumn="0"/>
              <w:rPr>
                <w:highlight w:val="yellow"/>
              </w:rPr>
            </w:pPr>
            <w:r w:rsidRPr="00DA5900">
              <w:rPr>
                <w:highlight w:val="yellow"/>
              </w:rPr>
              <w:t>8.18%</w:t>
            </w:r>
          </w:p>
        </w:tc>
      </w:tr>
    </w:tbl>
    <w:p w14:paraId="30584C33" w14:textId="77777777" w:rsidR="007135A3" w:rsidRDefault="007135A3" w:rsidP="00B50BC9">
      <w:pPr>
        <w:pStyle w:val="Heading5"/>
      </w:pPr>
    </w:p>
    <w:p w14:paraId="46700E01" w14:textId="77777777" w:rsidR="00B50BC9" w:rsidRDefault="00B50BC9" w:rsidP="00B50BC9">
      <w:pPr>
        <w:pStyle w:val="Heading5"/>
      </w:pPr>
      <w:r>
        <w:t>Confusion Matrix</w:t>
      </w:r>
    </w:p>
    <w:p w14:paraId="53D60F28" w14:textId="77777777" w:rsidR="007E5D55" w:rsidRDefault="00281DC1" w:rsidP="00B50BC9">
      <w:r>
        <w:t xml:space="preserve">As we can identify that most of the Random Forest’s accuracy was lost due to Foreclosure and Bankruptcy classification error. </w:t>
      </w:r>
      <w:r w:rsidR="00C61C8F">
        <w:t xml:space="preserve">When a debtor gets delinquent, he/she can either is forced to foreclose (initiated by lender) or file for bankruptcy (initiated by debtor). </w:t>
      </w:r>
      <w:r w:rsidR="00C92CDE">
        <w:t>For modelling purposes, we could have easily combined the Foreclosure and Bankruptcy class to increase the accuracy of the model. But in reality there are some rules around DTI and Credit Score of the debtor that could be utilized to distinguish between these two classes.</w:t>
      </w:r>
      <w:r w:rsidR="00A2611B">
        <w:t xml:space="preserve"> Class variables Current, 30 days and 60 days a</w:t>
      </w:r>
      <w:r w:rsidR="00836D44">
        <w:t xml:space="preserve">re predicted perfectly. I was a little surprised that 4 Bankruptcy loans were falsely labelled as Current. </w:t>
      </w:r>
    </w:p>
    <w:p w14:paraId="561066B8" w14:textId="77777777" w:rsidR="00B50BC9" w:rsidRDefault="007E5D55" w:rsidP="00B50BC9">
      <w:r>
        <w:rPr>
          <w:noProof/>
        </w:rPr>
        <w:drawing>
          <wp:inline distT="0" distB="0" distL="0" distR="0" wp14:anchorId="219BC6E6" wp14:editId="702A21CB">
            <wp:extent cx="4390476" cy="9238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0476" cy="923810"/>
                    </a:xfrm>
                    <a:prstGeom prst="rect">
                      <a:avLst/>
                    </a:prstGeom>
                  </pic:spPr>
                </pic:pic>
              </a:graphicData>
            </a:graphic>
          </wp:inline>
        </w:drawing>
      </w:r>
    </w:p>
    <w:p w14:paraId="4E417DFB" w14:textId="77777777" w:rsidR="00CE0673" w:rsidRDefault="00CE0673" w:rsidP="00CE0673">
      <w:pPr>
        <w:pStyle w:val="Heading3"/>
      </w:pPr>
    </w:p>
    <w:p w14:paraId="418AD78E" w14:textId="77777777" w:rsidR="00E00A6A" w:rsidRPr="00E00A6A" w:rsidRDefault="00E00A6A" w:rsidP="00E00A6A"/>
    <w:p w14:paraId="067C4678" w14:textId="77777777" w:rsidR="00CE0673" w:rsidRPr="00CE0673" w:rsidRDefault="00CE0673" w:rsidP="00285217">
      <w:pPr>
        <w:pStyle w:val="Heading3"/>
      </w:pPr>
      <w:r>
        <w:lastRenderedPageBreak/>
        <w:t>GBM (Gradient Boosting Machines) – using H2o Package</w:t>
      </w:r>
    </w:p>
    <w:p w14:paraId="68A821F0" w14:textId="77777777" w:rsidR="00285217" w:rsidRDefault="00285217" w:rsidP="00117939">
      <w:pPr>
        <w:rPr>
          <w:color w:val="000000"/>
          <w:sz w:val="21"/>
          <w:szCs w:val="21"/>
          <w:shd w:val="clear" w:color="auto" w:fill="FFFFFF"/>
        </w:rPr>
      </w:pPr>
      <w:r>
        <w:t xml:space="preserve">We used the H2o package for running GBM model as it could get intensive capacity wise on a single machine. H2o is a Java Virtual machine that is </w:t>
      </w:r>
      <w:r>
        <w:rPr>
          <w:color w:val="000000"/>
          <w:sz w:val="21"/>
          <w:szCs w:val="21"/>
          <w:shd w:val="clear" w:color="auto" w:fill="FFFFFF"/>
        </w:rPr>
        <w:t xml:space="preserve">optimized for doing in memory processing of distributed, parallel machine learning algorithms on clusters. A cluster is a software construct that can be can be fired up </w:t>
      </w:r>
      <w:r w:rsidR="00A2704C">
        <w:rPr>
          <w:color w:val="000000"/>
          <w:sz w:val="21"/>
          <w:szCs w:val="21"/>
          <w:shd w:val="clear" w:color="auto" w:fill="FFFFFF"/>
        </w:rPr>
        <w:t xml:space="preserve">even on our </w:t>
      </w:r>
      <w:r>
        <w:rPr>
          <w:color w:val="000000"/>
          <w:sz w:val="21"/>
          <w:szCs w:val="21"/>
          <w:shd w:val="clear" w:color="auto" w:fill="FFFFFF"/>
        </w:rPr>
        <w:t>laptop</w:t>
      </w:r>
      <w:r w:rsidR="00A2704C">
        <w:rPr>
          <w:color w:val="000000"/>
          <w:sz w:val="21"/>
          <w:szCs w:val="21"/>
          <w:shd w:val="clear" w:color="auto" w:fill="FFFFFF"/>
        </w:rPr>
        <w:t>s.</w:t>
      </w:r>
    </w:p>
    <w:p w14:paraId="152AE4CF" w14:textId="77777777" w:rsidR="00CD5398" w:rsidRDefault="000E5E29" w:rsidP="000E5E29">
      <w:pPr>
        <w:pStyle w:val="Heading5"/>
        <w:rPr>
          <w:shd w:val="clear" w:color="auto" w:fill="FFFFFF"/>
        </w:rPr>
      </w:pPr>
      <w:r>
        <w:rPr>
          <w:shd w:val="clear" w:color="auto" w:fill="FFFFFF"/>
        </w:rPr>
        <w:t>Parameters for GBM</w:t>
      </w:r>
    </w:p>
    <w:p w14:paraId="29988CE7" w14:textId="77777777" w:rsidR="00835BC4" w:rsidRDefault="00944394" w:rsidP="003A4EAE">
      <w:r>
        <w:rPr>
          <w:noProof/>
        </w:rPr>
        <w:drawing>
          <wp:anchor distT="0" distB="0" distL="114300" distR="114300" simplePos="0" relativeHeight="251660288" behindDoc="1" locked="0" layoutInCell="1" allowOverlap="1" wp14:anchorId="1B5F6A73" wp14:editId="36838170">
            <wp:simplePos x="0" y="0"/>
            <wp:positionH relativeFrom="margin">
              <wp:posOffset>2803525</wp:posOffset>
            </wp:positionH>
            <wp:positionV relativeFrom="paragraph">
              <wp:posOffset>7620</wp:posOffset>
            </wp:positionV>
            <wp:extent cx="2854960" cy="1844675"/>
            <wp:effectExtent l="0" t="0" r="2540" b="3175"/>
            <wp:wrapTight wrapText="bothSides">
              <wp:wrapPolygon edited="0">
                <wp:start x="0" y="0"/>
                <wp:lineTo x="0" y="21414"/>
                <wp:lineTo x="21475" y="21414"/>
                <wp:lineTo x="2147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54960" cy="1844675"/>
                    </a:xfrm>
                    <a:prstGeom prst="rect">
                      <a:avLst/>
                    </a:prstGeom>
                  </pic:spPr>
                </pic:pic>
              </a:graphicData>
            </a:graphic>
            <wp14:sizeRelH relativeFrom="margin">
              <wp14:pctWidth>0</wp14:pctWidth>
            </wp14:sizeRelH>
            <wp14:sizeRelV relativeFrom="margin">
              <wp14:pctHeight>0</wp14:pctHeight>
            </wp14:sizeRelV>
          </wp:anchor>
        </w:drawing>
      </w:r>
      <w:r w:rsidR="003A4EAE">
        <w:t>We tried multiple combinations of parameters before finalizing the parameters that gave us the least MSE.</w:t>
      </w:r>
      <w:r w:rsidR="009307C4">
        <w:t xml:space="preserve"> </w:t>
      </w:r>
      <w:r w:rsidR="00835BC4">
        <w:t xml:space="preserve">We used </w:t>
      </w:r>
      <w:r w:rsidR="00835BC4" w:rsidRPr="0058502A">
        <w:rPr>
          <w:u w:val="single"/>
        </w:rPr>
        <w:t>Cross Validation</w:t>
      </w:r>
      <w:r w:rsidR="00835BC4">
        <w:t xml:space="preserve"> to identify the best suited model using 5 folds. </w:t>
      </w:r>
    </w:p>
    <w:p w14:paraId="5C623A21" w14:textId="77777777" w:rsidR="003A4EAE" w:rsidRDefault="009307C4" w:rsidP="003A4EAE">
      <w:r w:rsidRPr="00835BC4">
        <w:t>Following</w:t>
      </w:r>
      <w:r>
        <w:t xml:space="preserve"> are the </w:t>
      </w:r>
      <w:r w:rsidR="00835BC4">
        <w:t xml:space="preserve">major </w:t>
      </w:r>
      <w:r>
        <w:t>parameters that were used in the final model</w:t>
      </w:r>
    </w:p>
    <w:p w14:paraId="3F5CF761" w14:textId="77777777" w:rsidR="00944394" w:rsidRDefault="00944394" w:rsidP="003A4EAE"/>
    <w:p w14:paraId="6C8B1396" w14:textId="77777777" w:rsidR="00944394" w:rsidRPr="003A4EAE" w:rsidRDefault="00944394" w:rsidP="003A4EAE"/>
    <w:tbl>
      <w:tblPr>
        <w:tblStyle w:val="TableGrid"/>
        <w:tblW w:w="0" w:type="auto"/>
        <w:tblLook w:val="04A0" w:firstRow="1" w:lastRow="0" w:firstColumn="1" w:lastColumn="0" w:noHBand="0" w:noVBand="1"/>
      </w:tblPr>
      <w:tblGrid>
        <w:gridCol w:w="3775"/>
        <w:gridCol w:w="5575"/>
      </w:tblGrid>
      <w:tr w:rsidR="003A4EAE" w14:paraId="112A5559" w14:textId="77777777" w:rsidTr="00763D0D">
        <w:tc>
          <w:tcPr>
            <w:tcW w:w="3775" w:type="dxa"/>
          </w:tcPr>
          <w:p w14:paraId="2E7B490B" w14:textId="77777777" w:rsidR="003A4EAE" w:rsidRDefault="003A4EAE" w:rsidP="000E5E29">
            <w:r>
              <w:t>Number of trees</w:t>
            </w:r>
          </w:p>
        </w:tc>
        <w:tc>
          <w:tcPr>
            <w:tcW w:w="5575" w:type="dxa"/>
          </w:tcPr>
          <w:p w14:paraId="4AAE0609" w14:textId="77777777" w:rsidR="003A4EAE" w:rsidRDefault="003A4EAE" w:rsidP="000E5E29">
            <w:r>
              <w:t>700</w:t>
            </w:r>
          </w:p>
        </w:tc>
      </w:tr>
      <w:tr w:rsidR="003A4EAE" w14:paraId="1C25D151" w14:textId="77777777" w:rsidTr="00763D0D">
        <w:tc>
          <w:tcPr>
            <w:tcW w:w="3775" w:type="dxa"/>
          </w:tcPr>
          <w:p w14:paraId="2018F526" w14:textId="77777777" w:rsidR="003A4EAE" w:rsidRDefault="000C5B0F" w:rsidP="000E5E29">
            <w:r>
              <w:t>List strategy</w:t>
            </w:r>
          </w:p>
        </w:tc>
        <w:tc>
          <w:tcPr>
            <w:tcW w:w="5575" w:type="dxa"/>
          </w:tcPr>
          <w:p w14:paraId="78818705" w14:textId="77777777" w:rsidR="003A4EAE" w:rsidRDefault="000C5B0F" w:rsidP="000E5E29">
            <w:r>
              <w:t>RandomDiscreet</w:t>
            </w:r>
          </w:p>
        </w:tc>
      </w:tr>
      <w:tr w:rsidR="003A4EAE" w14:paraId="47E49BC3" w14:textId="77777777" w:rsidTr="00763D0D">
        <w:tc>
          <w:tcPr>
            <w:tcW w:w="3775" w:type="dxa"/>
          </w:tcPr>
          <w:p w14:paraId="71DBC5B2" w14:textId="77777777" w:rsidR="003A4EAE" w:rsidRDefault="004A2B8D" w:rsidP="000E5E29">
            <w:r>
              <w:t>Hyper Parameters</w:t>
            </w:r>
          </w:p>
        </w:tc>
        <w:tc>
          <w:tcPr>
            <w:tcW w:w="5575" w:type="dxa"/>
          </w:tcPr>
          <w:p w14:paraId="173C437D" w14:textId="77777777" w:rsidR="004A2B8D" w:rsidRDefault="004A2B8D" w:rsidP="000E5E29">
            <w:r>
              <w:t>Learn_rate = seq(0.1,0.3,0.01)</w:t>
            </w:r>
          </w:p>
          <w:p w14:paraId="7DF5D5C4" w14:textId="77777777" w:rsidR="003A4EAE" w:rsidRDefault="004A2B8D" w:rsidP="004A2B8D">
            <w:r>
              <w:t>Max_depth = seq(2,7,1)</w:t>
            </w:r>
          </w:p>
          <w:p w14:paraId="5B16CBB8" w14:textId="77777777" w:rsidR="004A2B8D" w:rsidRDefault="004A2B8D" w:rsidP="004A2B8D">
            <w:r>
              <w:t>Sample_rate = seq(0.9, 1.0, 0.05)</w:t>
            </w:r>
          </w:p>
          <w:p w14:paraId="14923414" w14:textId="77777777" w:rsidR="004A2B8D" w:rsidRDefault="004A2B8D" w:rsidP="004A2B8D">
            <w:r>
              <w:t>Col_sample_rate = seq(0.1, 1.0, 0.1)</w:t>
            </w:r>
          </w:p>
        </w:tc>
      </w:tr>
      <w:tr w:rsidR="000C5B0F" w14:paraId="56FB9AE5" w14:textId="77777777" w:rsidTr="00763D0D">
        <w:tc>
          <w:tcPr>
            <w:tcW w:w="3775" w:type="dxa"/>
          </w:tcPr>
          <w:p w14:paraId="28386008" w14:textId="77777777" w:rsidR="000C5B0F" w:rsidRDefault="00835BC4" w:rsidP="000E5E29">
            <w:r>
              <w:t>Distribution</w:t>
            </w:r>
          </w:p>
        </w:tc>
        <w:tc>
          <w:tcPr>
            <w:tcW w:w="5575" w:type="dxa"/>
          </w:tcPr>
          <w:p w14:paraId="15C8E4BB" w14:textId="77777777" w:rsidR="000C5B0F" w:rsidRDefault="00835BC4" w:rsidP="000E5E29">
            <w:r>
              <w:t>Multinomial</w:t>
            </w:r>
          </w:p>
        </w:tc>
      </w:tr>
      <w:tr w:rsidR="00835BC4" w14:paraId="5AC46B26" w14:textId="77777777" w:rsidTr="00763D0D">
        <w:tc>
          <w:tcPr>
            <w:tcW w:w="3775" w:type="dxa"/>
          </w:tcPr>
          <w:p w14:paraId="0D722F8B" w14:textId="77777777" w:rsidR="00835BC4" w:rsidRDefault="00835BC4" w:rsidP="00835BC4">
            <w:r>
              <w:t>Stopping metric</w:t>
            </w:r>
          </w:p>
        </w:tc>
        <w:tc>
          <w:tcPr>
            <w:tcW w:w="5575" w:type="dxa"/>
          </w:tcPr>
          <w:p w14:paraId="70968DA2" w14:textId="77777777" w:rsidR="00835BC4" w:rsidRDefault="00835BC4" w:rsidP="000E5E29">
            <w:r>
              <w:t>MSE</w:t>
            </w:r>
          </w:p>
        </w:tc>
      </w:tr>
      <w:tr w:rsidR="00835BC4" w14:paraId="3B6D434D" w14:textId="77777777" w:rsidTr="00763D0D">
        <w:tc>
          <w:tcPr>
            <w:tcW w:w="3775" w:type="dxa"/>
          </w:tcPr>
          <w:p w14:paraId="3C4F6ED7" w14:textId="77777777" w:rsidR="00835BC4" w:rsidRDefault="00835BC4" w:rsidP="00835BC4">
            <w:r>
              <w:t>N</w:t>
            </w:r>
            <w:r w:rsidR="0054090F">
              <w:t>umber of Folds for Cross validation</w:t>
            </w:r>
          </w:p>
        </w:tc>
        <w:tc>
          <w:tcPr>
            <w:tcW w:w="5575" w:type="dxa"/>
          </w:tcPr>
          <w:p w14:paraId="4E5C065F" w14:textId="77777777" w:rsidR="00835BC4" w:rsidRDefault="0054090F" w:rsidP="000E5E29">
            <w:r>
              <w:t>5</w:t>
            </w:r>
          </w:p>
        </w:tc>
      </w:tr>
    </w:tbl>
    <w:p w14:paraId="69BBC42D" w14:textId="77777777" w:rsidR="00BC0410" w:rsidRDefault="00BC0410" w:rsidP="004709D3">
      <w:pPr>
        <w:pStyle w:val="Heading5"/>
      </w:pPr>
    </w:p>
    <w:p w14:paraId="6361DF11" w14:textId="77777777" w:rsidR="00E44EBF" w:rsidRDefault="006C2C26" w:rsidP="004709D3">
      <w:pPr>
        <w:pStyle w:val="Heading5"/>
      </w:pPr>
      <w:r>
        <w:t>Best Model Used – Post Cross Validation</w:t>
      </w:r>
    </w:p>
    <w:p w14:paraId="3CB77E85" w14:textId="77777777" w:rsidR="006C2C26" w:rsidRPr="006C2C26" w:rsidRDefault="008B1830" w:rsidP="006C2C26">
      <w:r>
        <w:t xml:space="preserve">Our stopping metric for GBM was MSE. We sorted the model based on the lowest MSE and picked the top model </w:t>
      </w:r>
      <w:r w:rsidR="009B3211">
        <w:t>to predict our validation set. The top model has a MSE</w:t>
      </w:r>
      <w:r w:rsidR="006112D1">
        <w:t xml:space="preserve"> of .1045 compared to the highest MSE of 0.548</w:t>
      </w:r>
    </w:p>
    <w:p w14:paraId="667D8B02" w14:textId="77777777" w:rsidR="00D96E2F" w:rsidRDefault="006C2C26" w:rsidP="004709D3">
      <w:pPr>
        <w:pStyle w:val="Heading5"/>
      </w:pPr>
      <w:r>
        <w:rPr>
          <w:noProof/>
        </w:rPr>
        <w:drawing>
          <wp:inline distT="0" distB="0" distL="0" distR="0" wp14:anchorId="6E098059" wp14:editId="7D8DCE4A">
            <wp:extent cx="5011947" cy="6940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8204" cy="696337"/>
                    </a:xfrm>
                    <a:prstGeom prst="rect">
                      <a:avLst/>
                    </a:prstGeom>
                  </pic:spPr>
                </pic:pic>
              </a:graphicData>
            </a:graphic>
          </wp:inline>
        </w:drawing>
      </w:r>
    </w:p>
    <w:p w14:paraId="794AABA2" w14:textId="77777777" w:rsidR="00672FF8" w:rsidRDefault="00672FF8" w:rsidP="0055375E"/>
    <w:p w14:paraId="40A752DF" w14:textId="77777777" w:rsidR="0055375E" w:rsidRDefault="0055375E" w:rsidP="0055375E">
      <w:r>
        <w:t>Below are few statistics on the best model that we will be using</w:t>
      </w:r>
    </w:p>
    <w:p w14:paraId="6E2319F0" w14:textId="77777777" w:rsidR="0055375E" w:rsidRPr="0055375E" w:rsidRDefault="0055375E" w:rsidP="0055375E">
      <w:r>
        <w:rPr>
          <w:noProof/>
        </w:rPr>
        <w:drawing>
          <wp:inline distT="0" distB="0" distL="0" distR="0" wp14:anchorId="442FE5BE" wp14:editId="7C8D8369">
            <wp:extent cx="4597879" cy="10507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1352" cy="1056098"/>
                    </a:xfrm>
                    <a:prstGeom prst="rect">
                      <a:avLst/>
                    </a:prstGeom>
                  </pic:spPr>
                </pic:pic>
              </a:graphicData>
            </a:graphic>
          </wp:inline>
        </w:drawing>
      </w:r>
    </w:p>
    <w:p w14:paraId="53A6FFBA" w14:textId="77777777" w:rsidR="00326BEC" w:rsidRDefault="00326BEC" w:rsidP="004709D3">
      <w:pPr>
        <w:pStyle w:val="Heading5"/>
      </w:pPr>
    </w:p>
    <w:p w14:paraId="48AD6001" w14:textId="77777777" w:rsidR="004709D3" w:rsidRDefault="00646B6F" w:rsidP="004709D3">
      <w:pPr>
        <w:pStyle w:val="Heading5"/>
      </w:pPr>
      <w:r>
        <w:t>Confusion Matrix</w:t>
      </w:r>
      <w:r w:rsidR="004709D3">
        <w:t>/ Accuracy and MSE</w:t>
      </w:r>
    </w:p>
    <w:p w14:paraId="3E48F39C" w14:textId="77777777" w:rsidR="0058502A" w:rsidRDefault="0058502A" w:rsidP="0058502A">
      <w:r>
        <w:t>We expect</w:t>
      </w:r>
      <w:r w:rsidR="00411A68">
        <w:t xml:space="preserve">ed, and rightly so, </w:t>
      </w:r>
      <w:r>
        <w:t xml:space="preserve">for GBM to have a better accuracy rate compared to Random Forest just for the fact that it is so computational intense and we used cross validation to identify the best model to use. </w:t>
      </w:r>
      <w:r w:rsidR="00411A68">
        <w:t xml:space="preserve">Our fear is that </w:t>
      </w:r>
      <w:r w:rsidR="005207AD">
        <w:t xml:space="preserve">due to cross validation the model might have gotten highly complex and variant. </w:t>
      </w:r>
      <w:r>
        <w:t xml:space="preserve">Compared to Random Forest, GBM had a </w:t>
      </w:r>
      <w:r w:rsidR="0003018B">
        <w:t xml:space="preserve">much lower </w:t>
      </w:r>
      <w:r>
        <w:t xml:space="preserve">MSE </w:t>
      </w:r>
      <w:r w:rsidR="00F823A8">
        <w:t xml:space="preserve">of </w:t>
      </w:r>
      <w:r w:rsidR="0003018B">
        <w:rPr>
          <w:b/>
        </w:rPr>
        <w:t>3.43</w:t>
      </w:r>
      <w:r w:rsidRPr="0058502A">
        <w:rPr>
          <w:b/>
        </w:rPr>
        <w:t>%</w:t>
      </w:r>
      <w:r w:rsidR="00F823A8">
        <w:t xml:space="preserve"> with accuracy of </w:t>
      </w:r>
      <w:r w:rsidR="00F823A8">
        <w:rPr>
          <w:b/>
        </w:rPr>
        <w:t>96.57%</w:t>
      </w:r>
      <w:r>
        <w:t xml:space="preserve"> </w:t>
      </w:r>
    </w:p>
    <w:p w14:paraId="0FB67B12" w14:textId="77777777" w:rsidR="00C06F2A" w:rsidRDefault="005D520F" w:rsidP="00C06F2A">
      <w:r>
        <w:t>The interesting thing here is that GBM did very well classifying the Foreclosure</w:t>
      </w:r>
      <w:r w:rsidR="005C15AF">
        <w:t xml:space="preserve">, </w:t>
      </w:r>
      <w:r w:rsidR="00FE3F97">
        <w:t xml:space="preserve">Bankruptcy </w:t>
      </w:r>
      <w:r w:rsidR="005C15AF">
        <w:t xml:space="preserve">and 90+ classes </w:t>
      </w:r>
      <w:r>
        <w:t>compared to Random</w:t>
      </w:r>
      <w:r w:rsidR="00EC4FE3">
        <w:t xml:space="preserve"> </w:t>
      </w:r>
      <w:r>
        <w:t>Forest</w:t>
      </w:r>
      <w:r w:rsidR="00862392">
        <w:t xml:space="preserve"> model</w:t>
      </w:r>
      <w:r>
        <w:t>.</w:t>
      </w:r>
      <w:r w:rsidR="00907E01">
        <w:t xml:space="preserve"> Both models did very well on Current class variable as I believe it was straight forward. When the predictor </w:t>
      </w:r>
      <w:r w:rsidR="00907E01" w:rsidRPr="00907E01">
        <w:rPr>
          <w:u w:val="single"/>
        </w:rPr>
        <w:t>MonthsDq</w:t>
      </w:r>
      <w:r w:rsidR="00907E01">
        <w:t xml:space="preserve"> is 0, it always mean that loan is in good current status. </w:t>
      </w:r>
      <w:r>
        <w:t xml:space="preserve"> </w:t>
      </w:r>
    </w:p>
    <w:p w14:paraId="669C1B62" w14:textId="77777777" w:rsidR="00646B6F" w:rsidRDefault="00C06F2A" w:rsidP="00C06F2A">
      <w:r>
        <w:rPr>
          <w:noProof/>
        </w:rPr>
        <w:drawing>
          <wp:inline distT="0" distB="0" distL="0" distR="0" wp14:anchorId="5BF747BB" wp14:editId="3887C30D">
            <wp:extent cx="4175185" cy="16991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77596" cy="1700099"/>
                    </a:xfrm>
                    <a:prstGeom prst="rect">
                      <a:avLst/>
                    </a:prstGeom>
                  </pic:spPr>
                </pic:pic>
              </a:graphicData>
            </a:graphic>
          </wp:inline>
        </w:drawing>
      </w:r>
    </w:p>
    <w:p w14:paraId="066AAE24" w14:textId="1182725D" w:rsidR="00E06861" w:rsidRDefault="00E06861" w:rsidP="00E06861">
      <w:pPr>
        <w:pStyle w:val="Heading3"/>
      </w:pPr>
      <w:r>
        <w:t>Logistic Regression</w:t>
      </w:r>
    </w:p>
    <w:p w14:paraId="546A0D2F" w14:textId="7FD72DD2" w:rsidR="00E06861" w:rsidRPr="00E06861" w:rsidRDefault="00E06861" w:rsidP="00E06861">
      <w:r>
        <w:t>We have used multinomial logistic regression since our outcome variable contains multiple classes</w:t>
      </w:r>
      <w:r w:rsidR="00CF4FDF">
        <w:t xml:space="preserve"> and are nominal</w:t>
      </w:r>
      <w:r>
        <w:t>.</w:t>
      </w:r>
    </w:p>
    <w:p w14:paraId="2444DD5A" w14:textId="619CD9DB" w:rsidR="00E06861" w:rsidRDefault="00E06861" w:rsidP="00E06861">
      <w:pPr>
        <w:pStyle w:val="Heading3"/>
      </w:pPr>
      <w:r>
        <w:t>Stepwise</w:t>
      </w:r>
      <w:r w:rsidR="0083467F">
        <w:t xml:space="preserve"> Logistic Regression – Forward</w:t>
      </w:r>
    </w:p>
    <w:p w14:paraId="3BA0F27F" w14:textId="0AB9F1CA" w:rsidR="0083467F" w:rsidRPr="0083467F" w:rsidRDefault="0083467F" w:rsidP="0083467F">
      <w:r>
        <w:rPr>
          <w:rFonts w:ascii="Arial" w:hAnsi="Arial" w:cs="Arial"/>
          <w:color w:val="021B34"/>
          <w:sz w:val="20"/>
          <w:szCs w:val="20"/>
          <w:shd w:val="clear" w:color="auto" w:fill="FFFFFF"/>
        </w:rPr>
        <w:t xml:space="preserve">In this approach, the number of predictor </w:t>
      </w:r>
      <w:r>
        <w:rPr>
          <w:rFonts w:ascii="Arial" w:hAnsi="Arial" w:cs="Arial"/>
          <w:color w:val="021B34"/>
          <w:sz w:val="20"/>
          <w:szCs w:val="20"/>
          <w:shd w:val="clear" w:color="auto" w:fill="FFFFFF"/>
        </w:rPr>
        <w:t>variables</w:t>
      </w:r>
      <w:r>
        <w:rPr>
          <w:rFonts w:ascii="Arial" w:hAnsi="Arial" w:cs="Arial"/>
          <w:color w:val="021B34"/>
          <w:sz w:val="20"/>
          <w:szCs w:val="20"/>
          <w:shd w:val="clear" w:color="auto" w:fill="FFFFFF"/>
        </w:rPr>
        <w:t xml:space="preserve"> is reduced automatically </w:t>
      </w:r>
      <w:r>
        <w:rPr>
          <w:rFonts w:ascii="Arial" w:hAnsi="Arial" w:cs="Arial"/>
          <w:color w:val="021B34"/>
          <w:sz w:val="20"/>
          <w:szCs w:val="20"/>
          <w:shd w:val="clear" w:color="auto" w:fill="FFFFFF"/>
        </w:rPr>
        <w:t>for</w:t>
      </w:r>
      <w:r>
        <w:rPr>
          <w:rFonts w:ascii="Arial" w:hAnsi="Arial" w:cs="Arial"/>
          <w:color w:val="021B34"/>
          <w:sz w:val="20"/>
          <w:szCs w:val="20"/>
          <w:shd w:val="clear" w:color="auto" w:fill="FFFFFF"/>
        </w:rPr>
        <w:t xml:space="preserve"> the </w:t>
      </w:r>
      <w:r>
        <w:rPr>
          <w:rFonts w:ascii="Arial" w:hAnsi="Arial" w:cs="Arial"/>
          <w:color w:val="021B34"/>
          <w:sz w:val="20"/>
          <w:szCs w:val="20"/>
          <w:shd w:val="clear" w:color="auto" w:fill="FFFFFF"/>
        </w:rPr>
        <w:t>model</w:t>
      </w:r>
      <w:r>
        <w:rPr>
          <w:rFonts w:ascii="Arial" w:hAnsi="Arial" w:cs="Arial"/>
          <w:color w:val="021B34"/>
          <w:sz w:val="20"/>
          <w:szCs w:val="20"/>
          <w:shd w:val="clear" w:color="auto" w:fill="FFFFFF"/>
        </w:rPr>
        <w:t xml:space="preserve"> with better accuracy.</w:t>
      </w:r>
    </w:p>
    <w:p w14:paraId="729AC5D9" w14:textId="77777777" w:rsidR="0083467F" w:rsidRPr="0083467F" w:rsidRDefault="0083467F" w:rsidP="0083467F"/>
    <w:p w14:paraId="0DD36123" w14:textId="77777777" w:rsidR="00E8015C" w:rsidRPr="000E5E29" w:rsidRDefault="00E8015C" w:rsidP="000E5E29"/>
    <w:sectPr w:rsidR="00E8015C" w:rsidRPr="000E5E29" w:rsidSect="00A24365">
      <w:headerReference w:type="default" r:id="rId36"/>
      <w:footerReference w:type="default" r:id="rId37"/>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26ACE" w14:textId="77777777" w:rsidR="00F77271" w:rsidRDefault="00F77271" w:rsidP="004E4584">
      <w:pPr>
        <w:spacing w:after="0" w:line="240" w:lineRule="auto"/>
      </w:pPr>
      <w:r>
        <w:separator/>
      </w:r>
    </w:p>
  </w:endnote>
  <w:endnote w:type="continuationSeparator" w:id="0">
    <w:p w14:paraId="32E507A8" w14:textId="77777777" w:rsidR="00F77271" w:rsidRDefault="00F77271" w:rsidP="004E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573AC" w14:textId="77777777" w:rsidR="003C0B2A" w:rsidRDefault="003C0B2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26235">
      <w:rPr>
        <w:caps/>
        <w:noProof/>
        <w:color w:val="5B9BD5" w:themeColor="accent1"/>
      </w:rPr>
      <w:t>6</w:t>
    </w:r>
    <w:r>
      <w:rPr>
        <w:caps/>
        <w:noProof/>
        <w:color w:val="5B9BD5" w:themeColor="accent1"/>
      </w:rPr>
      <w:fldChar w:fldCharType="end"/>
    </w:r>
  </w:p>
  <w:p w14:paraId="755361A0" w14:textId="77777777" w:rsidR="003C0B2A" w:rsidRDefault="003C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44671" w14:textId="77777777" w:rsidR="00F77271" w:rsidRDefault="00F77271" w:rsidP="004E4584">
      <w:pPr>
        <w:spacing w:after="0" w:line="240" w:lineRule="auto"/>
      </w:pPr>
      <w:r>
        <w:separator/>
      </w:r>
    </w:p>
  </w:footnote>
  <w:footnote w:type="continuationSeparator" w:id="0">
    <w:p w14:paraId="1C1B9C92" w14:textId="77777777" w:rsidR="00F77271" w:rsidRDefault="00F77271" w:rsidP="004E4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1177" w14:textId="77777777" w:rsidR="004E4584" w:rsidRDefault="00F77271">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248ED1A64F2440B493B84936E6380EB2"/>
        </w:placeholder>
        <w:dataBinding w:prefixMappings="xmlns:ns0='http://schemas.openxmlformats.org/package/2006/metadata/core-properties' xmlns:ns1='http://purl.org/dc/elements/1.1/'" w:xpath="/ns0:coreProperties[1]/ns1:title[1]" w:storeItemID="{6C3C8BC8-F283-45AE-878A-BAB7291924A1}"/>
        <w:text/>
      </w:sdtPr>
      <w:sdtEndPr/>
      <w:sdtContent>
        <w:r w:rsidR="006B29E7">
          <w:rPr>
            <w:rFonts w:asciiTheme="majorHAnsi" w:eastAsiaTheme="majorEastAsia" w:hAnsiTheme="majorHAnsi" w:cstheme="majorBidi"/>
            <w:color w:val="5B9BD5" w:themeColor="accent1"/>
            <w:sz w:val="24"/>
            <w:szCs w:val="24"/>
          </w:rPr>
          <w:t>SYST515- Delinquency Category Classification</w:t>
        </w:r>
      </w:sdtContent>
    </w:sdt>
    <w:r w:rsidR="004E4584">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0DA1E695444449149EB32B762177DF20"/>
        </w:placeholder>
        <w:dataBinding w:prefixMappings="xmlns:ns0='http://schemas.microsoft.com/office/2006/coverPageProps'" w:xpath="/ns0:CoverPageProperties[1]/ns0:PublishDate[1]" w:storeItemID="{55AF091B-3C7A-41E3-B477-F2FDAA23CFDA}"/>
        <w:date w:fullDate="2020-05-04T00:00:00Z">
          <w:dateFormat w:val="MMMM d, yyyy"/>
          <w:lid w:val="en-US"/>
          <w:storeMappedDataAs w:val="dateTime"/>
          <w:calendar w:val="gregorian"/>
        </w:date>
      </w:sdtPr>
      <w:sdtEndPr/>
      <w:sdtContent>
        <w:r w:rsidR="004E4584">
          <w:rPr>
            <w:rFonts w:asciiTheme="majorHAnsi" w:eastAsiaTheme="majorEastAsia" w:hAnsiTheme="majorHAnsi" w:cstheme="majorBidi"/>
            <w:color w:val="5B9BD5" w:themeColor="accent1"/>
            <w:sz w:val="24"/>
            <w:szCs w:val="24"/>
          </w:rPr>
          <w:t>May 4, 2020</w:t>
        </w:r>
      </w:sdtContent>
    </w:sdt>
  </w:p>
  <w:p w14:paraId="5FF1CDE8" w14:textId="77777777" w:rsidR="004E4584" w:rsidRDefault="004E45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C4A"/>
    <w:rsid w:val="00001CB2"/>
    <w:rsid w:val="00006527"/>
    <w:rsid w:val="00010E66"/>
    <w:rsid w:val="0003018B"/>
    <w:rsid w:val="0003071D"/>
    <w:rsid w:val="00044248"/>
    <w:rsid w:val="000538DD"/>
    <w:rsid w:val="00053B9F"/>
    <w:rsid w:val="0006197E"/>
    <w:rsid w:val="0008130B"/>
    <w:rsid w:val="000A617E"/>
    <w:rsid w:val="000C5B0F"/>
    <w:rsid w:val="000D4679"/>
    <w:rsid w:val="000E5E29"/>
    <w:rsid w:val="00106998"/>
    <w:rsid w:val="00111CCB"/>
    <w:rsid w:val="00117939"/>
    <w:rsid w:val="00124F3B"/>
    <w:rsid w:val="0015153D"/>
    <w:rsid w:val="0015459F"/>
    <w:rsid w:val="00166091"/>
    <w:rsid w:val="00197D92"/>
    <w:rsid w:val="001B0C4A"/>
    <w:rsid w:val="001C79FB"/>
    <w:rsid w:val="001D0285"/>
    <w:rsid w:val="00254065"/>
    <w:rsid w:val="00281DC1"/>
    <w:rsid w:val="00285217"/>
    <w:rsid w:val="0028727F"/>
    <w:rsid w:val="002C1532"/>
    <w:rsid w:val="002C3479"/>
    <w:rsid w:val="003053BC"/>
    <w:rsid w:val="00315990"/>
    <w:rsid w:val="00326BEC"/>
    <w:rsid w:val="00336B00"/>
    <w:rsid w:val="00340879"/>
    <w:rsid w:val="003422B1"/>
    <w:rsid w:val="00355018"/>
    <w:rsid w:val="0038528B"/>
    <w:rsid w:val="003A4EAE"/>
    <w:rsid w:val="003A5E5D"/>
    <w:rsid w:val="003C0B2A"/>
    <w:rsid w:val="003D77AD"/>
    <w:rsid w:val="003E51FC"/>
    <w:rsid w:val="00410141"/>
    <w:rsid w:val="00411A68"/>
    <w:rsid w:val="00445B5D"/>
    <w:rsid w:val="004709D3"/>
    <w:rsid w:val="004774D9"/>
    <w:rsid w:val="00480BA3"/>
    <w:rsid w:val="004A0B06"/>
    <w:rsid w:val="004A2AC5"/>
    <w:rsid w:val="004A2B8D"/>
    <w:rsid w:val="004A5BA0"/>
    <w:rsid w:val="004B494E"/>
    <w:rsid w:val="004E4584"/>
    <w:rsid w:val="004F37AA"/>
    <w:rsid w:val="005045C0"/>
    <w:rsid w:val="005153D9"/>
    <w:rsid w:val="005207AD"/>
    <w:rsid w:val="0054090F"/>
    <w:rsid w:val="0055375E"/>
    <w:rsid w:val="0055457C"/>
    <w:rsid w:val="005573D9"/>
    <w:rsid w:val="00571646"/>
    <w:rsid w:val="00573966"/>
    <w:rsid w:val="0058502A"/>
    <w:rsid w:val="00595BB7"/>
    <w:rsid w:val="005A1348"/>
    <w:rsid w:val="005C15AF"/>
    <w:rsid w:val="005C4FA8"/>
    <w:rsid w:val="005D0AAB"/>
    <w:rsid w:val="005D520F"/>
    <w:rsid w:val="005F3B35"/>
    <w:rsid w:val="006112D1"/>
    <w:rsid w:val="006166DC"/>
    <w:rsid w:val="006372E4"/>
    <w:rsid w:val="00646B6F"/>
    <w:rsid w:val="00656330"/>
    <w:rsid w:val="00660AFD"/>
    <w:rsid w:val="00672FF8"/>
    <w:rsid w:val="006B29E7"/>
    <w:rsid w:val="006B67D4"/>
    <w:rsid w:val="006C2C26"/>
    <w:rsid w:val="007135A3"/>
    <w:rsid w:val="00723B66"/>
    <w:rsid w:val="00763D0D"/>
    <w:rsid w:val="00767206"/>
    <w:rsid w:val="007720A3"/>
    <w:rsid w:val="00777C8E"/>
    <w:rsid w:val="00784EC9"/>
    <w:rsid w:val="007A5250"/>
    <w:rsid w:val="007C08B8"/>
    <w:rsid w:val="007E5D55"/>
    <w:rsid w:val="00806CC9"/>
    <w:rsid w:val="00824711"/>
    <w:rsid w:val="0083176B"/>
    <w:rsid w:val="00832BB3"/>
    <w:rsid w:val="0083467F"/>
    <w:rsid w:val="00835BC4"/>
    <w:rsid w:val="00836D44"/>
    <w:rsid w:val="00841938"/>
    <w:rsid w:val="0085701C"/>
    <w:rsid w:val="00862392"/>
    <w:rsid w:val="00863874"/>
    <w:rsid w:val="00870C2B"/>
    <w:rsid w:val="008B1830"/>
    <w:rsid w:val="008F64B9"/>
    <w:rsid w:val="00907E01"/>
    <w:rsid w:val="00926235"/>
    <w:rsid w:val="009307C4"/>
    <w:rsid w:val="00944394"/>
    <w:rsid w:val="009B3211"/>
    <w:rsid w:val="009C5C6B"/>
    <w:rsid w:val="009C601F"/>
    <w:rsid w:val="009F028D"/>
    <w:rsid w:val="00A24365"/>
    <w:rsid w:val="00A2611B"/>
    <w:rsid w:val="00A2704C"/>
    <w:rsid w:val="00A3233C"/>
    <w:rsid w:val="00A4737C"/>
    <w:rsid w:val="00A56EB6"/>
    <w:rsid w:val="00AB6D54"/>
    <w:rsid w:val="00AD5490"/>
    <w:rsid w:val="00AF655C"/>
    <w:rsid w:val="00AF79AE"/>
    <w:rsid w:val="00B50BC9"/>
    <w:rsid w:val="00B61484"/>
    <w:rsid w:val="00B832BE"/>
    <w:rsid w:val="00BA6CD6"/>
    <w:rsid w:val="00BC0410"/>
    <w:rsid w:val="00BC2B52"/>
    <w:rsid w:val="00BD3807"/>
    <w:rsid w:val="00BE4EBC"/>
    <w:rsid w:val="00BF27BA"/>
    <w:rsid w:val="00BF3C5D"/>
    <w:rsid w:val="00BF5956"/>
    <w:rsid w:val="00C06F2A"/>
    <w:rsid w:val="00C12919"/>
    <w:rsid w:val="00C12A2D"/>
    <w:rsid w:val="00C23B67"/>
    <w:rsid w:val="00C26F21"/>
    <w:rsid w:val="00C27CF8"/>
    <w:rsid w:val="00C522AF"/>
    <w:rsid w:val="00C6176C"/>
    <w:rsid w:val="00C61C8F"/>
    <w:rsid w:val="00C77971"/>
    <w:rsid w:val="00C92CDE"/>
    <w:rsid w:val="00CD5398"/>
    <w:rsid w:val="00CE0673"/>
    <w:rsid w:val="00CF4FDF"/>
    <w:rsid w:val="00D11FF8"/>
    <w:rsid w:val="00D64614"/>
    <w:rsid w:val="00D7092D"/>
    <w:rsid w:val="00D8369E"/>
    <w:rsid w:val="00D96E2F"/>
    <w:rsid w:val="00DA5900"/>
    <w:rsid w:val="00DC067E"/>
    <w:rsid w:val="00DD1589"/>
    <w:rsid w:val="00DE2A5E"/>
    <w:rsid w:val="00DF1711"/>
    <w:rsid w:val="00E00A6A"/>
    <w:rsid w:val="00E06861"/>
    <w:rsid w:val="00E076FF"/>
    <w:rsid w:val="00E14BD5"/>
    <w:rsid w:val="00E31419"/>
    <w:rsid w:val="00E33DF0"/>
    <w:rsid w:val="00E4038C"/>
    <w:rsid w:val="00E4468E"/>
    <w:rsid w:val="00E44EBF"/>
    <w:rsid w:val="00E723D0"/>
    <w:rsid w:val="00E8015C"/>
    <w:rsid w:val="00E805FC"/>
    <w:rsid w:val="00E85881"/>
    <w:rsid w:val="00E86357"/>
    <w:rsid w:val="00EA6FDE"/>
    <w:rsid w:val="00EC0F1C"/>
    <w:rsid w:val="00EC4FE3"/>
    <w:rsid w:val="00ED4A3D"/>
    <w:rsid w:val="00EE6643"/>
    <w:rsid w:val="00EF239B"/>
    <w:rsid w:val="00F14376"/>
    <w:rsid w:val="00F15443"/>
    <w:rsid w:val="00F20512"/>
    <w:rsid w:val="00F53BA5"/>
    <w:rsid w:val="00F7390C"/>
    <w:rsid w:val="00F77271"/>
    <w:rsid w:val="00F81D73"/>
    <w:rsid w:val="00F823A8"/>
    <w:rsid w:val="00F87DAF"/>
    <w:rsid w:val="00FA13D1"/>
    <w:rsid w:val="00FB2269"/>
    <w:rsid w:val="00FC1C06"/>
    <w:rsid w:val="00FC2AFA"/>
    <w:rsid w:val="00FE3F97"/>
    <w:rsid w:val="00FF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8C46"/>
  <w15:chartTrackingRefBased/>
  <w15:docId w15:val="{0E149B5F-6596-4E4D-82A0-FD07D609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584"/>
  </w:style>
  <w:style w:type="paragraph" w:styleId="Heading2">
    <w:name w:val="heading 2"/>
    <w:basedOn w:val="Normal"/>
    <w:next w:val="Normal"/>
    <w:link w:val="Heading2Char"/>
    <w:uiPriority w:val="9"/>
    <w:unhideWhenUsed/>
    <w:qFormat/>
    <w:rsid w:val="004E45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29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C15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584"/>
  </w:style>
  <w:style w:type="paragraph" w:styleId="Footer">
    <w:name w:val="footer"/>
    <w:basedOn w:val="Normal"/>
    <w:link w:val="FooterChar"/>
    <w:uiPriority w:val="99"/>
    <w:unhideWhenUsed/>
    <w:rsid w:val="004E4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584"/>
  </w:style>
  <w:style w:type="character" w:customStyle="1" w:styleId="Heading2Char">
    <w:name w:val="Heading 2 Char"/>
    <w:basedOn w:val="DefaultParagraphFont"/>
    <w:link w:val="Heading2"/>
    <w:uiPriority w:val="9"/>
    <w:rsid w:val="004E458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E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B226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336B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2919"/>
    <w:rPr>
      <w:rFonts w:asciiTheme="majorHAnsi" w:eastAsiaTheme="majorEastAsia" w:hAnsiTheme="majorHAnsi" w:cstheme="majorBidi"/>
      <w:i/>
      <w:iCs/>
      <w:color w:val="2E74B5" w:themeColor="accent1" w:themeShade="BF"/>
    </w:rPr>
  </w:style>
  <w:style w:type="paragraph" w:styleId="NoSpacing">
    <w:name w:val="No Spacing"/>
    <w:uiPriority w:val="1"/>
    <w:qFormat/>
    <w:rsid w:val="00BD3807"/>
    <w:pPr>
      <w:spacing w:after="0" w:line="240" w:lineRule="auto"/>
    </w:pPr>
  </w:style>
  <w:style w:type="character" w:customStyle="1" w:styleId="Heading5Char">
    <w:name w:val="Heading 5 Char"/>
    <w:basedOn w:val="DefaultParagraphFont"/>
    <w:link w:val="Heading5"/>
    <w:uiPriority w:val="9"/>
    <w:rsid w:val="002C153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182A5E-8DAD-46E7-B170-9BE5C1DE08FD}"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F3C980B5-3ABA-499A-897E-3085F190ED0E}">
      <dgm:prSet phldrT="[Text]"/>
      <dgm:spPr/>
      <dgm:t>
        <a:bodyPr/>
        <a:lstStyle/>
        <a:p>
          <a:pPr algn="ctr"/>
          <a:r>
            <a:rPr lang="en-US" dirty="0"/>
            <a:t>Loans with Delinquent Category</a:t>
          </a:r>
        </a:p>
      </dgm:t>
    </dgm:pt>
    <dgm:pt modelId="{815ADC4E-88D8-4F99-BC0F-36E3E8464DFC}" type="parTrans" cxnId="{D6E578DC-7A0A-4E8A-BACB-AC3BF77F5375}">
      <dgm:prSet/>
      <dgm:spPr/>
      <dgm:t>
        <a:bodyPr/>
        <a:lstStyle/>
        <a:p>
          <a:pPr algn="ctr"/>
          <a:endParaRPr lang="en-US"/>
        </a:p>
      </dgm:t>
    </dgm:pt>
    <dgm:pt modelId="{6104A40E-4D9C-4C93-988F-7689743A09CF}" type="sibTrans" cxnId="{D6E578DC-7A0A-4E8A-BACB-AC3BF77F5375}">
      <dgm:prSet/>
      <dgm:spPr/>
      <dgm:t>
        <a:bodyPr/>
        <a:lstStyle/>
        <a:p>
          <a:pPr algn="ctr"/>
          <a:endParaRPr lang="en-US"/>
        </a:p>
      </dgm:t>
    </dgm:pt>
    <dgm:pt modelId="{1A85B3DB-649C-427A-973A-DBEECD1F73FB}" type="asst">
      <dgm:prSet phldrT="[Text]"/>
      <dgm:spPr/>
      <dgm:t>
        <a:bodyPr/>
        <a:lstStyle/>
        <a:p>
          <a:pPr algn="ctr"/>
          <a:r>
            <a:rPr lang="en-US" dirty="0"/>
            <a:t>Divide all loans into their collateral groups (or Deal Level)</a:t>
          </a:r>
        </a:p>
      </dgm:t>
    </dgm:pt>
    <dgm:pt modelId="{5D9C2385-F361-4F35-8069-62C9AA42BB27}" type="parTrans" cxnId="{CB4AD380-67FD-42C7-ADDE-874AB723FD2C}">
      <dgm:prSet/>
      <dgm:spPr/>
      <dgm:t>
        <a:bodyPr/>
        <a:lstStyle/>
        <a:p>
          <a:pPr algn="ctr"/>
          <a:endParaRPr lang="en-US"/>
        </a:p>
      </dgm:t>
    </dgm:pt>
    <dgm:pt modelId="{7305EAF9-7C51-4F83-A408-59860CCEE162}" type="sibTrans" cxnId="{CB4AD380-67FD-42C7-ADDE-874AB723FD2C}">
      <dgm:prSet/>
      <dgm:spPr/>
      <dgm:t>
        <a:bodyPr/>
        <a:lstStyle/>
        <a:p>
          <a:pPr algn="ctr"/>
          <a:endParaRPr lang="en-US"/>
        </a:p>
      </dgm:t>
    </dgm:pt>
    <dgm:pt modelId="{D5E50BE7-C64D-4E62-8DFB-745E1AB1A8FE}">
      <dgm:prSet phldrT="[Text]"/>
      <dgm:spPr/>
      <dgm:t>
        <a:bodyPr/>
        <a:lstStyle/>
        <a:p>
          <a:pPr algn="ctr"/>
          <a:r>
            <a:rPr lang="en-US" dirty="0"/>
            <a:t>Run cash flows based on the grouping</a:t>
          </a:r>
        </a:p>
      </dgm:t>
    </dgm:pt>
    <dgm:pt modelId="{E558F423-C010-459C-BEC3-ADC4FA5DA39E}" type="parTrans" cxnId="{75F15F00-29F6-4EF5-98C8-37AA3FCF576E}">
      <dgm:prSet/>
      <dgm:spPr/>
      <dgm:t>
        <a:bodyPr/>
        <a:lstStyle/>
        <a:p>
          <a:pPr algn="ctr"/>
          <a:endParaRPr lang="en-US"/>
        </a:p>
      </dgm:t>
    </dgm:pt>
    <dgm:pt modelId="{4C592048-A43C-4BA4-80E6-EDF9E2513589}" type="sibTrans" cxnId="{75F15F00-29F6-4EF5-98C8-37AA3FCF576E}">
      <dgm:prSet/>
      <dgm:spPr/>
      <dgm:t>
        <a:bodyPr/>
        <a:lstStyle/>
        <a:p>
          <a:pPr algn="ctr"/>
          <a:endParaRPr lang="en-US"/>
        </a:p>
      </dgm:t>
    </dgm:pt>
    <dgm:pt modelId="{E2CF72D3-A1FD-45D8-AFAC-9160C1AEDA52}">
      <dgm:prSet phldrT="[Text]"/>
      <dgm:spPr/>
      <dgm:t>
        <a:bodyPr/>
        <a:lstStyle/>
        <a:p>
          <a:pPr algn="ctr"/>
          <a:r>
            <a:rPr lang="en-US" dirty="0"/>
            <a:t>Create Coefficients for Parameters</a:t>
          </a:r>
        </a:p>
      </dgm:t>
    </dgm:pt>
    <dgm:pt modelId="{C4256D1B-AB8C-4DD3-A30D-E88BA92706F7}" type="parTrans" cxnId="{13CCE053-C3D2-42AD-941C-2ADD2FD10CF2}">
      <dgm:prSet/>
      <dgm:spPr/>
      <dgm:t>
        <a:bodyPr/>
        <a:lstStyle/>
        <a:p>
          <a:pPr algn="ctr"/>
          <a:endParaRPr lang="en-US"/>
        </a:p>
      </dgm:t>
    </dgm:pt>
    <dgm:pt modelId="{6BCE4933-CCC2-4CC3-B79D-2C28783ABC0E}" type="sibTrans" cxnId="{13CCE053-C3D2-42AD-941C-2ADD2FD10CF2}">
      <dgm:prSet/>
      <dgm:spPr/>
      <dgm:t>
        <a:bodyPr/>
        <a:lstStyle/>
        <a:p>
          <a:pPr algn="ctr"/>
          <a:endParaRPr lang="en-US"/>
        </a:p>
      </dgm:t>
    </dgm:pt>
    <dgm:pt modelId="{2C658823-5002-4ED4-9DF2-EAB2F61610FC}">
      <dgm:prSet phldrT="[Text]"/>
      <dgm:spPr/>
      <dgm:t>
        <a:bodyPr/>
        <a:lstStyle/>
        <a:p>
          <a:pPr algn="ctr"/>
          <a:r>
            <a:rPr lang="en-US" dirty="0"/>
            <a:t>Default Rate</a:t>
          </a:r>
        </a:p>
      </dgm:t>
    </dgm:pt>
    <dgm:pt modelId="{CE6DA117-8E41-4EC4-820C-74F7CEF3EAD1}" type="parTrans" cxnId="{2E376418-9D15-40AD-AE90-2A7BD642CBEC}">
      <dgm:prSet/>
      <dgm:spPr/>
      <dgm:t>
        <a:bodyPr/>
        <a:lstStyle/>
        <a:p>
          <a:pPr algn="ctr"/>
          <a:endParaRPr lang="en-US"/>
        </a:p>
      </dgm:t>
    </dgm:pt>
    <dgm:pt modelId="{0F30824B-D36B-489C-8112-3F8F3F747FCA}" type="sibTrans" cxnId="{2E376418-9D15-40AD-AE90-2A7BD642CBEC}">
      <dgm:prSet/>
      <dgm:spPr/>
      <dgm:t>
        <a:bodyPr/>
        <a:lstStyle/>
        <a:p>
          <a:pPr algn="ctr"/>
          <a:endParaRPr lang="en-US"/>
        </a:p>
      </dgm:t>
    </dgm:pt>
    <dgm:pt modelId="{5A1C84B4-6BAA-41B2-8DB8-0A6BA14C0A64}">
      <dgm:prSet phldrT="[Text]"/>
      <dgm:spPr/>
      <dgm:t>
        <a:bodyPr/>
        <a:lstStyle/>
        <a:p>
          <a:pPr algn="ctr"/>
          <a:r>
            <a:rPr lang="en-US" dirty="0"/>
            <a:t>Severity</a:t>
          </a:r>
        </a:p>
      </dgm:t>
    </dgm:pt>
    <dgm:pt modelId="{0571EEE5-D76E-40E6-BB2A-576ACF00081F}" type="parTrans" cxnId="{FED94AFE-6346-4C07-93A4-0DC42EAE7C6C}">
      <dgm:prSet/>
      <dgm:spPr/>
      <dgm:t>
        <a:bodyPr/>
        <a:lstStyle/>
        <a:p>
          <a:pPr algn="ctr"/>
          <a:endParaRPr lang="en-US"/>
        </a:p>
      </dgm:t>
    </dgm:pt>
    <dgm:pt modelId="{3B518582-56E4-4749-BCE8-BFC37C6879DD}" type="sibTrans" cxnId="{FED94AFE-6346-4C07-93A4-0DC42EAE7C6C}">
      <dgm:prSet/>
      <dgm:spPr/>
      <dgm:t>
        <a:bodyPr/>
        <a:lstStyle/>
        <a:p>
          <a:pPr algn="ctr"/>
          <a:endParaRPr lang="en-US"/>
        </a:p>
      </dgm:t>
    </dgm:pt>
    <dgm:pt modelId="{B4EC1BBA-B9DB-45D9-948A-8F659BB8DADD}">
      <dgm:prSet phldrT="[Text]"/>
      <dgm:spPr/>
      <dgm:t>
        <a:bodyPr/>
        <a:lstStyle/>
        <a:p>
          <a:pPr algn="ctr"/>
          <a:r>
            <a:rPr lang="en-US" dirty="0"/>
            <a:t>Prepay</a:t>
          </a:r>
        </a:p>
      </dgm:t>
    </dgm:pt>
    <dgm:pt modelId="{9DB3F799-917D-4A32-9630-23A4A3BD1B2B}" type="parTrans" cxnId="{84FE3224-2BF6-43C8-A8D5-253DB57ACB5D}">
      <dgm:prSet/>
      <dgm:spPr/>
      <dgm:t>
        <a:bodyPr/>
        <a:lstStyle/>
        <a:p>
          <a:pPr algn="ctr"/>
          <a:endParaRPr lang="en-US"/>
        </a:p>
      </dgm:t>
    </dgm:pt>
    <dgm:pt modelId="{EF6C8B30-BB10-415D-B022-D07DB6C6C250}" type="sibTrans" cxnId="{84FE3224-2BF6-43C8-A8D5-253DB57ACB5D}">
      <dgm:prSet/>
      <dgm:spPr/>
      <dgm:t>
        <a:bodyPr/>
        <a:lstStyle/>
        <a:p>
          <a:pPr algn="ctr"/>
          <a:endParaRPr lang="en-US"/>
        </a:p>
      </dgm:t>
    </dgm:pt>
    <dgm:pt modelId="{A03F42CA-4B26-4D32-A4A2-34D11552A8CD}" type="pres">
      <dgm:prSet presAssocID="{DF182A5E-8DAD-46E7-B170-9BE5C1DE08FD}" presName="Name0" presStyleCnt="0">
        <dgm:presLayoutVars>
          <dgm:dir/>
          <dgm:resizeHandles val="exact"/>
        </dgm:presLayoutVars>
      </dgm:prSet>
      <dgm:spPr/>
    </dgm:pt>
    <dgm:pt modelId="{0A826417-01C2-4613-81DE-AD72B6407BD2}" type="pres">
      <dgm:prSet presAssocID="{F3C980B5-3ABA-499A-897E-3085F190ED0E}" presName="node" presStyleLbl="node1" presStyleIdx="0" presStyleCnt="3">
        <dgm:presLayoutVars>
          <dgm:bulletEnabled val="1"/>
        </dgm:presLayoutVars>
      </dgm:prSet>
      <dgm:spPr/>
    </dgm:pt>
    <dgm:pt modelId="{237AE0A3-CADD-496D-8383-8BC57F8402FC}" type="pres">
      <dgm:prSet presAssocID="{6104A40E-4D9C-4C93-988F-7689743A09CF}" presName="sibTrans" presStyleLbl="sibTrans2D1" presStyleIdx="0" presStyleCnt="3"/>
      <dgm:spPr/>
    </dgm:pt>
    <dgm:pt modelId="{6247F8B7-20B9-4D95-B85B-95ED522832AA}" type="pres">
      <dgm:prSet presAssocID="{6104A40E-4D9C-4C93-988F-7689743A09CF}" presName="connectorText" presStyleLbl="sibTrans2D1" presStyleIdx="0" presStyleCnt="3"/>
      <dgm:spPr/>
    </dgm:pt>
    <dgm:pt modelId="{3E895AB6-0D45-4B81-A12C-B3AC8DBBFFF9}" type="pres">
      <dgm:prSet presAssocID="{1A85B3DB-649C-427A-973A-DBEECD1F73FB}" presName="node" presStyleLbl="asst0" presStyleIdx="0" presStyleCnt="1">
        <dgm:presLayoutVars>
          <dgm:bulletEnabled val="1"/>
        </dgm:presLayoutVars>
      </dgm:prSet>
      <dgm:spPr/>
    </dgm:pt>
    <dgm:pt modelId="{CC2A45AC-D5A0-402C-B25F-0C05591CAB7F}" type="pres">
      <dgm:prSet presAssocID="{7305EAF9-7C51-4F83-A408-59860CCEE162}" presName="sibTrans" presStyleLbl="sibTrans2D1" presStyleIdx="1" presStyleCnt="3"/>
      <dgm:spPr/>
    </dgm:pt>
    <dgm:pt modelId="{61B81F84-92D9-4737-ADFF-790B8C3C252C}" type="pres">
      <dgm:prSet presAssocID="{7305EAF9-7C51-4F83-A408-59860CCEE162}" presName="connectorText" presStyleLbl="sibTrans2D1" presStyleIdx="1" presStyleCnt="3"/>
      <dgm:spPr/>
    </dgm:pt>
    <dgm:pt modelId="{67A2D93B-C93D-4C70-90DC-E367186B6149}" type="pres">
      <dgm:prSet presAssocID="{D5E50BE7-C64D-4E62-8DFB-745E1AB1A8FE}" presName="node" presStyleLbl="node1" presStyleIdx="1" presStyleCnt="3">
        <dgm:presLayoutVars>
          <dgm:bulletEnabled val="1"/>
        </dgm:presLayoutVars>
      </dgm:prSet>
      <dgm:spPr/>
    </dgm:pt>
    <dgm:pt modelId="{759CECBE-9AC5-42DC-B8F4-B88E8DE784C1}" type="pres">
      <dgm:prSet presAssocID="{4C592048-A43C-4BA4-80E6-EDF9E2513589}" presName="sibTrans" presStyleLbl="sibTrans2D1" presStyleIdx="2" presStyleCnt="3"/>
      <dgm:spPr/>
    </dgm:pt>
    <dgm:pt modelId="{3AC12926-EBD8-43A1-841A-7ACF5A52FA81}" type="pres">
      <dgm:prSet presAssocID="{4C592048-A43C-4BA4-80E6-EDF9E2513589}" presName="connectorText" presStyleLbl="sibTrans2D1" presStyleIdx="2" presStyleCnt="3"/>
      <dgm:spPr/>
    </dgm:pt>
    <dgm:pt modelId="{1D8133F9-03B7-4313-8435-8548A7F6AD16}" type="pres">
      <dgm:prSet presAssocID="{E2CF72D3-A1FD-45D8-AFAC-9160C1AEDA52}" presName="node" presStyleLbl="node1" presStyleIdx="2" presStyleCnt="3">
        <dgm:presLayoutVars>
          <dgm:bulletEnabled val="1"/>
        </dgm:presLayoutVars>
      </dgm:prSet>
      <dgm:spPr/>
    </dgm:pt>
  </dgm:ptLst>
  <dgm:cxnLst>
    <dgm:cxn modelId="{75F15F00-29F6-4EF5-98C8-37AA3FCF576E}" srcId="{DF182A5E-8DAD-46E7-B170-9BE5C1DE08FD}" destId="{D5E50BE7-C64D-4E62-8DFB-745E1AB1A8FE}" srcOrd="2" destOrd="0" parTransId="{E558F423-C010-459C-BEC3-ADC4FA5DA39E}" sibTransId="{4C592048-A43C-4BA4-80E6-EDF9E2513589}"/>
    <dgm:cxn modelId="{2D2A9602-451C-458B-8F22-3F320B769C63}" type="presOf" srcId="{4C592048-A43C-4BA4-80E6-EDF9E2513589}" destId="{759CECBE-9AC5-42DC-B8F4-B88E8DE784C1}" srcOrd="0" destOrd="0" presId="urn:microsoft.com/office/officeart/2005/8/layout/process1"/>
    <dgm:cxn modelId="{1C377E12-E1A3-495D-ADD1-20EF18B757D3}" type="presOf" srcId="{B4EC1BBA-B9DB-45D9-948A-8F659BB8DADD}" destId="{1D8133F9-03B7-4313-8435-8548A7F6AD16}" srcOrd="0" destOrd="3" presId="urn:microsoft.com/office/officeart/2005/8/layout/process1"/>
    <dgm:cxn modelId="{2E376418-9D15-40AD-AE90-2A7BD642CBEC}" srcId="{E2CF72D3-A1FD-45D8-AFAC-9160C1AEDA52}" destId="{2C658823-5002-4ED4-9DF2-EAB2F61610FC}" srcOrd="0" destOrd="0" parTransId="{CE6DA117-8E41-4EC4-820C-74F7CEF3EAD1}" sibTransId="{0F30824B-D36B-489C-8112-3F8F3F747FCA}"/>
    <dgm:cxn modelId="{9069FC19-F6A1-4569-B173-A706D6044D43}" type="presOf" srcId="{DF182A5E-8DAD-46E7-B170-9BE5C1DE08FD}" destId="{A03F42CA-4B26-4D32-A4A2-34D11552A8CD}" srcOrd="0" destOrd="0" presId="urn:microsoft.com/office/officeart/2005/8/layout/process1"/>
    <dgm:cxn modelId="{84FE3224-2BF6-43C8-A8D5-253DB57ACB5D}" srcId="{E2CF72D3-A1FD-45D8-AFAC-9160C1AEDA52}" destId="{B4EC1BBA-B9DB-45D9-948A-8F659BB8DADD}" srcOrd="2" destOrd="0" parTransId="{9DB3F799-917D-4A32-9630-23A4A3BD1B2B}" sibTransId="{EF6C8B30-BB10-415D-B022-D07DB6C6C250}"/>
    <dgm:cxn modelId="{EB52AD25-3532-4EB5-8BFD-6BFE06966AF5}" type="presOf" srcId="{F3C980B5-3ABA-499A-897E-3085F190ED0E}" destId="{0A826417-01C2-4613-81DE-AD72B6407BD2}" srcOrd="0" destOrd="0" presId="urn:microsoft.com/office/officeart/2005/8/layout/process1"/>
    <dgm:cxn modelId="{93AE7A30-2F55-4D72-8EAC-9C911DEB2013}" type="presOf" srcId="{D5E50BE7-C64D-4E62-8DFB-745E1AB1A8FE}" destId="{67A2D93B-C93D-4C70-90DC-E367186B6149}" srcOrd="0" destOrd="0" presId="urn:microsoft.com/office/officeart/2005/8/layout/process1"/>
    <dgm:cxn modelId="{C5CC8546-4C18-4C85-978E-AC9717388B9A}" type="presOf" srcId="{2C658823-5002-4ED4-9DF2-EAB2F61610FC}" destId="{1D8133F9-03B7-4313-8435-8548A7F6AD16}" srcOrd="0" destOrd="1" presId="urn:microsoft.com/office/officeart/2005/8/layout/process1"/>
    <dgm:cxn modelId="{13CCE053-C3D2-42AD-941C-2ADD2FD10CF2}" srcId="{DF182A5E-8DAD-46E7-B170-9BE5C1DE08FD}" destId="{E2CF72D3-A1FD-45D8-AFAC-9160C1AEDA52}" srcOrd="3" destOrd="0" parTransId="{C4256D1B-AB8C-4DD3-A30D-E88BA92706F7}" sibTransId="{6BCE4933-CCC2-4CC3-B79D-2C28783ABC0E}"/>
    <dgm:cxn modelId="{CB4AD380-67FD-42C7-ADDE-874AB723FD2C}" srcId="{DF182A5E-8DAD-46E7-B170-9BE5C1DE08FD}" destId="{1A85B3DB-649C-427A-973A-DBEECD1F73FB}" srcOrd="1" destOrd="0" parTransId="{5D9C2385-F361-4F35-8069-62C9AA42BB27}" sibTransId="{7305EAF9-7C51-4F83-A408-59860CCEE162}"/>
    <dgm:cxn modelId="{10FBF682-C4BD-4463-806C-3F9D00DFFA71}" type="presOf" srcId="{4C592048-A43C-4BA4-80E6-EDF9E2513589}" destId="{3AC12926-EBD8-43A1-841A-7ACF5A52FA81}" srcOrd="1" destOrd="0" presId="urn:microsoft.com/office/officeart/2005/8/layout/process1"/>
    <dgm:cxn modelId="{DC9D5B90-FBBA-45CB-9296-68EA0A16B257}" type="presOf" srcId="{1A85B3DB-649C-427A-973A-DBEECD1F73FB}" destId="{3E895AB6-0D45-4B81-A12C-B3AC8DBBFFF9}" srcOrd="0" destOrd="0" presId="urn:microsoft.com/office/officeart/2005/8/layout/process1"/>
    <dgm:cxn modelId="{EE9ACFB2-2921-40D2-9BD6-B80CBA0CDB49}" type="presOf" srcId="{6104A40E-4D9C-4C93-988F-7689743A09CF}" destId="{237AE0A3-CADD-496D-8383-8BC57F8402FC}" srcOrd="0" destOrd="0" presId="urn:microsoft.com/office/officeart/2005/8/layout/process1"/>
    <dgm:cxn modelId="{38FA54B4-3647-43C6-937A-A4486E6C687A}" type="presOf" srcId="{6104A40E-4D9C-4C93-988F-7689743A09CF}" destId="{6247F8B7-20B9-4D95-B85B-95ED522832AA}" srcOrd="1" destOrd="0" presId="urn:microsoft.com/office/officeart/2005/8/layout/process1"/>
    <dgm:cxn modelId="{D6E578DC-7A0A-4E8A-BACB-AC3BF77F5375}" srcId="{DF182A5E-8DAD-46E7-B170-9BE5C1DE08FD}" destId="{F3C980B5-3ABA-499A-897E-3085F190ED0E}" srcOrd="0" destOrd="0" parTransId="{815ADC4E-88D8-4F99-BC0F-36E3E8464DFC}" sibTransId="{6104A40E-4D9C-4C93-988F-7689743A09CF}"/>
    <dgm:cxn modelId="{3D6BE2E1-F41F-418B-BD90-44DF3B8A1792}" type="presOf" srcId="{7305EAF9-7C51-4F83-A408-59860CCEE162}" destId="{61B81F84-92D9-4737-ADFF-790B8C3C252C}" srcOrd="1" destOrd="0" presId="urn:microsoft.com/office/officeart/2005/8/layout/process1"/>
    <dgm:cxn modelId="{DBCB9DE7-A702-4AE7-B96B-1E9C16951A01}" type="presOf" srcId="{7305EAF9-7C51-4F83-A408-59860CCEE162}" destId="{CC2A45AC-D5A0-402C-B25F-0C05591CAB7F}" srcOrd="0" destOrd="0" presId="urn:microsoft.com/office/officeart/2005/8/layout/process1"/>
    <dgm:cxn modelId="{E20C7FF8-C749-49A0-9BA0-B8F852DF3D2F}" type="presOf" srcId="{5A1C84B4-6BAA-41B2-8DB8-0A6BA14C0A64}" destId="{1D8133F9-03B7-4313-8435-8548A7F6AD16}" srcOrd="0" destOrd="2" presId="urn:microsoft.com/office/officeart/2005/8/layout/process1"/>
    <dgm:cxn modelId="{F1C9C1FA-B8F6-4794-A3F2-5DDD0C316FFC}" type="presOf" srcId="{E2CF72D3-A1FD-45D8-AFAC-9160C1AEDA52}" destId="{1D8133F9-03B7-4313-8435-8548A7F6AD16}" srcOrd="0" destOrd="0" presId="urn:microsoft.com/office/officeart/2005/8/layout/process1"/>
    <dgm:cxn modelId="{FED94AFE-6346-4C07-93A4-0DC42EAE7C6C}" srcId="{E2CF72D3-A1FD-45D8-AFAC-9160C1AEDA52}" destId="{5A1C84B4-6BAA-41B2-8DB8-0A6BA14C0A64}" srcOrd="1" destOrd="0" parTransId="{0571EEE5-D76E-40E6-BB2A-576ACF00081F}" sibTransId="{3B518582-56E4-4749-BCE8-BFC37C6879DD}"/>
    <dgm:cxn modelId="{531090CB-9F3D-4AE7-B055-AC0D6F7ADB0A}" type="presParOf" srcId="{A03F42CA-4B26-4D32-A4A2-34D11552A8CD}" destId="{0A826417-01C2-4613-81DE-AD72B6407BD2}" srcOrd="0" destOrd="0" presId="urn:microsoft.com/office/officeart/2005/8/layout/process1"/>
    <dgm:cxn modelId="{BCEEDD0B-A2AB-4DC6-9DD1-AF31AE478E01}" type="presParOf" srcId="{A03F42CA-4B26-4D32-A4A2-34D11552A8CD}" destId="{237AE0A3-CADD-496D-8383-8BC57F8402FC}" srcOrd="1" destOrd="0" presId="urn:microsoft.com/office/officeart/2005/8/layout/process1"/>
    <dgm:cxn modelId="{F6FDAB24-35E7-42E1-BC61-9ACBD7221155}" type="presParOf" srcId="{237AE0A3-CADD-496D-8383-8BC57F8402FC}" destId="{6247F8B7-20B9-4D95-B85B-95ED522832AA}" srcOrd="0" destOrd="0" presId="urn:microsoft.com/office/officeart/2005/8/layout/process1"/>
    <dgm:cxn modelId="{2688F27D-419D-4C80-BD54-79A6709D18D1}" type="presParOf" srcId="{A03F42CA-4B26-4D32-A4A2-34D11552A8CD}" destId="{3E895AB6-0D45-4B81-A12C-B3AC8DBBFFF9}" srcOrd="2" destOrd="0" presId="urn:microsoft.com/office/officeart/2005/8/layout/process1"/>
    <dgm:cxn modelId="{142C764C-D21B-48F9-80A4-869EB6F782E0}" type="presParOf" srcId="{A03F42CA-4B26-4D32-A4A2-34D11552A8CD}" destId="{CC2A45AC-D5A0-402C-B25F-0C05591CAB7F}" srcOrd="3" destOrd="0" presId="urn:microsoft.com/office/officeart/2005/8/layout/process1"/>
    <dgm:cxn modelId="{856D34BE-3D63-4166-9E58-445A154969E5}" type="presParOf" srcId="{CC2A45AC-D5A0-402C-B25F-0C05591CAB7F}" destId="{61B81F84-92D9-4737-ADFF-790B8C3C252C}" srcOrd="0" destOrd="0" presId="urn:microsoft.com/office/officeart/2005/8/layout/process1"/>
    <dgm:cxn modelId="{640FEDF3-9C58-45E3-8554-8F1D9B04E595}" type="presParOf" srcId="{A03F42CA-4B26-4D32-A4A2-34D11552A8CD}" destId="{67A2D93B-C93D-4C70-90DC-E367186B6149}" srcOrd="4" destOrd="0" presId="urn:microsoft.com/office/officeart/2005/8/layout/process1"/>
    <dgm:cxn modelId="{97F427C4-6E35-47C1-8130-87F2A8E2329C}" type="presParOf" srcId="{A03F42CA-4B26-4D32-A4A2-34D11552A8CD}" destId="{759CECBE-9AC5-42DC-B8F4-B88E8DE784C1}" srcOrd="5" destOrd="0" presId="urn:microsoft.com/office/officeart/2005/8/layout/process1"/>
    <dgm:cxn modelId="{5C8984CD-DA31-46F2-8288-F044C52A1CBD}" type="presParOf" srcId="{759CECBE-9AC5-42DC-B8F4-B88E8DE784C1}" destId="{3AC12926-EBD8-43A1-841A-7ACF5A52FA81}" srcOrd="0" destOrd="0" presId="urn:microsoft.com/office/officeart/2005/8/layout/process1"/>
    <dgm:cxn modelId="{3FADC111-29A5-445D-958E-84737E792083}" type="presParOf" srcId="{A03F42CA-4B26-4D32-A4A2-34D11552A8CD}" destId="{1D8133F9-03B7-4313-8435-8548A7F6AD16}"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826417-01C2-4613-81DE-AD72B6407BD2}">
      <dsp:nvSpPr>
        <dsp:cNvPr id="0" name=""/>
        <dsp:cNvSpPr/>
      </dsp:nvSpPr>
      <dsp:spPr>
        <a:xfrm>
          <a:off x="1987" y="9931"/>
          <a:ext cx="869185" cy="782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Loans with Delinquent Category</a:t>
          </a:r>
        </a:p>
      </dsp:txBody>
      <dsp:txXfrm>
        <a:off x="24914" y="32858"/>
        <a:ext cx="823331" cy="736922"/>
      </dsp:txXfrm>
    </dsp:sp>
    <dsp:sp modelId="{237AE0A3-CADD-496D-8383-8BC57F8402FC}">
      <dsp:nvSpPr>
        <dsp:cNvPr id="0" name=""/>
        <dsp:cNvSpPr/>
      </dsp:nvSpPr>
      <dsp:spPr>
        <a:xfrm>
          <a:off x="958091" y="293541"/>
          <a:ext cx="184267" cy="215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58091" y="336652"/>
        <a:ext cx="128987" cy="129335"/>
      </dsp:txXfrm>
    </dsp:sp>
    <dsp:sp modelId="{3E895AB6-0D45-4B81-A12C-B3AC8DBBFFF9}">
      <dsp:nvSpPr>
        <dsp:cNvPr id="0" name=""/>
        <dsp:cNvSpPr/>
      </dsp:nvSpPr>
      <dsp:spPr>
        <a:xfrm>
          <a:off x="1218847" y="9931"/>
          <a:ext cx="869185" cy="782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Divide all loans into their collateral groups (or Deal Level)</a:t>
          </a:r>
        </a:p>
      </dsp:txBody>
      <dsp:txXfrm>
        <a:off x="1241774" y="32858"/>
        <a:ext cx="823331" cy="736922"/>
      </dsp:txXfrm>
    </dsp:sp>
    <dsp:sp modelId="{CC2A45AC-D5A0-402C-B25F-0C05591CAB7F}">
      <dsp:nvSpPr>
        <dsp:cNvPr id="0" name=""/>
        <dsp:cNvSpPr/>
      </dsp:nvSpPr>
      <dsp:spPr>
        <a:xfrm>
          <a:off x="2174951" y="293541"/>
          <a:ext cx="184267" cy="215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174951" y="336652"/>
        <a:ext cx="128987" cy="129335"/>
      </dsp:txXfrm>
    </dsp:sp>
    <dsp:sp modelId="{67A2D93B-C93D-4C70-90DC-E367186B6149}">
      <dsp:nvSpPr>
        <dsp:cNvPr id="0" name=""/>
        <dsp:cNvSpPr/>
      </dsp:nvSpPr>
      <dsp:spPr>
        <a:xfrm>
          <a:off x="2435707" y="9931"/>
          <a:ext cx="869185" cy="782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Run cash flows based on the grouping</a:t>
          </a:r>
        </a:p>
      </dsp:txBody>
      <dsp:txXfrm>
        <a:off x="2458634" y="32858"/>
        <a:ext cx="823331" cy="736922"/>
      </dsp:txXfrm>
    </dsp:sp>
    <dsp:sp modelId="{759CECBE-9AC5-42DC-B8F4-B88E8DE784C1}">
      <dsp:nvSpPr>
        <dsp:cNvPr id="0" name=""/>
        <dsp:cNvSpPr/>
      </dsp:nvSpPr>
      <dsp:spPr>
        <a:xfrm>
          <a:off x="3391811" y="293541"/>
          <a:ext cx="184267" cy="215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391811" y="336652"/>
        <a:ext cx="128987" cy="129335"/>
      </dsp:txXfrm>
    </dsp:sp>
    <dsp:sp modelId="{1D8133F9-03B7-4313-8435-8548A7F6AD16}">
      <dsp:nvSpPr>
        <dsp:cNvPr id="0" name=""/>
        <dsp:cNvSpPr/>
      </dsp:nvSpPr>
      <dsp:spPr>
        <a:xfrm>
          <a:off x="3652566" y="9931"/>
          <a:ext cx="869185" cy="782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ctr" defTabSz="355600">
            <a:lnSpc>
              <a:spcPct val="90000"/>
            </a:lnSpc>
            <a:spcBef>
              <a:spcPct val="0"/>
            </a:spcBef>
            <a:spcAft>
              <a:spcPct val="35000"/>
            </a:spcAft>
            <a:buNone/>
          </a:pPr>
          <a:r>
            <a:rPr lang="en-US" sz="800" kern="1200" dirty="0"/>
            <a:t>Create Coefficients for Parameters</a:t>
          </a:r>
        </a:p>
        <a:p>
          <a:pPr marL="57150" lvl="1" indent="-57150" algn="ctr" defTabSz="266700">
            <a:lnSpc>
              <a:spcPct val="90000"/>
            </a:lnSpc>
            <a:spcBef>
              <a:spcPct val="0"/>
            </a:spcBef>
            <a:spcAft>
              <a:spcPct val="15000"/>
            </a:spcAft>
            <a:buChar char="•"/>
          </a:pPr>
          <a:r>
            <a:rPr lang="en-US" sz="600" kern="1200" dirty="0"/>
            <a:t>Default Rate</a:t>
          </a:r>
        </a:p>
        <a:p>
          <a:pPr marL="57150" lvl="1" indent="-57150" algn="ctr" defTabSz="266700">
            <a:lnSpc>
              <a:spcPct val="90000"/>
            </a:lnSpc>
            <a:spcBef>
              <a:spcPct val="0"/>
            </a:spcBef>
            <a:spcAft>
              <a:spcPct val="15000"/>
            </a:spcAft>
            <a:buChar char="•"/>
          </a:pPr>
          <a:r>
            <a:rPr lang="en-US" sz="600" kern="1200" dirty="0"/>
            <a:t>Severity</a:t>
          </a:r>
        </a:p>
        <a:p>
          <a:pPr marL="57150" lvl="1" indent="-57150" algn="ctr" defTabSz="266700">
            <a:lnSpc>
              <a:spcPct val="90000"/>
            </a:lnSpc>
            <a:spcBef>
              <a:spcPct val="0"/>
            </a:spcBef>
            <a:spcAft>
              <a:spcPct val="15000"/>
            </a:spcAft>
            <a:buChar char="•"/>
          </a:pPr>
          <a:r>
            <a:rPr lang="en-US" sz="600" kern="1200" dirty="0"/>
            <a:t>Prepay</a:t>
          </a:r>
        </a:p>
      </dsp:txBody>
      <dsp:txXfrm>
        <a:off x="3675493" y="32858"/>
        <a:ext cx="823331" cy="7369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8ED1A64F2440B493B84936E6380EB2"/>
        <w:category>
          <w:name w:val="General"/>
          <w:gallery w:val="placeholder"/>
        </w:category>
        <w:types>
          <w:type w:val="bbPlcHdr"/>
        </w:types>
        <w:behaviors>
          <w:behavior w:val="content"/>
        </w:behaviors>
        <w:guid w:val="{F5E087AC-B028-405E-8CC4-0804DC57B77F}"/>
      </w:docPartPr>
      <w:docPartBody>
        <w:p w:rsidR="00C760E9" w:rsidRDefault="005B228C" w:rsidP="005B228C">
          <w:pPr>
            <w:pStyle w:val="248ED1A64F2440B493B84936E6380EB2"/>
          </w:pPr>
          <w:r>
            <w:rPr>
              <w:rFonts w:asciiTheme="majorHAnsi" w:eastAsiaTheme="majorEastAsia" w:hAnsiTheme="majorHAnsi" w:cstheme="majorBidi"/>
              <w:color w:val="4472C4" w:themeColor="accent1"/>
              <w:sz w:val="27"/>
              <w:szCs w:val="27"/>
            </w:rPr>
            <w:t>[Document title]</w:t>
          </w:r>
        </w:p>
      </w:docPartBody>
    </w:docPart>
    <w:docPart>
      <w:docPartPr>
        <w:name w:val="0DA1E695444449149EB32B762177DF20"/>
        <w:category>
          <w:name w:val="General"/>
          <w:gallery w:val="placeholder"/>
        </w:category>
        <w:types>
          <w:type w:val="bbPlcHdr"/>
        </w:types>
        <w:behaviors>
          <w:behavior w:val="content"/>
        </w:behaviors>
        <w:guid w:val="{226C0978-072F-4D38-876C-1F427D3BC8BD}"/>
      </w:docPartPr>
      <w:docPartBody>
        <w:p w:rsidR="00C760E9" w:rsidRDefault="005B228C" w:rsidP="005B228C">
          <w:pPr>
            <w:pStyle w:val="0DA1E695444449149EB32B762177DF2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8C"/>
    <w:rsid w:val="000C7AB7"/>
    <w:rsid w:val="002F6A94"/>
    <w:rsid w:val="004F0F18"/>
    <w:rsid w:val="005B228C"/>
    <w:rsid w:val="00635F7A"/>
    <w:rsid w:val="00C7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8ED1A64F2440B493B84936E6380EB2">
    <w:name w:val="248ED1A64F2440B493B84936E6380EB2"/>
    <w:rsid w:val="005B228C"/>
  </w:style>
  <w:style w:type="paragraph" w:customStyle="1" w:styleId="0DA1E695444449149EB32B762177DF20">
    <w:name w:val="0DA1E695444449149EB32B762177DF20"/>
    <w:rsid w:val="005B2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8</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SYST515- Delinquency Category Classification</vt:lpstr>
    </vt:vector>
  </TitlesOfParts>
  <Company>Five Bridges Advisors LLC</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SYST515- Delinquency Category Classification</dc:title>
  <dc:subject/>
  <dc:creator>Akbar Jiwani</dc:creator>
  <cp:keywords/>
  <dc:description/>
  <cp:lastModifiedBy>javvaji</cp:lastModifiedBy>
  <cp:revision>195</cp:revision>
  <dcterms:created xsi:type="dcterms:W3CDTF">2020-05-04T16:49:00Z</dcterms:created>
  <dcterms:modified xsi:type="dcterms:W3CDTF">2020-05-12T05:43:00Z</dcterms:modified>
</cp:coreProperties>
</file>