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E9E" w:rsidRDefault="00A23563">
      <w:pPr>
        <w:pStyle w:val="Title"/>
      </w:pPr>
      <w:r>
        <w:t>PeakMedia Data Warehouse – Data Modelling &amp; Architecture</w:t>
      </w:r>
    </w:p>
    <w:p w:rsidR="00DE5E9E" w:rsidRDefault="00A23563">
      <w:pPr>
        <w:pStyle w:val="Heading1"/>
      </w:pPr>
      <w:r>
        <w:t>1. Overview</w:t>
      </w:r>
    </w:p>
    <w:p w:rsidR="00DE5E9E" w:rsidRDefault="00A23563">
      <w:r>
        <w:t xml:space="preserve">This data model integrates three primary data sources (TrackAff, AffMatrix, and Campaign data) into a unified star schema designed for analytical querying in a production-grade data </w:t>
      </w:r>
      <w:r>
        <w:t>warehouse. The model supports performance analysis across operators, campaigns, cards, and currencies.</w:t>
      </w:r>
    </w:p>
    <w:p w:rsidR="00DE5E9E" w:rsidRDefault="00A23563">
      <w:pPr>
        <w:pStyle w:val="Heading1"/>
      </w:pPr>
      <w:r>
        <w:t>2. Schema Design</w:t>
      </w:r>
    </w:p>
    <w:p w:rsidR="00DE5E9E" w:rsidRDefault="00A23563">
      <w:r>
        <w:t>The warehouse follows a star schema with two fact tables and five dimension tables:</w:t>
      </w:r>
      <w:r>
        <w:br/>
      </w:r>
      <w:r>
        <w:br/>
        <w:t>Fact Tables:</w:t>
      </w:r>
      <w:r>
        <w:br/>
        <w:t>- fact_affiliate_performance: Stores r</w:t>
      </w:r>
      <w:r>
        <w:t>egistrations, FTDs, and commission data</w:t>
      </w:r>
      <w:r>
        <w:br/>
        <w:t>- fact_campaign_spend: Stores marketing spend and traffic metrics</w:t>
      </w:r>
      <w:r>
        <w:br/>
      </w:r>
      <w:r>
        <w:br/>
        <w:t>Dimension Tables:</w:t>
      </w:r>
      <w:r>
        <w:br/>
        <w:t>- dim_operator: Operator reference</w:t>
      </w:r>
      <w:r>
        <w:br/>
        <w:t>- dim_campaign: Campaign reference</w:t>
      </w:r>
      <w:r>
        <w:br/>
        <w:t>- dim_card: Card reference</w:t>
      </w:r>
      <w:r>
        <w:br/>
        <w:t>- dim_currency: Currency reference</w:t>
      </w:r>
      <w:r>
        <w:br/>
        <w:t xml:space="preserve">- </w:t>
      </w:r>
      <w:proofErr w:type="spellStart"/>
      <w:r>
        <w:t>dim_currency_rate</w:t>
      </w:r>
      <w:proofErr w:type="spellEnd"/>
      <w:r>
        <w:t>: FX conversion rates</w:t>
      </w:r>
    </w:p>
    <w:p w:rsidR="00A23563" w:rsidRDefault="00A23563">
      <w:r w:rsidRPr="00A23563">
        <w:lastRenderedPageBreak/>
        <w:drawing>
          <wp:inline distT="0" distB="0" distL="0" distR="0" wp14:anchorId="111757DA" wp14:editId="567F26ED">
            <wp:extent cx="5486400" cy="47047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E5E9E" w:rsidRDefault="00A23563">
      <w:pPr>
        <w:pStyle w:val="Heading1"/>
      </w:pPr>
      <w:r>
        <w:t>3. Data Integration Logic</w:t>
      </w:r>
    </w:p>
    <w:p w:rsidR="00DE5E9E" w:rsidRDefault="00A23563">
      <w:r>
        <w:t>Data from TrackAff and AffMatrix sources are transformed and aggregated into a unified grain:</w:t>
      </w:r>
      <w:r>
        <w:br/>
        <w:t>- Daily level</w:t>
      </w:r>
      <w:r>
        <w:br/>
        <w:t>- Per tracking_id, campaign_id, operator_id, and card_id</w:t>
      </w:r>
      <w:r>
        <w:br/>
      </w:r>
      <w:r>
        <w:br/>
        <w:t>AffMatrix data is pivo</w:t>
      </w:r>
      <w:r>
        <w:t>ted:</w:t>
      </w:r>
      <w:r>
        <w:br/>
        <w:t>- registration_date → registrations</w:t>
      </w:r>
      <w:r>
        <w:br/>
        <w:t>- ftd_date → ftds</w:t>
      </w:r>
      <w:r>
        <w:br/>
        <w:t>- commission_earned → total_commission</w:t>
      </w:r>
      <w:r>
        <w:br/>
      </w:r>
      <w:r>
        <w:br/>
        <w:t>Campaign data is loaded separately into fact_campaign_spend.</w:t>
      </w:r>
    </w:p>
    <w:p w:rsidR="00DE5E9E" w:rsidRDefault="00A23563">
      <w:pPr>
        <w:pStyle w:val="Heading1"/>
      </w:pPr>
      <w:r>
        <w:lastRenderedPageBreak/>
        <w:t>4. Key Transformations</w:t>
      </w:r>
    </w:p>
    <w:p w:rsidR="00DE5E9E" w:rsidRDefault="00A23563">
      <w:r>
        <w:t>- tracking_id is padded and parsed to derive card_id and campaign_id</w:t>
      </w:r>
      <w:r>
        <w:br/>
        <w:t>- Da</w:t>
      </w:r>
      <w:r>
        <w:t>tes standardized to yyyy-MM-dd format</w:t>
      </w:r>
      <w:r>
        <w:br/>
        <w:t>- Currency mapped via dim_currency</w:t>
      </w:r>
      <w:r>
        <w:br/>
        <w:t>- FX conversion handled via dim_currency_rate</w:t>
      </w:r>
      <w:r>
        <w:br/>
        <w:t>- Operator and currency converted to surrogate keys</w:t>
      </w:r>
    </w:p>
    <w:p w:rsidR="00DE5E9E" w:rsidRDefault="00A23563">
      <w:pPr>
        <w:pStyle w:val="Heading1"/>
      </w:pPr>
      <w:r>
        <w:t>5. Relationships</w:t>
      </w:r>
    </w:p>
    <w:p w:rsidR="00DE5E9E" w:rsidRDefault="00A23563">
      <w:r>
        <w:t>The model enforces the following relationships:</w:t>
      </w:r>
      <w:r>
        <w:br/>
        <w:t>- fact_affiliate_per</w:t>
      </w:r>
      <w:r>
        <w:t>formance → dim_operator (operator_id)</w:t>
      </w:r>
      <w:r>
        <w:br/>
        <w:t>- fact_affiliate_performance → dim_campaign (campaign_id)</w:t>
      </w:r>
      <w:r>
        <w:br/>
        <w:t>- fact_affiliate_performance → dim_card (card_id)</w:t>
      </w:r>
      <w:r>
        <w:br/>
        <w:t>- fact_affiliate_performance → dim_currency (currency_id)</w:t>
      </w:r>
      <w:r>
        <w:br/>
        <w:t>- dim_currency → dim_currency_rate (currency_code)</w:t>
      </w:r>
      <w:r>
        <w:br/>
        <w:t>-</w:t>
      </w:r>
      <w:r>
        <w:t xml:space="preserve"> fact_campaign_spend → dim_campaign (campaign_id)</w:t>
      </w:r>
      <w:r>
        <w:br/>
      </w:r>
      <w:r>
        <w:br/>
        <w:t>This ensures consistent filtering and enables cross-fact analysis.</w:t>
      </w:r>
    </w:p>
    <w:p w:rsidR="00DE5E9E" w:rsidRDefault="00A23563">
      <w:pPr>
        <w:pStyle w:val="Heading1"/>
      </w:pPr>
      <w:r>
        <w:t>6. Production Considerations</w:t>
      </w:r>
    </w:p>
    <w:p w:rsidR="00DE5E9E" w:rsidRDefault="00A23563">
      <w:r>
        <w:t>- Surrogate keys used for dimensional joins</w:t>
      </w:r>
      <w:r>
        <w:br/>
        <w:t>- Data is aggregated at consistent grain</w:t>
      </w:r>
      <w:r>
        <w:br/>
        <w:t>- Schema supports increm</w:t>
      </w:r>
      <w:r>
        <w:t>ental loads</w:t>
      </w:r>
      <w:r>
        <w:br/>
        <w:t>- Designed for Direct Lake / Power BI semantic models</w:t>
      </w:r>
      <w:r>
        <w:br/>
        <w:t>- Currency normalization enables global reporting</w:t>
      </w:r>
    </w:p>
    <w:sectPr w:rsidR="00DE5E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23563"/>
    <w:rsid w:val="00AA1D8D"/>
    <w:rsid w:val="00B47730"/>
    <w:rsid w:val="00CB0664"/>
    <w:rsid w:val="00DE5E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4CD5B3"/>
  <w14:defaultImageDpi w14:val="300"/>
  <w15:docId w15:val="{5F10DAD1-577D-4F1A-AF56-4F5BAB301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194B59-65B0-48D5-B6F7-732153450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2026-03-29T13:22:00Z</dcterms:modified>
  <cp:category/>
</cp:coreProperties>
</file>