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mbria" w:hAnsi="Cambria" w:cs="Cambria" w:eastAsia="Cambria"/>
          <w:b/>
          <w:color w:val="000000"/>
          <w:spacing w:val="0"/>
          <w:position w:val="0"/>
          <w:sz w:val="32"/>
          <w:shd w:fill="auto" w:val="clear"/>
        </w:rPr>
      </w:pPr>
      <w:r>
        <w:rPr>
          <w:rFonts w:ascii="Cambria" w:hAnsi="Cambria" w:cs="Cambria" w:eastAsia="Cambria"/>
          <w:b/>
          <w:color w:val="000000"/>
          <w:spacing w:val="0"/>
          <w:position w:val="0"/>
          <w:sz w:val="32"/>
          <w:shd w:fill="auto" w:val="clear"/>
        </w:rPr>
        <w:t xml:space="preserve">Business Question and Visualization </w:t>
      </w:r>
      <w:r>
        <w:rPr>
          <w:rFonts w:ascii="Cambria" w:hAnsi="Cambria" w:cs="Cambria" w:eastAsia="Cambria"/>
          <w:b/>
          <w:color w:val="auto"/>
          <w:spacing w:val="0"/>
          <w:position w:val="0"/>
          <w:sz w:val="32"/>
          <w:shd w:fill="auto" w:val="clear"/>
        </w:rPr>
        <w:t xml:space="preserve">Report             </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September 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MCA</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Strategic Employee Attrition Intelligence Board</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 Marks</w:t>
            </w:r>
          </w:p>
        </w:tc>
      </w:tr>
    </w:tbl>
    <w:p>
      <w:pPr>
        <w:spacing w:before="0" w:after="160" w:line="259"/>
        <w:ind w:right="0" w:left="0" w:firstLine="0"/>
        <w:jc w:val="left"/>
        <w:rPr>
          <w:rFonts w:ascii="Cambria" w:hAnsi="Cambria" w:cs="Cambria" w:eastAsia="Cambria"/>
          <w:b/>
          <w:color w:val="000000"/>
          <w:spacing w:val="0"/>
          <w:position w:val="0"/>
          <w:sz w:val="32"/>
          <w:shd w:fill="auto" w:val="clear"/>
        </w:rPr>
      </w:pPr>
    </w:p>
    <w:p>
      <w:pPr>
        <w:spacing w:before="0" w:after="160" w:line="259"/>
        <w:ind w:right="0" w:left="0" w:firstLine="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pPr>
        <w:spacing w:before="0" w:after="160" w:line="259"/>
        <w:ind w:right="0" w:left="72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Business Questions and Visualisation</w:t>
      </w:r>
    </w:p>
    <w:p>
      <w:pPr>
        <w:spacing w:before="0" w:after="160" w:line="259"/>
        <w:ind w:right="0" w:left="72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The process involves defining specific business questions to guide the creation of meaningful and actionable visualizations in Power BI. Well-framed questions help in identifying key metrics, selecting relevant data, and building visualisation that provide insights.</w:t>
      </w:r>
    </w:p>
    <w:p>
      <w:pPr>
        <w:spacing w:before="0" w:after="160" w:line="259"/>
        <w:ind w:right="0" w:left="720" w:firstLine="0"/>
        <w:jc w:val="left"/>
        <w:rPr>
          <w:rFonts w:ascii="Cambria" w:hAnsi="Cambria" w:cs="Cambria" w:eastAsia="Cambria"/>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1.How does employee attrition count vary across different departments?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757" w:dyaOrig="3819">
          <v:rect xmlns:o="urn:schemas-microsoft-com:office:office" xmlns:v="urn:schemas-microsoft-com:vml" id="rectole0000000000" style="width:337.850000pt;height:190.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2.Which job roles have higher or lower employee attrition rates?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998" w:dyaOrig="3750">
          <v:rect xmlns:o="urn:schemas-microsoft-com:office:office" xmlns:v="urn:schemas-microsoft-com:vml" id="rectole0000000001" style="width:349.900000pt;height:187.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3.How is the employee population distributed across different work modes?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7120" w:dyaOrig="3732">
          <v:rect xmlns:o="urn:schemas-microsoft-com:office:office" xmlns:v="urn:schemas-microsoft-com:vml" id="rectole0000000002" style="width:356.000000pt;height:186.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4.How does employee attrition count differ across Remote, Hybrid and Onsite work modes?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688" w:dyaOrig="3196">
          <v:rect xmlns:o="urn:schemas-microsoft-com:office:office" xmlns:v="urn:schemas-microsoft-com:vml" id="rectole0000000003" style="width:334.400000pt;height:159.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5.How are employees distributed across different job levels?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Donut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947" w:dyaOrig="3318">
          <v:rect xmlns:o="urn:schemas-microsoft-com:office:office" xmlns:v="urn:schemas-microsoft-com:vml" id="rectole0000000004" style="width:347.350000pt;height:165.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6.How does the average job level vary according to attrition status and marital status?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7171" w:dyaOrig="3456">
          <v:rect xmlns:o="urn:schemas-microsoft-com:office:office" xmlns:v="urn:schemas-microsoft-com:vml" id="rectole0000000005" style="width:358.550000pt;height:172.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7.How does average monthly income vary across different marital-status groups?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Clustered Column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912" w:dyaOrig="3456">
          <v:rect xmlns:o="urn:schemas-microsoft-com:office:office" xmlns:v="urn:schemas-microsoft-com:vml" id="rectole0000000006" style="width:345.600000pt;height:172.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8.How does the attrition rate change across different career stages or age groups?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Line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6912" w:dyaOrig="3456">
          <v:rect xmlns:o="urn:schemas-microsoft-com:office:office" xmlns:v="urn:schemas-microsoft-com:vml" id="rectole0000000007" style="width:345.600000pt;height:172.8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9.How does attrition rate vary across work modes and different burnout-risk levels?</w:t>
      </w: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Visualization: Clustered Bar Chart</w: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24"/>
          <w:shd w:fill="FFFFFF" w:val="clear"/>
        </w:rPr>
        <w:t xml:space="preserve">                   </w:t>
      </w:r>
      <w:r>
        <w:object w:dxaOrig="7171" w:dyaOrig="3421">
          <v:rect xmlns:o="urn:schemas-microsoft-com:office:office" xmlns:v="urn:schemas-microsoft-com:vml" id="rectole0000000008" style="width:358.550000pt;height:171.0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p>
      <w:pPr>
        <w:spacing w:before="0" w:after="0" w:line="240"/>
        <w:ind w:right="0" w:left="0" w:firstLine="0"/>
        <w:jc w:val="left"/>
        <w:rPr>
          <w:rFonts w:ascii="Cambria" w:hAnsi="Cambria" w:cs="Cambria" w:eastAsia="Cambria"/>
          <w:b/>
          <w:color w:val="000000"/>
          <w:spacing w:val="0"/>
          <w:position w:val="0"/>
          <w:sz w:val="24"/>
          <w:shd w:fill="FFFFFF"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