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pacing w:before="0" w:after="0" w:line="259"/>
        <w:ind w:right="0" w:left="0" w:firstLine="0"/>
        <w:jc w:val="left"/>
        <w:rPr>
          <w:rFonts w:ascii="Times New Roman" w:hAnsi="Times New Roman" w:cs="Times New Roman" w:eastAsia="Times New Roman"/>
          <w:b/>
          <w:color w:val="auto"/>
          <w:spacing w:val="0"/>
          <w:position w:val="0"/>
          <w:sz w:val="28"/>
          <w:shd w:fill="auto" w:val="clear"/>
        </w:rPr>
      </w:pPr>
    </w:p>
    <w:p>
      <w:pPr>
        <w:widowControl w:val="false"/>
        <w:spacing w:before="0" w:after="0" w:line="259"/>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8"/>
          <w:shd w:fill="auto" w:val="clear"/>
        </w:rPr>
        <w:t xml:space="preserve">Data Collection and Preprocessing Phase</w:t>
      </w:r>
    </w:p>
    <w:p>
      <w:pPr>
        <w:widowControl w:val="false"/>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tbl>
      <w:tblPr/>
      <w:tblGrid>
        <w:gridCol w:w="4680"/>
        <w:gridCol w:w="4680"/>
      </w:tblGrid>
      <w:tr>
        <w:trPr>
          <w:trHeight w:val="1" w:hRule="atLeast"/>
          <w:jc w:val="left"/>
        </w:trPr>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Date</w:t>
            </w:r>
          </w:p>
        </w:tc>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September 2026</w:t>
            </w:r>
          </w:p>
        </w:tc>
      </w:tr>
      <w:tr>
        <w:trPr>
          <w:trHeight w:val="1" w:hRule="atLeast"/>
          <w:jc w:val="left"/>
        </w:trPr>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Team ID</w:t>
            </w:r>
          </w:p>
        </w:tc>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MCA</w:t>
            </w:r>
          </w:p>
        </w:tc>
      </w:tr>
      <w:tr>
        <w:trPr>
          <w:trHeight w:val="1" w:hRule="atLeast"/>
          <w:jc w:val="left"/>
        </w:trPr>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Project Title</w:t>
            </w:r>
          </w:p>
        </w:tc>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Strategic Employee Attrition Intelligence Board</w:t>
            </w:r>
          </w:p>
        </w:tc>
      </w:tr>
      <w:tr>
        <w:trPr>
          <w:trHeight w:val="1" w:hRule="atLeast"/>
          <w:jc w:val="left"/>
        </w:trPr>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Maximum Marks</w:t>
            </w:r>
          </w:p>
        </w:tc>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10 Marks</w:t>
            </w:r>
          </w:p>
        </w:tc>
      </w:tr>
    </w:tbl>
    <w:p>
      <w:pPr>
        <w:widowControl w:val="false"/>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p>
      <w:pPr>
        <w:widowControl w:val="false"/>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 Exploration and Preprocessing Template</w:t>
      </w:r>
    </w:p>
    <w:p>
      <w:pPr>
        <w:widowControl w:val="false"/>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Identifies data sources, assesses quality issues like missing values and duplicates, and implements resolution plans to ensure accurate and reliable analysis.</w:t>
      </w:r>
    </w:p>
    <w:p>
      <w:pPr>
        <w:widowControl w:val="false"/>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tbl>
      <w:tblPr/>
      <w:tblGrid>
        <w:gridCol w:w="2985"/>
        <w:gridCol w:w="6318"/>
      </w:tblGrid>
      <w:tr>
        <w:trPr>
          <w:trHeight w:val="453" w:hRule="auto"/>
          <w:jc w:val="left"/>
        </w:trPr>
        <w:tc>
          <w:tcPr>
            <w:tcW w:w="2985"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bottom"/>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Section</w:t>
            </w:r>
          </w:p>
        </w:tc>
        <w:tc>
          <w:tcPr>
            <w:tcW w:w="6318"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bottom"/>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Description</w:t>
            </w:r>
          </w:p>
        </w:tc>
      </w:tr>
      <w:tr>
        <w:trPr>
          <w:trHeight w:val="678" w:hRule="auto"/>
          <w:jc w:val="left"/>
        </w:trPr>
        <w:tc>
          <w:tcPr>
            <w:tcW w:w="298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Data Overview</w:t>
            </w:r>
          </w:p>
        </w:tc>
        <w:tc>
          <w:tcPr>
            <w:tcW w:w="6318"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The dataset contains 5,000 employee records and 29 attributes. It includes information about employees' department, job role, salary, work mode, overtime, experience, engagement, burnout, work-life balance, and AI adoption. The dataset is used to analyze employee attrition patterns and related factors.</w:t>
            </w:r>
          </w:p>
        </w:tc>
      </w:tr>
      <w:tr>
        <w:trPr>
          <w:trHeight w:val="678" w:hRule="auto"/>
          <w:jc w:val="left"/>
        </w:trPr>
        <w:tc>
          <w:tcPr>
            <w:tcW w:w="298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Data Cleaning</w:t>
            </w:r>
          </w:p>
        </w:tc>
        <w:tc>
          <w:tcPr>
            <w:tcW w:w="6318"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The dataset was checked for missing values, duplicate records, incorrect data types, and inconsistent values. The data was then prepared and organized for analysis and visualization in Power BI, ensuring that the employee attrition data was suitable for creating accurate charts and KPIs.</w:t>
            </w:r>
          </w:p>
        </w:tc>
      </w:tr>
      <w:tr>
        <w:trPr>
          <w:trHeight w:val="678" w:hRule="auto"/>
          <w:jc w:val="left"/>
        </w:trPr>
        <w:tc>
          <w:tcPr>
            <w:tcW w:w="298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Data Transformation</w:t>
            </w:r>
          </w:p>
        </w:tc>
        <w:tc>
          <w:tcPr>
            <w:tcW w:w="6318"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Data transformation was performed using Power Query in Power BI to prepare the employee dataset for analysis. The data was filtered to remove irrelevant records, sorted to organize employee information, and pivoted to restructure data for easier analysis. Calculated columns were also created to derive useful metrics and categories from the existing fields. These transformations helped organize the dataset, improve consistency, and make it suitable for creating meaningful visualizations and insights in the Employee Attrition dashboard.</w:t>
            </w:r>
          </w:p>
        </w:tc>
      </w:tr>
      <w:tr>
        <w:trPr>
          <w:trHeight w:val="678" w:hRule="auto"/>
          <w:jc w:val="left"/>
        </w:trPr>
        <w:tc>
          <w:tcPr>
            <w:tcW w:w="298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Data Type Conversion</w:t>
            </w:r>
          </w:p>
        </w:tc>
        <w:tc>
          <w:tcPr>
            <w:tcW w:w="6318"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Data type conversion was performed in Power Query to ensure that each field had the correct data type. Numerical fields were converted to Whole Number or Decimal Number, categorical fields to Text, and relevant fields such as dates were assigned the Date type. This helped rectify data type errors and ensured accurate calculations, filtering, sorting, and visualizations in the Employee Attrition dashboard.</w:t>
            </w:r>
          </w:p>
        </w:tc>
      </w:tr>
      <w:tr>
        <w:trPr>
          <w:trHeight w:val="678" w:hRule="auto"/>
          <w:jc w:val="left"/>
        </w:trPr>
        <w:tc>
          <w:tcPr>
            <w:tcW w:w="298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Column Splitting and Merging</w:t>
            </w:r>
          </w:p>
        </w:tc>
        <w:tc>
          <w:tcPr>
            <w:tcW w:w="6318"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Column splitting and merging were performed in </w:t>
            </w:r>
            <w:r>
              <w:rPr>
                <w:rFonts w:ascii="Times New Roman" w:hAnsi="Times New Roman" w:cs="Times New Roman" w:eastAsia="Times New Roman"/>
                <w:b/>
                <w:color w:val="auto"/>
                <w:spacing w:val="0"/>
                <w:position w:val="0"/>
                <w:sz w:val="24"/>
                <w:shd w:fill="auto" w:val="clear"/>
              </w:rPr>
              <w:t xml:space="preserve">Power Query</w:t>
            </w:r>
            <w:r>
              <w:rPr>
                <w:rFonts w:ascii="Times New Roman" w:hAnsi="Times New Roman" w:cs="Times New Roman" w:eastAsia="Times New Roman"/>
                <w:color w:val="auto"/>
                <w:spacing w:val="0"/>
                <w:position w:val="0"/>
                <w:sz w:val="24"/>
                <w:shd w:fill="auto" w:val="clear"/>
              </w:rPr>
              <w:t xml:space="preserve"> to organize the employee data effectively. Columns containing multiple pieces of information were </w:t>
            </w:r>
            <w:r>
              <w:rPr>
                <w:rFonts w:ascii="Times New Roman" w:hAnsi="Times New Roman" w:cs="Times New Roman" w:eastAsia="Times New Roman"/>
                <w:b/>
                <w:color w:val="auto"/>
                <w:spacing w:val="0"/>
                <w:position w:val="0"/>
                <w:sz w:val="24"/>
                <w:shd w:fill="auto" w:val="clear"/>
              </w:rPr>
              <w:t xml:space="preserve">split</w:t>
            </w:r>
            <w:r>
              <w:rPr>
                <w:rFonts w:ascii="Times New Roman" w:hAnsi="Times New Roman" w:cs="Times New Roman" w:eastAsia="Times New Roman"/>
                <w:color w:val="auto"/>
                <w:spacing w:val="0"/>
                <w:position w:val="0"/>
                <w:sz w:val="24"/>
                <w:shd w:fill="auto" w:val="clear"/>
              </w:rPr>
              <w:t xml:space="preserve"> into separate fields when required, while related columns were </w:t>
            </w:r>
            <w:r>
              <w:rPr>
                <w:rFonts w:ascii="Times New Roman" w:hAnsi="Times New Roman" w:cs="Times New Roman" w:eastAsia="Times New Roman"/>
                <w:b/>
                <w:color w:val="auto"/>
                <w:spacing w:val="0"/>
                <w:position w:val="0"/>
                <w:sz w:val="24"/>
                <w:shd w:fill="auto" w:val="clear"/>
              </w:rPr>
              <w:t xml:space="preserve">merged</w:t>
            </w:r>
            <w:r>
              <w:rPr>
                <w:rFonts w:ascii="Times New Roman" w:hAnsi="Times New Roman" w:cs="Times New Roman" w:eastAsia="Times New Roman"/>
                <w:color w:val="auto"/>
                <w:spacing w:val="0"/>
                <w:position w:val="0"/>
                <w:sz w:val="24"/>
                <w:shd w:fill="auto" w:val="clear"/>
              </w:rPr>
              <w:t xml:space="preserve"> to create a single meaningful field. This improved data structure and made the dataset easier to analyze and visualize in the Employee Attrition dashboard.</w:t>
            </w:r>
          </w:p>
        </w:tc>
      </w:tr>
      <w:tr>
        <w:trPr>
          <w:trHeight w:val="678" w:hRule="auto"/>
          <w:jc w:val="left"/>
        </w:trPr>
        <w:tc>
          <w:tcPr>
            <w:tcW w:w="298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Data Modeling</w:t>
            </w:r>
          </w:p>
        </w:tc>
        <w:tc>
          <w:tcPr>
            <w:tcW w:w="6318"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Data modeling was performed in </w:t>
            </w:r>
            <w:r>
              <w:rPr>
                <w:rFonts w:ascii="Times New Roman" w:hAnsi="Times New Roman" w:cs="Times New Roman" w:eastAsia="Times New Roman"/>
                <w:b/>
                <w:color w:val="auto"/>
                <w:spacing w:val="0"/>
                <w:position w:val="0"/>
                <w:sz w:val="24"/>
                <w:shd w:fill="auto" w:val="clear"/>
              </w:rPr>
              <w:t xml:space="preserve">Power BI</w:t>
            </w:r>
            <w:r>
              <w:rPr>
                <w:rFonts w:ascii="Times New Roman" w:hAnsi="Times New Roman" w:cs="Times New Roman" w:eastAsia="Times New Roman"/>
                <w:color w:val="auto"/>
                <w:spacing w:val="0"/>
                <w:position w:val="0"/>
                <w:sz w:val="24"/>
                <w:shd w:fill="auto" w:val="clear"/>
              </w:rPr>
              <w:t xml:space="preserve"> by defining relationships between the required tables and creating </w:t>
            </w:r>
            <w:r>
              <w:rPr>
                <w:rFonts w:ascii="Times New Roman" w:hAnsi="Times New Roman" w:cs="Times New Roman" w:eastAsia="Times New Roman"/>
                <w:b/>
                <w:color w:val="auto"/>
                <w:spacing w:val="0"/>
                <w:position w:val="0"/>
                <w:sz w:val="24"/>
                <w:shd w:fill="auto" w:val="clear"/>
              </w:rPr>
              <w:t xml:space="preserve">measures</w:t>
            </w:r>
            <w:r>
              <w:rPr>
                <w:rFonts w:ascii="Times New Roman" w:hAnsi="Times New Roman" w:cs="Times New Roman" w:eastAsia="Times New Roman"/>
                <w:color w:val="auto"/>
                <w:spacing w:val="0"/>
                <w:position w:val="0"/>
                <w:sz w:val="24"/>
                <w:shd w:fill="auto" w:val="clear"/>
              </w:rPr>
              <w:t xml:space="preserve"> for important employee attrition metrics. These measures helped calculate values such as total employees, attrition rate, average income, and other key performance indicators. This provided a structured data model for accurate analysis and interactive dashboard visualizations.</w:t>
            </w:r>
          </w:p>
        </w:tc>
      </w:tr>
      <w:tr>
        <w:trPr>
          <w:trHeight w:val="1740" w:hRule="auto"/>
          <w:jc w:val="left"/>
        </w:trPr>
        <w:tc>
          <w:tcPr>
            <w:tcW w:w="298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Save Processed Data</w:t>
            </w:r>
          </w:p>
        </w:tc>
        <w:tc>
          <w:tcPr>
            <w:tcW w:w="6318"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The cleaned and transformed employee data was saved after completing the data preparation and modeling process. This ensures that the processed dataset can be </w:t>
            </w:r>
            <w:r>
              <w:rPr>
                <w:rFonts w:ascii="Times New Roman" w:hAnsi="Times New Roman" w:cs="Times New Roman" w:eastAsia="Times New Roman"/>
                <w:b/>
                <w:color w:val="auto"/>
                <w:spacing w:val="0"/>
                <w:position w:val="0"/>
                <w:sz w:val="24"/>
                <w:shd w:fill="auto" w:val="clear"/>
              </w:rPr>
              <w:t xml:space="preserve">reused for future analysis, reporting, and Power BI dashboard updates</w:t>
            </w:r>
            <w:r>
              <w:rPr>
                <w:rFonts w:ascii="Times New Roman" w:hAnsi="Times New Roman" w:cs="Times New Roman" w:eastAsia="Times New Roman"/>
                <w:color w:val="auto"/>
                <w:spacing w:val="0"/>
                <w:position w:val="0"/>
                <w:sz w:val="24"/>
                <w:shd w:fill="auto" w:val="clear"/>
              </w:rPr>
              <w:t xml:space="preserve"> without repeating the entire data-cleaning process.</w:t>
            </w:r>
          </w:p>
        </w:tc>
      </w:tr>
      <w:tr>
        <w:trPr>
          <w:trHeight w:val="17" w:hRule="auto"/>
          <w:jc w:val="left"/>
        </w:trPr>
        <w:tc>
          <w:tcPr>
            <w:tcW w:w="2985"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318"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