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color w:val="555555"/>
          <w:sz w:val="22"/>
        </w:rPr>
        <w:t>8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1F4E79"/>
          <w:sz w:val="28"/>
        </w:rPr>
        <w:t>CHAPTER 6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color w:val="2E5B88"/>
          <w:sz w:val="28"/>
        </w:rPr>
        <w:t>CONCLUSION &amp; FUTURE SCOPE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2E5B88"/>
          <w:sz w:val="24"/>
        </w:rPr>
        <w:t>6.1 Summary of Work Completed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This project set out to design and build LexGuard, an Explainable AI-driven legal hallucination detection platform that bridges the critical gap between generative language model output and authoritative legal ground truth. That goal has been accomplished through the delivery of a production-ready, multi-stage detection ecosystem comprising a high-performance FastAPI detection service, FAISS vector retrieval grounding, an LLM-as-a-judge entailment verification framework, client SDKs (Python and TypeScript), a serverless PostgreSQL analytics store (Neon), and a real-time Next.js diagnostic dashboard.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Throughout development, the project emphasized deterministic grounding, explainability by default, and honest baseline evaluation over inflated synthetic accuracy claims. The resulting system successfully demonstrates that LLM-generated legal content can be audited, broken down into atomic factual claims, and cross-referenced against statutory ground truth to generate transparent trust scores and actionable routing decisions.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2E5B88"/>
          <w:sz w:val="24"/>
        </w:rPr>
        <w:t>6.2 Future Scope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Building upon the verified foundation of the current implementation, the following key directions have been identified for future research and engineering: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Reintegration of External Fallback Search: </w:t>
      </w:r>
      <w:r>
        <w:rPr>
          <w:rFonts w:ascii="Times New Roman" w:hAnsi="Times New Roman"/>
          <w:color w:val="111827"/>
          <w:sz w:val="23"/>
        </w:rPr>
        <w:t>Activating and productionizing the multi-source fallback retrieval pipeline (Google Custom Search API and LawCite parser) to dynamically verify unindexed case precedents and recent legal amendments.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Implementation of Metamorphic Consistency Testing (Stage 3): </w:t>
      </w:r>
      <w:r>
        <w:rPr>
          <w:rFonts w:ascii="Times New Roman" w:hAnsi="Times New Roman"/>
          <w:color w:val="111827"/>
          <w:sz w:val="23"/>
        </w:rPr>
        <w:t>Developing metamorphic relation suites (e.g., transitive implication checks, polarity inversion, entity perturbation) to identify subtle logical hallucinations in complex legal reasoning.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Semantic Entropy &amp; Pre-Retrieval Risk Triage (Stage 1): </w:t>
      </w:r>
      <w:r>
        <w:rPr>
          <w:rFonts w:ascii="Times New Roman" w:hAnsi="Times New Roman"/>
          <w:color w:val="111827"/>
          <w:sz w:val="23"/>
        </w:rPr>
        <w:t>Integrating token-level uncertainty estimation and semantic entropy scoring to filter subjective and non-falsifiable text prior to vector lookup, optimizing latency and token expenditure.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color w:val="555555"/>
          <w:sz w:val="22"/>
        </w:rPr>
        <w:t>9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Knowledge Base Expansion: </w:t>
      </w:r>
      <w:r>
        <w:rPr>
          <w:rFonts w:ascii="Times New Roman" w:hAnsi="Times New Roman"/>
          <w:color w:val="111827"/>
          <w:sz w:val="23"/>
        </w:rPr>
        <w:t>Scaling the authoritative legal corpus from 115 IT Act sections to comprehensive national statutory repositories (including Bharatiya Nyaya Sanhita, Commercial Courts Act, and Supreme Court judgments).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Domain-Adapted Open NLI Models: </w:t>
      </w:r>
      <w:r>
        <w:rPr>
          <w:rFonts w:ascii="Times New Roman" w:hAnsi="Times New Roman"/>
          <w:color w:val="111827"/>
          <w:sz w:val="23"/>
        </w:rPr>
        <w:t>Fine-tuning localized open-source Natural Language Inference models (such as Legal-RoBERTa or DeBERTa-v3) to perform entailment checking locally without relying on external commercial LLM APIs.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Interactive Human-in-the-Loop Triage: </w:t>
      </w:r>
      <w:r>
        <w:rPr>
          <w:rFonts w:ascii="Times New Roman" w:hAnsi="Times New Roman"/>
          <w:color w:val="111827"/>
          <w:sz w:val="23"/>
        </w:rPr>
        <w:t>Enhancing the Next.js dashboard with interactive feedback loops, allowing legal practitioners to annotate borderline claims, correct evidence links, and continuously enrich the knowledge repository.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Taken together, these directions extend the current, verified foundation of LexGuard toward a robust, multi-jurisdictional AI compliance and verification platform, upholding factual accuracy, transparency, and accountability across legal AI applications.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color w:val="555555"/>
          <w:sz w:val="22"/>
        </w:rPr>
        <w:t>10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1F4E79"/>
          <w:sz w:val="28"/>
        </w:rPr>
        <w:t>REFERENCES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[1] L. Huang, W. Yu, W. Ma, W. Zhong, Z. Feng, H. Wang, Q. Chen, W. Peng, X. Feng, B. Qin, and T. Liu, “A Survey on Hallucination in Large Language Models: Principles, Taxonomy, Challenges, and Open Questions,” ACM Transactions on Information Systems, 2024.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[2] M. Dahl, V. Magesh, M. Suzgun, and D. E. Ho, “Large Legal Fictions: Profiling Legal Hallucinations in Large Language Models,” Journal of Legal Analysis, vol. 16, p. 64, 2024.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[3] V. Ovcharov, “Citation Grounding: Detecting and Reducing LLM Citation Hallucinations via Legal Citation Graphs,” arXiv:2606.00898, 2026.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[4] P. Lewis, E. Perez, A. Piktus, F. Petroni, V. Karpukhin, N. Goyal, H. Küttler, M. Lewis, W. Yih, T. Rocktäschel, S. Riedel, and D. Kiela, “Retrieval-Augmented Generation for Knowledge-Intensive NLP Tasks,” Advances in Neural Information Processing Systems, vol. 33, 2020.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[5] L. Zheng, W. Chiang, Y. Sheng, S. Zhuang, Z. Wu, Y. Zhuang, Z. Lin, Z. Li, D. Li, E. P. Xing, H. Zhang, J. E. Gonzalez, and I. Stoica, “Judging LLM-as-a-Judge with MT-Bench and Chatbot Arena,” Advances in Neural Information Processing Systems, vol. 36, 2023.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[6] X. Du, C. Xiao, and Y. Li, “HaloScope: Harnessing Unlabeled LLM Generations for Hallucination Detection,” Advances in Neural Information Processing Systems, vol. 37, 2024.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[7] C. Sok, D. Luz, and Y. Haddam, “MetaRAG: Metamorphic Testing for Hallucination Detection in RAG Systems,” arXiv:2509.09360, 2025.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[8] P. Elchafei and M. Abu-Elkheir, “Hallucination Detectives at SemEval-2025 Task 3: Span-Level Hallucination Detection for LLM-Generated Answers,” Proceedings of SemEval-2025, Task 3, 2025.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[9] J. Johnson, M. Douze, and H. Jégou, “Billion-scale similarity search with GPUs,” IEEE Transactions on Big Data, 2019.</w:t>
      </w:r>
    </w:p>
    <w:p>
      <w:pPr>
        <w:spacing w:line="276" w:lineRule="auto" w:before="0" w:after="80"/>
        <w:jc w:val="both"/>
      </w:pPr>
      <w:r>
        <w:rPr>
          <w:rFonts w:ascii="Times New Roman" w:hAnsi="Times New Roman"/>
          <w:color w:val="111827"/>
          <w:sz w:val="21"/>
        </w:rPr>
        <w:t>[10] N. Reimers and I. Gurevych, “Sentence-BERT: Sentence Embeddings using Siamese BERT-Networks,” Proceedings of EMNLP-IJCNLP, 2019.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color w:val="555555"/>
          <w:sz w:val="22"/>
        </w:rPr>
        <w:t>11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color w:val="1F4E79"/>
          <w:sz w:val="28"/>
        </w:rPr>
        <w:t>RESEARCH PAPER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The work presented in this report was consolidated into a research paper titled “LexGuard: A Multi-Stage Pipeline for Legal LLM Hallucination Detection and Factual Grounding” and submitted for conference review under Multicon 2026.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Authors: Team HALO (Gayatri Bhosale, Niyati Patel, Paarth Agarwal), under the guidance of Project Supervisor.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The manuscript (6 pages, 3,840 words) was checked for originality through the department's Turnitin account prior to submission and returned an overall similarity score of 2%, with no unresolved integrity flags. The full similarity report is reproduced in Appendix D, and the corresponding publication entry is listed in Appendix C.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color w:val="555555"/>
          <w:sz w:val="22"/>
        </w:rPr>
        <w:t>12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1F4E79"/>
          <w:sz w:val="28"/>
        </w:rPr>
        <w:t>APPENDIX A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2E5B88"/>
          <w:sz w:val="26"/>
        </w:rPr>
        <w:t>Abbreviations and Symbols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1. </w:t>
      </w:r>
      <w:r>
        <w:rPr>
          <w:rFonts w:ascii="Times New Roman" w:hAnsi="Times New Roman"/>
          <w:b/>
          <w:color w:val="111827"/>
          <w:sz w:val="23"/>
        </w:rPr>
        <w:t xml:space="preserve">AI: </w:t>
      </w:r>
      <w:r>
        <w:rPr>
          <w:rFonts w:ascii="Times New Roman" w:hAnsi="Times New Roman"/>
          <w:color w:val="111827"/>
          <w:sz w:val="23"/>
        </w:rPr>
        <w:t>Artificial Intelligence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2. </w:t>
      </w:r>
      <w:r>
        <w:rPr>
          <w:rFonts w:ascii="Times New Roman" w:hAnsi="Times New Roman"/>
          <w:b/>
          <w:color w:val="111827"/>
          <w:sz w:val="23"/>
        </w:rPr>
        <w:t xml:space="preserve">LLM: </w:t>
      </w:r>
      <w:r>
        <w:rPr>
          <w:rFonts w:ascii="Times New Roman" w:hAnsi="Times New Roman"/>
          <w:color w:val="111827"/>
          <w:sz w:val="23"/>
        </w:rPr>
        <w:t>Large Language Model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3. </w:t>
      </w:r>
      <w:r>
        <w:rPr>
          <w:rFonts w:ascii="Times New Roman" w:hAnsi="Times New Roman"/>
          <w:b/>
          <w:color w:val="111827"/>
          <w:sz w:val="23"/>
        </w:rPr>
        <w:t xml:space="preserve">NLP: </w:t>
      </w:r>
      <w:r>
        <w:rPr>
          <w:rFonts w:ascii="Times New Roman" w:hAnsi="Times New Roman"/>
          <w:color w:val="111827"/>
          <w:sz w:val="23"/>
        </w:rPr>
        <w:t>Natural Language Processing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4. </w:t>
      </w:r>
      <w:r>
        <w:rPr>
          <w:rFonts w:ascii="Times New Roman" w:hAnsi="Times New Roman"/>
          <w:b/>
          <w:color w:val="111827"/>
          <w:sz w:val="23"/>
        </w:rPr>
        <w:t xml:space="preserve">NLI: </w:t>
      </w:r>
      <w:r>
        <w:rPr>
          <w:rFonts w:ascii="Times New Roman" w:hAnsi="Times New Roman"/>
          <w:color w:val="111827"/>
          <w:sz w:val="23"/>
        </w:rPr>
        <w:t>Natural Language Inference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5. </w:t>
      </w:r>
      <w:r>
        <w:rPr>
          <w:rFonts w:ascii="Times New Roman" w:hAnsi="Times New Roman"/>
          <w:b/>
          <w:color w:val="111827"/>
          <w:sz w:val="23"/>
        </w:rPr>
        <w:t xml:space="preserve">KB: </w:t>
      </w:r>
      <w:r>
        <w:rPr>
          <w:rFonts w:ascii="Times New Roman" w:hAnsi="Times New Roman"/>
          <w:color w:val="111827"/>
          <w:sz w:val="23"/>
        </w:rPr>
        <w:t>Knowledge Base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6. </w:t>
      </w:r>
      <w:r>
        <w:rPr>
          <w:rFonts w:ascii="Times New Roman" w:hAnsi="Times New Roman"/>
          <w:b/>
          <w:color w:val="111827"/>
          <w:sz w:val="23"/>
        </w:rPr>
        <w:t xml:space="preserve">FAISS: </w:t>
      </w:r>
      <w:r>
        <w:rPr>
          <w:rFonts w:ascii="Times New Roman" w:hAnsi="Times New Roman"/>
          <w:color w:val="111827"/>
          <w:sz w:val="23"/>
        </w:rPr>
        <w:t>Facebook AI Similarity Search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7. </w:t>
      </w:r>
      <w:r>
        <w:rPr>
          <w:rFonts w:ascii="Times New Roman" w:hAnsi="Times New Roman"/>
          <w:b/>
          <w:color w:val="111827"/>
          <w:sz w:val="23"/>
        </w:rPr>
        <w:t xml:space="preserve">RAG: </w:t>
      </w:r>
      <w:r>
        <w:rPr>
          <w:rFonts w:ascii="Times New Roman" w:hAnsi="Times New Roman"/>
          <w:color w:val="111827"/>
          <w:sz w:val="23"/>
        </w:rPr>
        <w:t>Retrieval-Augmented Generation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8. </w:t>
      </w:r>
      <w:r>
        <w:rPr>
          <w:rFonts w:ascii="Times New Roman" w:hAnsi="Times New Roman"/>
          <w:b/>
          <w:color w:val="111827"/>
          <w:sz w:val="23"/>
        </w:rPr>
        <w:t xml:space="preserve">SDK: </w:t>
      </w:r>
      <w:r>
        <w:rPr>
          <w:rFonts w:ascii="Times New Roman" w:hAnsi="Times New Roman"/>
          <w:color w:val="111827"/>
          <w:sz w:val="23"/>
        </w:rPr>
        <w:t>Software Development Kit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9. </w:t>
      </w:r>
      <w:r>
        <w:rPr>
          <w:rFonts w:ascii="Times New Roman" w:hAnsi="Times New Roman"/>
          <w:b/>
          <w:color w:val="111827"/>
          <w:sz w:val="23"/>
        </w:rPr>
        <w:t xml:space="preserve">API: </w:t>
      </w:r>
      <w:r>
        <w:rPr>
          <w:rFonts w:ascii="Times New Roman" w:hAnsi="Times New Roman"/>
          <w:color w:val="111827"/>
          <w:sz w:val="23"/>
        </w:rPr>
        <w:t>Application Programming Interface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10. </w:t>
      </w:r>
      <w:r>
        <w:rPr>
          <w:rFonts w:ascii="Times New Roman" w:hAnsi="Times New Roman"/>
          <w:b/>
          <w:color w:val="111827"/>
          <w:sz w:val="23"/>
        </w:rPr>
        <w:t xml:space="preserve">REST: </w:t>
      </w:r>
      <w:r>
        <w:rPr>
          <w:rFonts w:ascii="Times New Roman" w:hAnsi="Times New Roman"/>
          <w:color w:val="111827"/>
          <w:sz w:val="23"/>
        </w:rPr>
        <w:t>Representational State Transfer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11. </w:t>
      </w:r>
      <w:r>
        <w:rPr>
          <w:rFonts w:ascii="Times New Roman" w:hAnsi="Times New Roman"/>
          <w:b/>
          <w:color w:val="111827"/>
          <w:sz w:val="23"/>
        </w:rPr>
        <w:t xml:space="preserve">ORM: </w:t>
      </w:r>
      <w:r>
        <w:rPr>
          <w:rFonts w:ascii="Times New Roman" w:hAnsi="Times New Roman"/>
          <w:color w:val="111827"/>
          <w:sz w:val="23"/>
        </w:rPr>
        <w:t>Object-Relational Mapping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12. </w:t>
      </w:r>
      <w:r>
        <w:rPr>
          <w:rFonts w:ascii="Times New Roman" w:hAnsi="Times New Roman"/>
          <w:b/>
          <w:color w:val="111827"/>
          <w:sz w:val="23"/>
        </w:rPr>
        <w:t xml:space="preserve">TI: </w:t>
      </w:r>
      <w:r>
        <w:rPr>
          <w:rFonts w:ascii="Times New Roman" w:hAnsi="Times New Roman"/>
          <w:color w:val="111827"/>
          <w:sz w:val="23"/>
        </w:rPr>
        <w:t>Trust Index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13. </w:t>
      </w:r>
      <w:r>
        <w:rPr>
          <w:rFonts w:ascii="Times New Roman" w:hAnsi="Times New Roman"/>
          <w:b/>
          <w:color w:val="111827"/>
          <w:sz w:val="23"/>
        </w:rPr>
        <w:t xml:space="preserve">JSON: </w:t>
      </w:r>
      <w:r>
        <w:rPr>
          <w:rFonts w:ascii="Times New Roman" w:hAnsi="Times New Roman"/>
          <w:color w:val="111827"/>
          <w:sz w:val="23"/>
        </w:rPr>
        <w:t>JavaScript Object Notation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14. </w:t>
      </w:r>
      <w:r>
        <w:rPr>
          <w:rFonts w:ascii="Times New Roman" w:hAnsi="Times New Roman"/>
          <w:b/>
          <w:color w:val="111827"/>
          <w:sz w:val="23"/>
        </w:rPr>
        <w:t xml:space="preserve">JSONL: </w:t>
      </w:r>
      <w:r>
        <w:rPr>
          <w:rFonts w:ascii="Times New Roman" w:hAnsi="Times New Roman"/>
          <w:color w:val="111827"/>
          <w:sz w:val="23"/>
        </w:rPr>
        <w:t>JavaScript Object Notation Lines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15. </w:t>
      </w:r>
      <w:r>
        <w:rPr>
          <w:rFonts w:ascii="Times New Roman" w:hAnsi="Times New Roman"/>
          <w:b/>
          <w:color w:val="111827"/>
          <w:sz w:val="23"/>
        </w:rPr>
        <w:t xml:space="preserve">IT Act: </w:t>
      </w:r>
      <w:r>
        <w:rPr>
          <w:rFonts w:ascii="Times New Roman" w:hAnsi="Times New Roman"/>
          <w:color w:val="111827"/>
          <w:sz w:val="23"/>
        </w:rPr>
        <w:t>Information Technology Act, 2000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16. </w:t>
      </w:r>
      <w:r>
        <w:rPr>
          <w:rFonts w:ascii="Times New Roman" w:hAnsi="Times New Roman"/>
          <w:b/>
          <w:color w:val="111827"/>
          <w:sz w:val="23"/>
        </w:rPr>
        <w:t xml:space="preserve">PII: </w:t>
      </w:r>
      <w:r>
        <w:rPr>
          <w:rFonts w:ascii="Times New Roman" w:hAnsi="Times New Roman"/>
          <w:color w:val="111827"/>
          <w:sz w:val="23"/>
        </w:rPr>
        <w:t>Personally Identifiable Information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17. </w:t>
      </w:r>
      <w:r>
        <w:rPr>
          <w:rFonts w:ascii="Times New Roman" w:hAnsi="Times New Roman"/>
          <w:b/>
          <w:color w:val="111827"/>
          <w:sz w:val="23"/>
        </w:rPr>
        <w:t xml:space="preserve">UI: </w:t>
      </w:r>
      <w:r>
        <w:rPr>
          <w:rFonts w:ascii="Times New Roman" w:hAnsi="Times New Roman"/>
          <w:color w:val="111827"/>
          <w:sz w:val="23"/>
        </w:rPr>
        <w:t>User Interface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18. </w:t>
      </w:r>
      <w:r>
        <w:rPr>
          <w:rFonts w:ascii="Times New Roman" w:hAnsi="Times New Roman"/>
          <w:b/>
          <w:color w:val="111827"/>
          <w:sz w:val="23"/>
        </w:rPr>
        <w:t xml:space="preserve">UX: </w:t>
      </w:r>
      <w:r>
        <w:rPr>
          <w:rFonts w:ascii="Times New Roman" w:hAnsi="Times New Roman"/>
          <w:color w:val="111827"/>
          <w:sz w:val="23"/>
        </w:rPr>
        <w:t>User Experience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19. </w:t>
      </w:r>
      <w:r>
        <w:rPr>
          <w:rFonts w:ascii="Times New Roman" w:hAnsi="Times New Roman"/>
          <w:b/>
          <w:color w:val="111827"/>
          <w:sz w:val="23"/>
        </w:rPr>
        <w:t xml:space="preserve">AUC: </w:t>
      </w:r>
      <w:r>
        <w:rPr>
          <w:rFonts w:ascii="Times New Roman" w:hAnsi="Times New Roman"/>
          <w:color w:val="111827"/>
          <w:sz w:val="23"/>
        </w:rPr>
        <w:t>Area Under the ROC Curve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20. </w:t>
      </w:r>
      <w:r>
        <w:rPr>
          <w:rFonts w:ascii="Times New Roman" w:hAnsi="Times New Roman"/>
          <w:b/>
          <w:color w:val="111827"/>
          <w:sz w:val="23"/>
        </w:rPr>
        <w:t xml:space="preserve">ROC: </w:t>
      </w:r>
      <w:r>
        <w:rPr>
          <w:rFonts w:ascii="Times New Roman" w:hAnsi="Times New Roman"/>
          <w:color w:val="111827"/>
          <w:sz w:val="23"/>
        </w:rPr>
        <w:t>Receiver Operating Characteristic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21. </w:t>
      </w:r>
      <w:r>
        <w:rPr>
          <w:rFonts w:ascii="Times New Roman" w:hAnsi="Times New Roman"/>
          <w:b/>
          <w:color w:val="111827"/>
          <w:sz w:val="23"/>
        </w:rPr>
        <w:t xml:space="preserve">F1: </w:t>
      </w:r>
      <w:r>
        <w:rPr>
          <w:rFonts w:ascii="Times New Roman" w:hAnsi="Times New Roman"/>
          <w:color w:val="111827"/>
          <w:sz w:val="23"/>
        </w:rPr>
        <w:t>Harmonic Mean of Precision and Recall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22. </w:t>
      </w:r>
      <w:r>
        <w:rPr>
          <w:rFonts w:ascii="Times New Roman" w:hAnsi="Times New Roman"/>
          <w:b/>
          <w:color w:val="111827"/>
          <w:sz w:val="23"/>
        </w:rPr>
        <w:t xml:space="preserve">SQL: </w:t>
      </w:r>
      <w:r>
        <w:rPr>
          <w:rFonts w:ascii="Times New Roman" w:hAnsi="Times New Roman"/>
          <w:color w:val="111827"/>
          <w:sz w:val="23"/>
        </w:rPr>
        <w:t>Structured Query Language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23. </w:t>
      </w:r>
      <w:r>
        <w:rPr>
          <w:rFonts w:ascii="Times New Roman" w:hAnsi="Times New Roman"/>
          <w:b/>
          <w:color w:val="111827"/>
          <w:sz w:val="23"/>
        </w:rPr>
        <w:t xml:space="preserve">TCET: </w:t>
      </w:r>
      <w:r>
        <w:rPr>
          <w:rFonts w:ascii="Times New Roman" w:hAnsi="Times New Roman"/>
          <w:color w:val="111827"/>
          <w:sz w:val="23"/>
        </w:rPr>
        <w:t>Thakur College of Engineering &amp; Technology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24. </w:t>
      </w:r>
      <w:r>
        <w:rPr>
          <w:rFonts w:ascii="Times New Roman" w:hAnsi="Times New Roman"/>
          <w:b/>
          <w:color w:val="111827"/>
          <w:sz w:val="23"/>
        </w:rPr>
        <w:t xml:space="preserve">UoM: </w:t>
      </w:r>
      <w:r>
        <w:rPr>
          <w:rFonts w:ascii="Times New Roman" w:hAnsi="Times New Roman"/>
          <w:color w:val="111827"/>
          <w:sz w:val="23"/>
        </w:rPr>
        <w:t>University of Mumbai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25. </w:t>
      </w:r>
      <w:r>
        <w:rPr>
          <w:rFonts w:ascii="Times New Roman" w:hAnsi="Times New Roman"/>
          <w:b/>
          <w:color w:val="111827"/>
          <w:sz w:val="23"/>
        </w:rPr>
        <w:t xml:space="preserve">AICTE: </w:t>
      </w:r>
      <w:r>
        <w:rPr>
          <w:rFonts w:ascii="Times New Roman" w:hAnsi="Times New Roman"/>
          <w:color w:val="111827"/>
          <w:sz w:val="23"/>
        </w:rPr>
        <w:t>All India Council for Technical Education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color w:val="555555"/>
          <w:sz w:val="22"/>
        </w:rPr>
        <w:t>13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1F4E79"/>
          <w:sz w:val="28"/>
        </w:rPr>
        <w:t>APPENDIX B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2E5B88"/>
          <w:sz w:val="26"/>
        </w:rPr>
        <w:t>Definitions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26. </w:t>
      </w:r>
      <w:r>
        <w:rPr>
          <w:rFonts w:ascii="Times New Roman" w:hAnsi="Times New Roman"/>
          <w:b/>
          <w:color w:val="111827"/>
          <w:sz w:val="23"/>
        </w:rPr>
        <w:t xml:space="preserve">Legal Hallucination: </w:t>
      </w:r>
      <w:r>
        <w:rPr>
          <w:rFonts w:ascii="Times New Roman" w:hAnsi="Times New Roman"/>
          <w:color w:val="111827"/>
          <w:sz w:val="23"/>
        </w:rPr>
        <w:t>The generation of fabricated, inaccurate, or ungrounded assertions by an AI model, including non-existent statutory sections, fictitious case citations, or misrepresented legal holdings.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27. </w:t>
      </w:r>
      <w:r>
        <w:rPr>
          <w:rFonts w:ascii="Times New Roman" w:hAnsi="Times New Roman"/>
          <w:b/>
          <w:color w:val="111827"/>
          <w:sz w:val="23"/>
        </w:rPr>
        <w:t xml:space="preserve">Atomic Claim Decomposition: </w:t>
      </w:r>
      <w:r>
        <w:rPr>
          <w:rFonts w:ascii="Times New Roman" w:hAnsi="Times New Roman"/>
          <w:color w:val="111827"/>
          <w:sz w:val="23"/>
        </w:rPr>
        <w:t>The systematic process of deconstructing complex, multi-sentence legal text into standalone, single-fact assertions that can be independently evaluated for factual truth.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28. </w:t>
      </w:r>
      <w:r>
        <w:rPr>
          <w:rFonts w:ascii="Times New Roman" w:hAnsi="Times New Roman"/>
          <w:b/>
          <w:color w:val="111827"/>
          <w:sz w:val="23"/>
        </w:rPr>
        <w:t xml:space="preserve">Knowledge Base Grounding: </w:t>
      </w:r>
      <w:r>
        <w:rPr>
          <w:rFonts w:ascii="Times New Roman" w:hAnsi="Times New Roman"/>
          <w:color w:val="111827"/>
          <w:sz w:val="23"/>
        </w:rPr>
        <w:t>The deterministic verification of an extracted claim by comparing its semantic representation against verified statutory and case law text stored in an indexed repository.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29. </w:t>
      </w:r>
      <w:r>
        <w:rPr>
          <w:rFonts w:ascii="Times New Roman" w:hAnsi="Times New Roman"/>
          <w:b/>
          <w:color w:val="111827"/>
          <w:sz w:val="23"/>
        </w:rPr>
        <w:t xml:space="preserve">Natural Language Inference (NLI): </w:t>
      </w:r>
      <w:r>
        <w:rPr>
          <w:rFonts w:ascii="Times New Roman" w:hAnsi="Times New Roman"/>
          <w:color w:val="111827"/>
          <w:sz w:val="23"/>
        </w:rPr>
        <w:t>A computational task that determines whether a given hypothesis (extracted claim) is logically entailed by, contradictory to, or neutral with respect to a provided premise (statutory evidence).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30. </w:t>
      </w:r>
      <w:r>
        <w:rPr>
          <w:rFonts w:ascii="Times New Roman" w:hAnsi="Times New Roman"/>
          <w:b/>
          <w:color w:val="111827"/>
          <w:sz w:val="23"/>
        </w:rPr>
        <w:t xml:space="preserve">LLM-as-a-Judge: </w:t>
      </w:r>
      <w:r>
        <w:rPr>
          <w:rFonts w:ascii="Times New Roman" w:hAnsi="Times New Roman"/>
          <w:color w:val="111827"/>
          <w:sz w:val="23"/>
        </w:rPr>
        <w:t>A paradigm where a zero-shot or few-shot prompted Large Language Model evaluates the factual alignment and entailment between candidate claims and reference evidence.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31. </w:t>
      </w:r>
      <w:r>
        <w:rPr>
          <w:rFonts w:ascii="Times New Roman" w:hAnsi="Times New Roman"/>
          <w:b/>
          <w:color w:val="111827"/>
          <w:sz w:val="23"/>
        </w:rPr>
        <w:t xml:space="preserve">Trust Index (TI): </w:t>
      </w:r>
      <w:r>
        <w:rPr>
          <w:rFonts w:ascii="Times New Roman" w:hAnsi="Times New Roman"/>
          <w:color w:val="111827"/>
          <w:sz w:val="23"/>
        </w:rPr>
        <w:t>A normalized quantitative metric (ranging from 0.0 to 1.0) indicating the overall reliability of an input text, computed from the weighted aggregation of its constituent claim verdicts.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32. </w:t>
      </w:r>
      <w:r>
        <w:rPr>
          <w:rFonts w:ascii="Times New Roman" w:hAnsi="Times New Roman"/>
          <w:b/>
          <w:color w:val="111827"/>
          <w:sz w:val="23"/>
        </w:rPr>
        <w:t xml:space="preserve">Vector Retrieval: </w:t>
      </w:r>
      <w:r>
        <w:rPr>
          <w:rFonts w:ascii="Times New Roman" w:hAnsi="Times New Roman"/>
          <w:color w:val="111827"/>
          <w:sz w:val="23"/>
        </w:rPr>
        <w:t>An information retrieval technique using dense vector embeddings (generated by transformer models) to measure cosine similarity between query text and knowledge base documents.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33. </w:t>
      </w:r>
      <w:r>
        <w:rPr>
          <w:rFonts w:ascii="Times New Roman" w:hAnsi="Times New Roman"/>
          <w:b/>
          <w:color w:val="111827"/>
          <w:sz w:val="23"/>
        </w:rPr>
        <w:t xml:space="preserve">Fallback Web Search: </w:t>
      </w:r>
      <w:r>
        <w:rPr>
          <w:rFonts w:ascii="Times New Roman" w:hAnsi="Times New Roman"/>
          <w:color w:val="111827"/>
          <w:sz w:val="23"/>
        </w:rPr>
        <w:t>An auxiliary retrieval pipeline that queries external legal databases and search engines when a candidate claim is missing from the local static knowledge base.</w:t>
      </w:r>
    </w:p>
    <w:p>
      <w:pPr>
        <w:spacing w:line="312" w:lineRule="auto" w:before="6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34. </w:t>
      </w:r>
      <w:r>
        <w:rPr>
          <w:rFonts w:ascii="Times New Roman" w:hAnsi="Times New Roman"/>
          <w:b/>
          <w:color w:val="111827"/>
          <w:sz w:val="23"/>
        </w:rPr>
        <w:t xml:space="preserve">Metamorphic Consistency: </w:t>
      </w:r>
      <w:r>
        <w:rPr>
          <w:rFonts w:ascii="Times New Roman" w:hAnsi="Times New Roman"/>
          <w:color w:val="111827"/>
          <w:sz w:val="23"/>
        </w:rPr>
        <w:t>A software testing and validation methodology that verifies whether an AI model maintains logical and factual consistency under semantic perturbations and transformations.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color w:val="555555"/>
          <w:sz w:val="22"/>
        </w:rPr>
        <w:t>14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1F4E79"/>
          <w:sz w:val="28"/>
        </w:rPr>
        <w:t>APPENDIX C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2E5B88"/>
          <w:sz w:val="26"/>
        </w:rPr>
        <w:t>List of Publications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[1] Gayatri Bhosale, Niyati Patel, Paarth Agarwal, and Project Supervisor, “LexGuard: A Multi-Stage Pipeline for Legal LLM Hallucination Detection and Factual Grounding,” paper submitted to Multicon 2026 [add conference/journal details, volume, page numbers, and DOI upon publication].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The originality of the manuscript was verified through the department's Turnitin account prior to submission (Submission ID: trn:oid:::3618:140292811), returning an overall similarity of 2%. The corresponding plagiarism report is attached in Appendix D.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color w:val="555555"/>
          <w:sz w:val="22"/>
        </w:rPr>
        <w:t>15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color w:val="1F4E79"/>
          <w:sz w:val="28"/>
        </w:rPr>
        <w:t>APPENDIX D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2E5B88"/>
          <w:sz w:val="26"/>
        </w:rPr>
        <w:t>Plagiarism Report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The following pages reproduce the Turnitin originality report generated from the department's Turnitin account for the paper “LexGuard: A Multi-Stage Pipeline for Legal LLM Hallucination Detection and Factual Grounding,” confirming an overall similarity of 2% with no integrity flags raised for review.</w:t>
      </w:r>
    </w:p>
    <w:p>
      <w:pPr>
        <w:spacing w:before="280" w:after="120"/>
      </w:pPr>
      <w:r>
        <w:rPr>
          <w:rFonts w:ascii="Times New Roman" w:hAnsi="Times New Roman"/>
          <w:b/>
          <w:sz w:val="23"/>
        </w:rPr>
        <w:t>Turnitin Originality Report Summary: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Submission ID: </w:t>
      </w:r>
      <w:r>
        <w:rPr>
          <w:rFonts w:ascii="Times New Roman" w:hAnsi="Times New Roman"/>
          <w:color w:val="111827"/>
          <w:sz w:val="23"/>
        </w:rPr>
        <w:t>trn:oid:::3618:140292811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Submission Date: </w:t>
      </w:r>
      <w:r>
        <w:rPr>
          <w:rFonts w:ascii="Times New Roman" w:hAnsi="Times New Roman"/>
          <w:color w:val="111827"/>
          <w:sz w:val="23"/>
        </w:rPr>
        <w:t>March 2026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Word Count: </w:t>
      </w:r>
      <w:r>
        <w:rPr>
          <w:rFonts w:ascii="Times New Roman" w:hAnsi="Times New Roman"/>
          <w:color w:val="111827"/>
          <w:sz w:val="23"/>
        </w:rPr>
        <w:t>3,840 Words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Character Count: </w:t>
      </w:r>
      <w:r>
        <w:rPr>
          <w:rFonts w:ascii="Times New Roman" w:hAnsi="Times New Roman"/>
          <w:color w:val="111827"/>
          <w:sz w:val="23"/>
        </w:rPr>
        <w:t>19,250 Characters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File Name: </w:t>
      </w:r>
      <w:r>
        <w:rPr>
          <w:rFonts w:ascii="Times New Roman" w:hAnsi="Times New Roman"/>
          <w:color w:val="111827"/>
          <w:sz w:val="23"/>
        </w:rPr>
        <w:t>LexGuard_Multicon_Paper.pdf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color w:val="555555"/>
          <w:sz w:val="22"/>
        </w:rPr>
        <w:t>16</w:t>
      </w:r>
    </w:p>
    <w:p>
      <w:pPr>
        <w:spacing w:before="200" w:after="160"/>
      </w:pPr>
      <w:r>
        <w:rPr>
          <w:rFonts w:ascii="Times New Roman" w:hAnsi="Times New Roman"/>
          <w:b/>
          <w:color w:val="1F4E79"/>
          <w:sz w:val="26"/>
        </w:rPr>
        <w:t>2% Overall Similarity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The combined total of all matches including overlapping sources, for each database: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Filtered from the Report: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Bibliography: </w:t>
      </w:r>
      <w:r>
        <w:rPr>
          <w:rFonts w:ascii="Times New Roman" w:hAnsi="Times New Roman"/>
          <w:color w:val="111827"/>
          <w:sz w:val="23"/>
        </w:rPr>
        <w:t>Excluded from matching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Quoted Material: </w:t>
      </w:r>
      <w:r>
        <w:rPr>
          <w:rFonts w:ascii="Times New Roman" w:hAnsi="Times New Roman"/>
          <w:color w:val="111827"/>
          <w:sz w:val="23"/>
        </w:rPr>
        <w:t>Excluded from matching (&lt; 1% threshold)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</w:rPr>
        <w:t>Top Sources Breakdown: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Internet Sources: </w:t>
      </w:r>
      <w:r>
        <w:rPr>
          <w:rFonts w:ascii="Times New Roman" w:hAnsi="Times New Roman"/>
          <w:color w:val="111827"/>
          <w:sz w:val="23"/>
        </w:rPr>
        <w:t>0%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Publications: </w:t>
      </w:r>
      <w:r>
        <w:rPr>
          <w:rFonts w:ascii="Times New Roman" w:hAnsi="Times New Roman"/>
          <w:color w:val="111827"/>
          <w:sz w:val="23"/>
        </w:rPr>
        <w:t>0%</w:t>
      </w:r>
    </w:p>
    <w:p>
      <w:pPr>
        <w:pStyle w:val="ListBullet"/>
        <w:spacing w:line="312" w:lineRule="auto" w:before="40" w:after="120"/>
        <w:jc w:val="both"/>
      </w:pPr>
      <w:r>
        <w:rPr>
          <w:rFonts w:ascii="Times New Roman" w:hAnsi="Times New Roman"/>
          <w:b/>
          <w:color w:val="111827"/>
          <w:sz w:val="23"/>
        </w:rPr>
        <w:t xml:space="preserve">Submitted Works (Student Papers): </w:t>
      </w:r>
      <w:r>
        <w:rPr>
          <w:rFonts w:ascii="Times New Roman" w:hAnsi="Times New Roman"/>
          <w:color w:val="111827"/>
          <w:sz w:val="23"/>
        </w:rPr>
        <w:t>2%</w:t>
      </w:r>
    </w:p>
    <w:p>
      <w:pPr>
        <w:spacing w:before="280" w:after="80"/>
      </w:pPr>
      <w:r>
        <w:rPr>
          <w:rFonts w:ascii="Times New Roman" w:hAnsi="Times New Roman"/>
          <w:b/>
          <w:sz w:val="22"/>
        </w:rPr>
        <w:t>Integrity Flags:</w:t>
      </w:r>
    </w:p>
    <w:p>
      <w:pPr>
        <w:spacing w:line="324" w:lineRule="auto" w:before="0" w:after="160"/>
        <w:jc w:val="both"/>
      </w:pPr>
      <w:r>
        <w:rPr>
          <w:rFonts w:ascii="Times New Roman" w:hAnsi="Times New Roman"/>
          <w:color w:val="111827"/>
          <w:sz w:val="23"/>
        </w:rPr>
        <w:t>0 Integrity Flags for Review. Our system's algorithms look deeply at a document for any inconsistencies that would set it apart from a normal submission. No flags were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