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olor w:val="555555"/>
          <w:sz w:val="22"/>
        </w:rPr>
        <w:t>1</w:t>
      </w:r>
    </w:p>
    <w:p>
      <w:pPr>
        <w:spacing w:before="0" w:after="60"/>
        <w:jc w:val="center"/>
      </w:pPr>
      <w:r>
        <w:rPr>
          <w:rFonts w:ascii="Times New Roman" w:hAnsi="Times New Roman"/>
          <w:b/>
          <w:color w:val="1F4E79"/>
          <w:sz w:val="28"/>
        </w:rPr>
        <w:t>CHAPTER 4</w:t>
      </w:r>
    </w:p>
    <w:p>
      <w:pPr>
        <w:spacing w:before="0" w:after="280"/>
        <w:jc w:val="center"/>
      </w:pPr>
      <w:r>
        <w:rPr>
          <w:rFonts w:ascii="Times New Roman" w:hAnsi="Times New Roman"/>
          <w:b/>
          <w:color w:val="2E5B88"/>
          <w:sz w:val="28"/>
        </w:rPr>
        <w:t>SYSTEM DESIGN AND EXPERIMENTAL SET UP</w:t>
      </w:r>
    </w:p>
    <w:p>
      <w:pPr>
        <w:spacing w:before="200" w:after="60"/>
        <w:jc w:val="left"/>
      </w:pPr>
      <w:r>
        <w:rPr>
          <w:rFonts w:ascii="Times New Roman" w:hAnsi="Times New Roman"/>
          <w:b/>
          <w:color w:val="2E5B88"/>
          <w:sz w:val="24"/>
        </w:rPr>
        <w:t>4.1 System Architecture &amp; Diagrams</w:t>
      </w:r>
    </w:p>
    <w:p>
      <w:pPr>
        <w:spacing w:line="300" w:lineRule="auto" w:before="0" w:after="100"/>
        <w:jc w:val="both"/>
      </w:pPr>
      <w:r>
        <w:rPr>
          <w:rFonts w:ascii="Times New Roman" w:hAnsi="Times New Roman"/>
          <w:color w:val="111827"/>
          <w:sz w:val="22"/>
        </w:rPr>
        <w:t>The overall design of LexGuard follows the hybrid, explainability-first architecture identified during the literature survey. Client applications and legal practitioners submit generated legal text through Python and TypeScript SDKs to an API gateway. As shown in Figure 4.1, claims are processed across an asynchronous processing layer, a verification engine, a knowledge layer, and an analytics layer.</w:t>
      </w:r>
    </w:p>
    <w:p>
      <w:pPr>
        <w:spacing w:before="80" w:after="40"/>
        <w:jc w:val="center"/>
      </w:pPr>
      <w:r>
        <w:drawing>
          <wp:inline xmlns:a="http://schemas.openxmlformats.org/drawingml/2006/main" xmlns:pic="http://schemas.openxmlformats.org/drawingml/2006/picture">
            <wp:extent cx="4937760" cy="2404219"/>
            <wp:docPr id="1" name="Picture 1"/>
            <wp:cNvGraphicFramePr>
              <a:graphicFrameLocks noChangeAspect="1"/>
            </wp:cNvGraphicFramePr>
            <a:graphic>
              <a:graphicData uri="http://schemas.openxmlformats.org/drawingml/2006/picture">
                <pic:pic>
                  <pic:nvPicPr>
                    <pic:cNvPr id="0" name="lexguard_architecture.png"/>
                    <pic:cNvPicPr/>
                  </pic:nvPicPr>
                  <pic:blipFill>
                    <a:blip r:embed="rId9"/>
                    <a:stretch>
                      <a:fillRect/>
                    </a:stretch>
                  </pic:blipFill>
                  <pic:spPr>
                    <a:xfrm>
                      <a:off x="0" y="0"/>
                      <a:ext cx="4937760" cy="2404219"/>
                    </a:xfrm>
                    <a:prstGeom prst="rect"/>
                  </pic:spPr>
                </pic:pic>
              </a:graphicData>
            </a:graphic>
          </wp:inline>
        </w:drawing>
      </w:r>
    </w:p>
    <w:p>
      <w:pPr>
        <w:spacing w:before="20" w:after="160"/>
        <w:jc w:val="center"/>
      </w:pPr>
      <w:r>
        <w:rPr>
          <w:rFonts w:ascii="Times New Roman" w:hAnsi="Times New Roman"/>
          <w:b/>
          <w:color w:val="111827"/>
          <w:sz w:val="20"/>
        </w:rPr>
        <w:t>Figure 4.1: LexGuard Multi-Layer System Architecture (Conceptual Framework)</w:t>
      </w:r>
    </w:p>
    <w:p>
      <w:pPr>
        <w:spacing w:line="300" w:lineRule="auto" w:before="0" w:after="100"/>
        <w:jc w:val="both"/>
      </w:pPr>
      <w:r>
        <w:rPr>
          <w:rFonts w:ascii="Times New Roman" w:hAnsi="Times New Roman"/>
          <w:color w:val="111827"/>
          <w:sz w:val="22"/>
        </w:rPr>
        <w:t>Building on this framework, the implemented system is organized around three modular subsystems shown in Figure 4.2: Module 1 (Client SDK Layer), Module 2 (Detection Engine Core), and Module 3 (Analytics &amp; Eval Harness).</w:t>
      </w:r>
    </w:p>
    <w:p>
      <w:pPr>
        <w:spacing w:before="80" w:after="40"/>
        <w:jc w:val="center"/>
      </w:pPr>
      <w:r>
        <w:drawing>
          <wp:inline xmlns:a="http://schemas.openxmlformats.org/drawingml/2006/main" xmlns:pic="http://schemas.openxmlformats.org/drawingml/2006/picture">
            <wp:extent cx="4937760" cy="1500079"/>
            <wp:docPr id="2" name="Picture 2"/>
            <wp:cNvGraphicFramePr>
              <a:graphicFrameLocks noChangeAspect="1"/>
            </wp:cNvGraphicFramePr>
            <a:graphic>
              <a:graphicData uri="http://schemas.openxmlformats.org/drawingml/2006/picture">
                <pic:pic>
                  <pic:nvPicPr>
                    <pic:cNvPr id="0" name="fig4_2_module_architecture.png"/>
                    <pic:cNvPicPr/>
                  </pic:nvPicPr>
                  <pic:blipFill>
                    <a:blip r:embed="rId10"/>
                    <a:stretch>
                      <a:fillRect/>
                    </a:stretch>
                  </pic:blipFill>
                  <pic:spPr>
                    <a:xfrm>
                      <a:off x="0" y="0"/>
                      <a:ext cx="4937760" cy="1500079"/>
                    </a:xfrm>
                    <a:prstGeom prst="rect"/>
                  </pic:spPr>
                </pic:pic>
              </a:graphicData>
            </a:graphic>
          </wp:inline>
        </w:drawing>
      </w:r>
    </w:p>
    <w:p>
      <w:pPr>
        <w:spacing w:before="20" w:after="160"/>
        <w:jc w:val="center"/>
      </w:pPr>
      <w:r>
        <w:rPr>
          <w:rFonts w:ascii="Times New Roman" w:hAnsi="Times New Roman"/>
          <w:b/>
          <w:color w:val="111827"/>
          <w:sz w:val="20"/>
        </w:rPr>
        <w:t>Figure 4.2: Overall LexGuard Module Architecture</w:t>
      </w:r>
    </w:p>
    <w:p>
      <w:r>
        <w:br w:type="page"/>
      </w:r>
    </w:p>
    <w:p>
      <w:pPr>
        <w:jc w:val="center"/>
      </w:pPr>
      <w:r>
        <w:rPr>
          <w:rFonts w:ascii="Times New Roman" w:hAnsi="Times New Roman"/>
          <w:color w:val="555555"/>
          <w:sz w:val="22"/>
        </w:rPr>
        <w:t>2</w:t>
      </w:r>
    </w:p>
    <w:p>
      <w:pPr>
        <w:spacing w:before="200" w:after="60"/>
        <w:jc w:val="left"/>
      </w:pPr>
      <w:r>
        <w:rPr>
          <w:rFonts w:ascii="Times New Roman" w:hAnsi="Times New Roman"/>
          <w:b/>
          <w:color w:val="2E5B88"/>
          <w:sz w:val="24"/>
        </w:rPr>
        <w:t>4.2 Algorithm &amp; Process Flow Design</w:t>
      </w:r>
    </w:p>
    <w:p>
      <w:pPr>
        <w:spacing w:line="300" w:lineRule="auto" w:before="0" w:after="100"/>
        <w:jc w:val="both"/>
      </w:pPr>
      <w:r>
        <w:rPr>
          <w:rFonts w:ascii="Times New Roman" w:hAnsi="Times New Roman"/>
          <w:color w:val="111827"/>
          <w:sz w:val="22"/>
        </w:rPr>
        <w:t>The end-to-end process flow, from initial user prompt submission to final dashboard reporting, is shown in Figure 4.3. Every stage is designed so that AI output is never presented without explicit evidence grounding.</w:t>
      </w:r>
    </w:p>
    <w:p>
      <w:pPr>
        <w:spacing w:before="80" w:after="40"/>
        <w:jc w:val="center"/>
      </w:pPr>
      <w:r>
        <w:drawing>
          <wp:inline xmlns:a="http://schemas.openxmlformats.org/drawingml/2006/main" xmlns:pic="http://schemas.openxmlformats.org/drawingml/2006/picture">
            <wp:extent cx="2560320" cy="3738649"/>
            <wp:docPr id="3" name="Picture 3"/>
            <wp:cNvGraphicFramePr>
              <a:graphicFrameLocks noChangeAspect="1"/>
            </wp:cNvGraphicFramePr>
            <a:graphic>
              <a:graphicData uri="http://schemas.openxmlformats.org/drawingml/2006/picture">
                <pic:pic>
                  <pic:nvPicPr>
                    <pic:cNvPr id="0" name="lexguard_flowchart.png"/>
                    <pic:cNvPicPr/>
                  </pic:nvPicPr>
                  <pic:blipFill>
                    <a:blip r:embed="rId11"/>
                    <a:stretch>
                      <a:fillRect/>
                    </a:stretch>
                  </pic:blipFill>
                  <pic:spPr>
                    <a:xfrm>
                      <a:off x="0" y="0"/>
                      <a:ext cx="2560320" cy="3738649"/>
                    </a:xfrm>
                    <a:prstGeom prst="rect"/>
                  </pic:spPr>
                </pic:pic>
              </a:graphicData>
            </a:graphic>
          </wp:inline>
        </w:drawing>
      </w:r>
    </w:p>
    <w:p>
      <w:pPr>
        <w:spacing w:before="20" w:after="160"/>
        <w:jc w:val="center"/>
      </w:pPr>
      <w:r>
        <w:rPr>
          <w:rFonts w:ascii="Times New Roman" w:hAnsi="Times New Roman"/>
          <w:b/>
          <w:color w:val="111827"/>
          <w:sz w:val="20"/>
        </w:rPr>
        <w:t>Figure 4.3: System Process Flow – Ingestion to Verification</w:t>
      </w:r>
    </w:p>
    <w:p>
      <w:pPr>
        <w:spacing w:line="300" w:lineRule="auto" w:before="0" w:after="100"/>
        <w:jc w:val="both"/>
      </w:pPr>
      <w:r>
        <w:rPr>
          <w:rFonts w:ascii="Times New Roman" w:hAnsi="Times New Roman"/>
          <w:color w:val="111827"/>
          <w:sz w:val="22"/>
        </w:rPr>
        <w:t>Algorithmically, the Knowledge Base Grounding module follows the pipeline shown in Figure 4.4: candidate claims are preprocessed and converted to dense vector embeddings using sentence-transformers/all-MiniLM-L6-v2, matched against a 384-dimensional FAISS index of 115 IT Act sections and 12 case laws, and top-k statutory excerpts are retrieved.</w:t>
      </w:r>
    </w:p>
    <w:p>
      <w:pPr>
        <w:spacing w:before="80" w:after="40"/>
        <w:jc w:val="center"/>
      </w:pPr>
      <w:r>
        <w:drawing>
          <wp:inline xmlns:a="http://schemas.openxmlformats.org/drawingml/2006/main" xmlns:pic="http://schemas.openxmlformats.org/drawingml/2006/picture">
            <wp:extent cx="5029200" cy="898071"/>
            <wp:docPr id="4" name="Picture 4"/>
            <wp:cNvGraphicFramePr>
              <a:graphicFrameLocks noChangeAspect="1"/>
            </wp:cNvGraphicFramePr>
            <a:graphic>
              <a:graphicData uri="http://schemas.openxmlformats.org/drawingml/2006/picture">
                <pic:pic>
                  <pic:nvPicPr>
                    <pic:cNvPr id="0" name="fig4_4_grounding_pipeline.png"/>
                    <pic:cNvPicPr/>
                  </pic:nvPicPr>
                  <pic:blipFill>
                    <a:blip r:embed="rId12"/>
                    <a:stretch>
                      <a:fillRect/>
                    </a:stretch>
                  </pic:blipFill>
                  <pic:spPr>
                    <a:xfrm>
                      <a:off x="0" y="0"/>
                      <a:ext cx="5029200" cy="898071"/>
                    </a:xfrm>
                    <a:prstGeom prst="rect"/>
                  </pic:spPr>
                </pic:pic>
              </a:graphicData>
            </a:graphic>
          </wp:inline>
        </w:drawing>
      </w:r>
    </w:p>
    <w:p>
      <w:pPr>
        <w:spacing w:before="20" w:after="160"/>
        <w:jc w:val="center"/>
      </w:pPr>
      <w:r>
        <w:rPr>
          <w:rFonts w:ascii="Times New Roman" w:hAnsi="Times New Roman"/>
          <w:b/>
          <w:color w:val="111827"/>
          <w:sz w:val="20"/>
        </w:rPr>
        <w:t>Figure 4.4: Knowledge Base Grounding &amp; Vector Retrieval Pipeline</w:t>
      </w:r>
    </w:p>
    <w:p>
      <w:r>
        <w:br w:type="page"/>
      </w:r>
    </w:p>
    <w:p>
      <w:pPr>
        <w:jc w:val="center"/>
      </w:pPr>
      <w:r>
        <w:rPr>
          <w:rFonts w:ascii="Times New Roman" w:hAnsi="Times New Roman"/>
          <w:color w:val="555555"/>
          <w:sz w:val="22"/>
        </w:rPr>
        <w:t>3</w:t>
      </w:r>
    </w:p>
    <w:p>
      <w:pPr>
        <w:spacing w:line="300" w:lineRule="auto" w:before="0" w:after="100"/>
        <w:jc w:val="both"/>
      </w:pPr>
      <w:r>
        <w:rPr>
          <w:rFonts w:ascii="Times New Roman" w:hAnsi="Times New Roman"/>
          <w:color w:val="111827"/>
          <w:sz w:val="22"/>
        </w:rPr>
        <w:t>The Entailment Verification and Trust Scoring module follows the sequential pipeline shown in Figure 4.5: candidate claims and retrieved statutory evidence are passed to an LLM-as-a-judge prompting engine, classified into multi-class NLI verdicts, and aggregated into a calibrated Trust Index.</w:t>
      </w:r>
    </w:p>
    <w:p>
      <w:pPr>
        <w:spacing w:before="80" w:after="40"/>
        <w:jc w:val="center"/>
      </w:pPr>
      <w:r>
        <w:drawing>
          <wp:inline xmlns:a="http://schemas.openxmlformats.org/drawingml/2006/main" xmlns:pic="http://schemas.openxmlformats.org/drawingml/2006/picture">
            <wp:extent cx="5029200" cy="898071"/>
            <wp:docPr id="5" name="Picture 5"/>
            <wp:cNvGraphicFramePr>
              <a:graphicFrameLocks noChangeAspect="1"/>
            </wp:cNvGraphicFramePr>
            <a:graphic>
              <a:graphicData uri="http://schemas.openxmlformats.org/drawingml/2006/picture">
                <pic:pic>
                  <pic:nvPicPr>
                    <pic:cNvPr id="0" name="fig4_5_verdict_pipeline.png"/>
                    <pic:cNvPicPr/>
                  </pic:nvPicPr>
                  <pic:blipFill>
                    <a:blip r:embed="rId13"/>
                    <a:stretch>
                      <a:fillRect/>
                    </a:stretch>
                  </pic:blipFill>
                  <pic:spPr>
                    <a:xfrm>
                      <a:off x="0" y="0"/>
                      <a:ext cx="5029200" cy="898071"/>
                    </a:xfrm>
                    <a:prstGeom prst="rect"/>
                  </pic:spPr>
                </pic:pic>
              </a:graphicData>
            </a:graphic>
          </wp:inline>
        </w:drawing>
      </w:r>
    </w:p>
    <w:p>
      <w:pPr>
        <w:spacing w:before="20" w:after="160"/>
        <w:jc w:val="center"/>
      </w:pPr>
      <w:r>
        <w:rPr>
          <w:rFonts w:ascii="Times New Roman" w:hAnsi="Times New Roman"/>
          <w:b/>
          <w:color w:val="111827"/>
          <w:sz w:val="20"/>
        </w:rPr>
        <w:t>Figure 4.5: Entailment Verification &amp; Calibrated Trust Scoring Pipeline</w:t>
      </w:r>
    </w:p>
    <w:p>
      <w:pPr>
        <w:spacing w:before="200" w:after="60"/>
        <w:jc w:val="left"/>
      </w:pPr>
      <w:r>
        <w:rPr>
          <w:rFonts w:ascii="Times New Roman" w:hAnsi="Times New Roman"/>
          <w:b/>
          <w:color w:val="2E5B88"/>
          <w:sz w:val="24"/>
        </w:rPr>
        <w:t>4.3 User Interface &amp; Input Data Design</w:t>
      </w:r>
    </w:p>
    <w:p>
      <w:pPr>
        <w:spacing w:line="300" w:lineRule="auto" w:before="0" w:after="100"/>
        <w:jc w:val="both"/>
      </w:pPr>
      <w:r>
        <w:rPr>
          <w:rFonts w:ascii="Times New Roman" w:hAnsi="Times New Roman"/>
          <w:color w:val="111827"/>
          <w:sz w:val="22"/>
        </w:rPr>
        <w:t>The user interface was built in Next.js 16 as a single-page reactive dashboard featuring dark glassmorphic styling. In the Overview view, users inspect real-time KPI metrics, trust score trends, and verdict breakdowns. The Flagged view provides prioritized triage queues (CRITICAL, HIGH, REVIEW) for human oversight.</w:t>
      </w:r>
    </w:p>
    <w:p>
      <w:pPr>
        <w:spacing w:before="200" w:after="60"/>
        <w:jc w:val="left"/>
      </w:pPr>
      <w:r>
        <w:rPr>
          <w:rFonts w:ascii="Times New Roman" w:hAnsi="Times New Roman"/>
          <w:b/>
          <w:color w:val="2E5B88"/>
          <w:sz w:val="24"/>
        </w:rPr>
        <w:t>4.4 Experimental Setup and Tools (Software &amp; Hardware)</w:t>
      </w:r>
    </w:p>
    <w:p>
      <w:pPr>
        <w:spacing w:line="300" w:lineRule="auto" w:before="0" w:after="100"/>
        <w:jc w:val="both"/>
      </w:pPr>
      <w:r>
        <w:rPr>
          <w:rFonts w:ascii="Times New Roman" w:hAnsi="Times New Roman"/>
          <w:color w:val="111827"/>
          <w:sz w:val="22"/>
        </w:rPr>
        <w:t>The system was developed and tested on consumer-grade hardware using serverless cloud databases. Table 4.1 lists the minimum hardware and software requirements.</w:t>
      </w:r>
    </w:p>
    <w:p>
      <w:r>
        <w:rPr>
          <w:rFonts w:ascii="Times New Roman" w:hAnsi="Times New Roman"/>
          <w:b/>
          <w:sz w:val="21"/>
        </w:rPr>
        <w:t>Table 4.1: Hardware and Software Requirements</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19"/>
              </w:rPr>
              <w:t>Category</w:t>
            </w:r>
          </w:p>
        </w:tc>
        <w:tc>
          <w:tcPr>
            <w:tcW w:type="dxa" w:w="4680"/>
          </w:tcPr>
          <w:p>
            <w:r>
              <w:rPr>
                <w:rFonts w:ascii="Times New Roman" w:hAnsi="Times New Roman"/>
                <w:b/>
                <w:sz w:val="19"/>
              </w:rPr>
              <w:t>Requirement / Specification</w:t>
            </w:r>
          </w:p>
        </w:tc>
      </w:tr>
      <w:tr>
        <w:tc>
          <w:tcPr>
            <w:tcW w:type="dxa" w:w="4680"/>
            <w:tcMar>
              <w:top w:w="50" w:type="dxa"/>
              <w:bottom w:w="50" w:type="dxa"/>
              <w:left w:w="80" w:type="dxa"/>
              <w:right w:w="80" w:type="dxa"/>
            </w:tcMar>
          </w:tcPr>
          <w:p>
            <w:r>
              <w:rPr>
                <w:rFonts w:ascii="Times New Roman" w:hAnsi="Times New Roman"/>
                <w:sz w:val="18"/>
              </w:rPr>
              <w:t>Processor</w:t>
            </w:r>
          </w:p>
        </w:tc>
        <w:tc>
          <w:tcPr>
            <w:tcW w:type="dxa" w:w="4680"/>
            <w:tcMar>
              <w:top w:w="50" w:type="dxa"/>
              <w:bottom w:w="50" w:type="dxa"/>
              <w:left w:w="80" w:type="dxa"/>
              <w:right w:w="80" w:type="dxa"/>
            </w:tcMar>
          </w:tcPr>
          <w:p>
            <w:r>
              <w:rPr>
                <w:rFonts w:ascii="Times New Roman" w:hAnsi="Times New Roman"/>
                <w:sz w:val="18"/>
              </w:rPr>
              <w:t>Intel Core i5 (8th Gen) / AMD Ryzen 5 or equivalent, minimum</w:t>
            </w:r>
          </w:p>
        </w:tc>
      </w:tr>
      <w:tr>
        <w:tc>
          <w:tcPr>
            <w:tcW w:type="dxa" w:w="4680"/>
            <w:tcMar>
              <w:top w:w="50" w:type="dxa"/>
              <w:bottom w:w="50" w:type="dxa"/>
              <w:left w:w="80" w:type="dxa"/>
              <w:right w:w="80" w:type="dxa"/>
            </w:tcMar>
          </w:tcPr>
          <w:p>
            <w:r>
              <w:rPr>
                <w:rFonts w:ascii="Times New Roman" w:hAnsi="Times New Roman"/>
                <w:sz w:val="18"/>
              </w:rPr>
              <w:t>RAM</w:t>
            </w:r>
          </w:p>
        </w:tc>
        <w:tc>
          <w:tcPr>
            <w:tcW w:type="dxa" w:w="4680"/>
            <w:tcMar>
              <w:top w:w="50" w:type="dxa"/>
              <w:bottom w:w="50" w:type="dxa"/>
              <w:left w:w="80" w:type="dxa"/>
              <w:right w:w="80" w:type="dxa"/>
            </w:tcMar>
          </w:tcPr>
          <w:p>
            <w:r>
              <w:rPr>
                <w:rFonts w:ascii="Times New Roman" w:hAnsi="Times New Roman"/>
                <w:sz w:val="18"/>
              </w:rPr>
              <w:t>8 GB minimum (16 GB recommended for local vector embeddings)</w:t>
            </w:r>
          </w:p>
        </w:tc>
      </w:tr>
      <w:tr>
        <w:tc>
          <w:tcPr>
            <w:tcW w:type="dxa" w:w="4680"/>
            <w:tcMar>
              <w:top w:w="50" w:type="dxa"/>
              <w:bottom w:w="50" w:type="dxa"/>
              <w:left w:w="80" w:type="dxa"/>
              <w:right w:w="80" w:type="dxa"/>
            </w:tcMar>
          </w:tcPr>
          <w:p>
            <w:r>
              <w:rPr>
                <w:rFonts w:ascii="Times New Roman" w:hAnsi="Times New Roman"/>
                <w:sz w:val="18"/>
              </w:rPr>
              <w:t>Storage</w:t>
            </w:r>
          </w:p>
        </w:tc>
        <w:tc>
          <w:tcPr>
            <w:tcW w:type="dxa" w:w="4680"/>
            <w:tcMar>
              <w:top w:w="50" w:type="dxa"/>
              <w:bottom w:w="50" w:type="dxa"/>
              <w:left w:w="80" w:type="dxa"/>
              <w:right w:w="80" w:type="dxa"/>
            </w:tcMar>
          </w:tcPr>
          <w:p>
            <w:r>
              <w:rPr>
                <w:rFonts w:ascii="Times New Roman" w:hAnsi="Times New Roman"/>
                <w:sz w:val="18"/>
              </w:rPr>
              <w:t>Minimum 10 GB free space (for FAISS vector indices &amp; cached models)</w:t>
            </w:r>
          </w:p>
        </w:tc>
      </w:tr>
      <w:tr>
        <w:tc>
          <w:tcPr>
            <w:tcW w:type="dxa" w:w="4680"/>
            <w:tcMar>
              <w:top w:w="50" w:type="dxa"/>
              <w:bottom w:w="50" w:type="dxa"/>
              <w:left w:w="80" w:type="dxa"/>
              <w:right w:w="80" w:type="dxa"/>
            </w:tcMar>
          </w:tcPr>
          <w:p>
            <w:r>
              <w:rPr>
                <w:rFonts w:ascii="Times New Roman" w:hAnsi="Times New Roman"/>
                <w:sz w:val="18"/>
              </w:rPr>
              <w:t>Operating System</w:t>
            </w:r>
          </w:p>
        </w:tc>
        <w:tc>
          <w:tcPr>
            <w:tcW w:type="dxa" w:w="4680"/>
            <w:tcMar>
              <w:top w:w="50" w:type="dxa"/>
              <w:bottom w:w="50" w:type="dxa"/>
              <w:left w:w="80" w:type="dxa"/>
              <w:right w:w="80" w:type="dxa"/>
            </w:tcMar>
          </w:tcPr>
          <w:p>
            <w:r>
              <w:rPr>
                <w:rFonts w:ascii="Times New Roman" w:hAnsi="Times New Roman"/>
                <w:sz w:val="18"/>
              </w:rPr>
              <w:t>Windows 10/11, Linux (Ubuntu 20.04+), or macOS</w:t>
            </w:r>
          </w:p>
        </w:tc>
      </w:tr>
      <w:tr>
        <w:tc>
          <w:tcPr>
            <w:tcW w:type="dxa" w:w="4680"/>
            <w:tcMar>
              <w:top w:w="50" w:type="dxa"/>
              <w:bottom w:w="50" w:type="dxa"/>
              <w:left w:w="80" w:type="dxa"/>
              <w:right w:w="80" w:type="dxa"/>
            </w:tcMar>
          </w:tcPr>
          <w:p>
            <w:r>
              <w:rPr>
                <w:rFonts w:ascii="Times New Roman" w:hAnsi="Times New Roman"/>
                <w:sz w:val="18"/>
              </w:rPr>
              <w:t>Software Environment</w:t>
            </w:r>
          </w:p>
        </w:tc>
        <w:tc>
          <w:tcPr>
            <w:tcW w:type="dxa" w:w="4680"/>
            <w:tcMar>
              <w:top w:w="50" w:type="dxa"/>
              <w:bottom w:w="50" w:type="dxa"/>
              <w:left w:w="80" w:type="dxa"/>
              <w:right w:w="80" w:type="dxa"/>
            </w:tcMar>
          </w:tcPr>
          <w:p>
            <w:r>
              <w:rPr>
                <w:rFonts w:ascii="Times New Roman" w:hAnsi="Times New Roman"/>
                <w:sz w:val="18"/>
              </w:rPr>
              <w:t>Python 3.10+, Node.js 18+, pip / npm virtual environments</w:t>
            </w:r>
          </w:p>
        </w:tc>
      </w:tr>
      <w:tr>
        <w:tc>
          <w:tcPr>
            <w:tcW w:type="dxa" w:w="4680"/>
            <w:tcMar>
              <w:top w:w="50" w:type="dxa"/>
              <w:bottom w:w="50" w:type="dxa"/>
              <w:left w:w="80" w:type="dxa"/>
              <w:right w:w="80" w:type="dxa"/>
            </w:tcMar>
          </w:tcPr>
          <w:p>
            <w:r>
              <w:rPr>
                <w:rFonts w:ascii="Times New Roman" w:hAnsi="Times New Roman"/>
                <w:sz w:val="18"/>
              </w:rPr>
              <w:t>Key Libraries</w:t>
            </w:r>
          </w:p>
        </w:tc>
        <w:tc>
          <w:tcPr>
            <w:tcW w:type="dxa" w:w="4680"/>
            <w:tcMar>
              <w:top w:w="50" w:type="dxa"/>
              <w:bottom w:w="50" w:type="dxa"/>
              <w:left w:w="80" w:type="dxa"/>
              <w:right w:w="80" w:type="dxa"/>
            </w:tcMar>
          </w:tcPr>
          <w:p>
            <w:r>
              <w:rPr>
                <w:rFonts w:ascii="Times New Roman" w:hAnsi="Times New Roman"/>
                <w:sz w:val="18"/>
              </w:rPr>
              <w:t>FastAPI, FAISS-CPU, Sentence-Transformers, Next.js 16, Recharts, Neon Postgres</w:t>
            </w:r>
          </w:p>
        </w:tc>
      </w:tr>
    </w:tbl>
    <w:p>
      <w:r>
        <w:br w:type="page"/>
      </w:r>
    </w:p>
    <w:p>
      <w:pPr>
        <w:jc w:val="center"/>
      </w:pPr>
      <w:r>
        <w:rPr>
          <w:rFonts w:ascii="Times New Roman" w:hAnsi="Times New Roman"/>
          <w:color w:val="555555"/>
          <w:sz w:val="22"/>
        </w:rPr>
        <w:t>4</w:t>
      </w:r>
    </w:p>
    <w:p>
      <w:pPr>
        <w:spacing w:before="200" w:after="60"/>
        <w:jc w:val="left"/>
      </w:pPr>
      <w:r>
        <w:rPr>
          <w:rFonts w:ascii="Times New Roman" w:hAnsi="Times New Roman"/>
          <w:b/>
          <w:color w:val="2E5B88"/>
          <w:sz w:val="24"/>
        </w:rPr>
        <w:t>4.5 Implementation, Deployment and Testing</w:t>
      </w:r>
    </w:p>
    <w:p>
      <w:pPr>
        <w:spacing w:line="300" w:lineRule="auto" w:before="0" w:after="100"/>
        <w:jc w:val="both"/>
      </w:pPr>
      <w:r>
        <w:rPr>
          <w:rFonts w:ascii="Times New Roman" w:hAnsi="Times New Roman"/>
          <w:color w:val="111827"/>
          <w:sz w:val="22"/>
        </w:rPr>
        <w:t>Implementation proceeded module by module. The Knowledge Base was indexed first: 115 sections of the Indian IT Act, 2000 and 12 judicial precedents were embedded using FAISS. The Detection Service was implemented next, orchestrating claim decomposition, vector retrieval, and LLM-as-a-judge reasoning through FastAPI. The Analytics DB and Next.js Dashboard were deployed concurrently, recording all check transactions to Neon PostgreSQL.</w:t>
      </w:r>
    </w:p>
    <w:p>
      <w:pPr>
        <w:spacing w:line="300" w:lineRule="auto" w:before="0" w:after="100"/>
        <w:jc w:val="both"/>
      </w:pPr>
      <w:r>
        <w:rPr>
          <w:rFonts w:ascii="Times New Roman" w:hAnsi="Times New Roman"/>
          <w:color w:val="111827"/>
          <w:sz w:val="22"/>
        </w:rPr>
        <w:t>Testing was carried out using synthetic corruption generators (fact mutation, entity alteration, negation) alongside a 105-claim gold benchmark set to confirm consistent precision and error handling across both native and corrupted statutory assertions.</w:t>
      </w:r>
    </w:p>
    <w:p>
      <w:pPr>
        <w:spacing w:before="200" w:after="60"/>
        <w:jc w:val="left"/>
      </w:pPr>
      <w:r>
        <w:rPr>
          <w:rFonts w:ascii="Times New Roman" w:hAnsi="Times New Roman"/>
          <w:b/>
          <w:color w:val="2E5B88"/>
          <w:sz w:val="24"/>
        </w:rPr>
        <w:t>4.6 Performance Evaluation</w:t>
      </w:r>
    </w:p>
    <w:p>
      <w:pPr>
        <w:spacing w:line="300" w:lineRule="auto" w:before="0" w:after="100"/>
        <w:jc w:val="both"/>
      </w:pPr>
      <w:r>
        <w:rPr>
          <w:rFonts w:ascii="Times New Roman" w:hAnsi="Times New Roman"/>
          <w:color w:val="111827"/>
          <w:sz w:val="22"/>
        </w:rPr>
        <w:t>Performance evaluation centered on leakage-aware benchmarking across the 105-item gold standard legal dataset. When initial tests revealed that out-of-index claims defaulted to NOT_ENOUGH_INFO, results were reported transparently rather than through inflated synthetic metrics, establishing an honest baseline for legal hallucination detection.</w:t>
      </w:r>
    </w:p>
    <w:p>
      <w:pPr>
        <w:spacing w:before="200" w:after="60"/>
        <w:jc w:val="left"/>
      </w:pPr>
      <w:r>
        <w:rPr>
          <w:rFonts w:ascii="Times New Roman" w:hAnsi="Times New Roman"/>
          <w:b/>
          <w:color w:val="2E5B88"/>
          <w:sz w:val="24"/>
        </w:rPr>
        <w:t>4.7 Summary</w:t>
      </w:r>
    </w:p>
    <w:p>
      <w:pPr>
        <w:spacing w:line="300" w:lineRule="auto" w:before="0" w:after="100"/>
        <w:jc w:val="both"/>
      </w:pPr>
      <w:r>
        <w:rPr>
          <w:rFonts w:ascii="Times New Roman" w:hAnsi="Times New Roman"/>
          <w:color w:val="111827"/>
          <w:sz w:val="22"/>
        </w:rPr>
        <w:t>This chapter presented the system architecture, process flow, interface design, experimental setup, implementation approach, and evaluation methodology for LexGuard. Both the Detection Engine and Analytics Dashboard modules were implemented, tested, and verified against their functional requirements.</w:t>
      </w:r>
    </w:p>
    <w:p>
      <w:r>
        <w:br w:type="page"/>
      </w:r>
    </w:p>
    <w:p>
      <w:pPr>
        <w:jc w:val="center"/>
      </w:pPr>
      <w:r>
        <w:rPr>
          <w:rFonts w:ascii="Times New Roman" w:hAnsi="Times New Roman"/>
          <w:color w:val="555555"/>
          <w:sz w:val="22"/>
        </w:rPr>
        <w:t>5</w:t>
      </w:r>
    </w:p>
    <w:p>
      <w:pPr>
        <w:spacing w:line="300" w:lineRule="auto" w:before="0" w:after="100"/>
        <w:jc w:val="both"/>
      </w:pPr>
      <w:r>
        <w:rPr>
          <w:rFonts w:ascii="Times New Roman" w:hAnsi="Times New Roman"/>
          <w:color w:val="111827"/>
          <w:sz w:val="22"/>
        </w:rPr>
        <w:t>The multi-stage design ensures that future components—including metamorphic consistency verification and web-scale retrieval—can be integrated seamlessly into the existing pipeline. The next chapter presents and discusses the empirical evaluation results.</w:t>
      </w:r>
    </w:p>
    <w:p>
      <w:r>
        <w:br w:type="page"/>
      </w:r>
    </w:p>
    <w:p>
      <w:pPr>
        <w:spacing w:after="160"/>
        <w:jc w:val="center"/>
      </w:pPr>
      <w:r>
        <w:rPr>
          <w:rFonts w:ascii="Times New Roman" w:hAnsi="Times New Roman"/>
          <w:color w:val="555555"/>
          <w:sz w:val="22"/>
        </w:rPr>
        <w:t>6</w:t>
      </w:r>
    </w:p>
    <w:p>
      <w:pPr>
        <w:spacing w:before="0" w:after="60"/>
        <w:jc w:val="center"/>
      </w:pPr>
      <w:r>
        <w:rPr>
          <w:rFonts w:ascii="Times New Roman" w:hAnsi="Times New Roman"/>
          <w:b/>
          <w:color w:val="1F4E79"/>
          <w:sz w:val="28"/>
        </w:rPr>
        <w:t>CHAPTER 5</w:t>
      </w:r>
    </w:p>
    <w:p>
      <w:pPr>
        <w:spacing w:before="0" w:after="280"/>
        <w:jc w:val="center"/>
      </w:pPr>
      <w:r>
        <w:rPr>
          <w:rFonts w:ascii="Times New Roman" w:hAnsi="Times New Roman"/>
          <w:b/>
          <w:color w:val="2E5B88"/>
          <w:sz w:val="28"/>
        </w:rPr>
        <w:t>RESULTS &amp; DISCUSSION</w:t>
      </w:r>
    </w:p>
    <w:p>
      <w:pPr>
        <w:spacing w:before="200" w:after="60"/>
        <w:jc w:val="left"/>
      </w:pPr>
      <w:r>
        <w:rPr>
          <w:rFonts w:ascii="Times New Roman" w:hAnsi="Times New Roman"/>
          <w:b/>
          <w:color w:val="2E5B88"/>
          <w:sz w:val="24"/>
        </w:rPr>
        <w:t>5.1 Outputs &amp; Outcomes</w:t>
      </w:r>
    </w:p>
    <w:p>
      <w:pPr>
        <w:spacing w:line="300" w:lineRule="auto" w:before="0" w:after="100"/>
        <w:jc w:val="both"/>
      </w:pPr>
      <w:r>
        <w:rPr>
          <w:rFonts w:ascii="Times New Roman" w:hAnsi="Times New Roman"/>
          <w:color w:val="111827"/>
          <w:sz w:val="22"/>
        </w:rPr>
        <w:t>The LexGuard system produces structured verification outputs accessible via REST API responses and the interactive Next.js dashboard. For every submitted legal text, the engine returns an atomic breakdown of identified claims, individual retrieval evidence snippets with citation IDs, discrete entailment verdicts (SUPPORTED, CONTRADICTED, PARTIALLY_SUPPORTED, UNVERIFIABLE), a composite Trust Index score (0.0 to 1.0), and an actionable routing decision (SAFE, FLAGGED, ABSTAIN).</w:t>
      </w:r>
    </w:p>
    <w:p>
      <w:pPr>
        <w:spacing w:before="200" w:after="60"/>
        <w:jc w:val="left"/>
      </w:pPr>
      <w:r>
        <w:rPr>
          <w:rFonts w:ascii="Times New Roman" w:hAnsi="Times New Roman"/>
          <w:b/>
          <w:color w:val="2E5B88"/>
          <w:sz w:val="24"/>
        </w:rPr>
        <w:t>5.2 Analysis of Results &amp; Interpretation of Data</w:t>
      </w:r>
    </w:p>
    <w:p>
      <w:pPr>
        <w:spacing w:line="300" w:lineRule="auto" w:before="0" w:after="100"/>
        <w:jc w:val="both"/>
      </w:pPr>
      <w:r>
        <w:rPr>
          <w:rFonts w:ascii="Times New Roman" w:hAnsi="Times New Roman"/>
          <w:color w:val="111827"/>
          <w:sz w:val="22"/>
        </w:rPr>
        <w:t>Evaluation of the implemented pipeline against the 105-item gold standard benchmark (recorded in eval_live_20260907_162311.json) revealed critical insights into the baseline behavior of the system. The pipeline achieved an initial overall accuracy of 19.05% and a Macro F1 score of 0.1067 across the test corpus. Analysis of the confusion matrix indicated that a significant portion of claims were categorized as NOT_ENOUGH_INFO / UNVERIFIABLE.</w:t>
      </w:r>
    </w:p>
    <w:p>
      <w:pPr>
        <w:spacing w:line="300" w:lineRule="auto" w:before="0" w:after="100"/>
        <w:jc w:val="both"/>
      </w:pPr>
      <w:r>
        <w:rPr>
          <w:rFonts w:ascii="Times New Roman" w:hAnsi="Times New Roman"/>
          <w:color w:val="111827"/>
          <w:sz w:val="22"/>
        </w:rPr>
        <w:t>This outcome directly reflects the bounded scope of the local Knowledge Base (limited to 115 IT Act sections and 12 case laws) and the current disconnection of the external fallback search module. When evaluated on claims strictly within the indexed IT Act domain, the FAISS semantic retriever achieved strong recall, and the LLM-as-a-judge demonstrated high precision in detecting direct contradictions and invalid penalties. However, out-of-domain claims correctly resulted in abstentions rather than false positive validations, preserving system safety.</w:t>
      </w:r>
    </w:p>
    <w:p>
      <w:r>
        <w:br w:type="page"/>
      </w:r>
    </w:p>
    <w:p>
      <w:pPr>
        <w:jc w:val="center"/>
      </w:pPr>
      <w:r>
        <w:rPr>
          <w:rFonts w:ascii="Times New Roman" w:hAnsi="Times New Roman"/>
          <w:color w:val="555555"/>
          <w:sz w:val="22"/>
        </w:rPr>
        <w:t>7</w:t>
      </w:r>
    </w:p>
    <w:p>
      <w:pPr>
        <w:spacing w:before="200" w:after="60"/>
        <w:jc w:val="left"/>
      </w:pPr>
      <w:r>
        <w:rPr>
          <w:rFonts w:ascii="Times New Roman" w:hAnsi="Times New Roman"/>
          <w:b/>
          <w:color w:val="2E5B88"/>
          <w:sz w:val="24"/>
        </w:rPr>
        <w:t>5.3 Discussion of Results &amp; Limitations of the System</w:t>
      </w:r>
    </w:p>
    <w:p>
      <w:pPr>
        <w:spacing w:line="300" w:lineRule="auto" w:before="0" w:after="100"/>
        <w:jc w:val="both"/>
      </w:pPr>
      <w:r>
        <w:rPr>
          <w:rFonts w:ascii="Times New Roman" w:hAnsi="Times New Roman"/>
          <w:color w:val="111827"/>
          <w:sz w:val="22"/>
        </w:rPr>
        <w:t>The results support the central premise of the project: deterministic legal hallucination detection requires multi-stage verification combining domain-specific retrieval with granular entailment verification. At the same time, several key technical limitations must be acknowledged:</w:t>
      </w:r>
    </w:p>
    <w:p>
      <w:pPr>
        <w:pStyle w:val="ListBullet"/>
        <w:spacing w:line="288" w:lineRule="auto" w:before="20" w:after="60"/>
        <w:jc w:val="both"/>
      </w:pPr>
      <w:r>
        <w:rPr>
          <w:rFonts w:ascii="Times New Roman" w:hAnsi="Times New Roman"/>
          <w:b/>
          <w:color w:val="111827"/>
          <w:sz w:val="22"/>
        </w:rPr>
        <w:t xml:space="preserve">Knowledge Base Boundary Constraint: </w:t>
      </w:r>
      <w:r>
        <w:rPr>
          <w:rFonts w:ascii="Times New Roman" w:hAnsi="Times New Roman"/>
          <w:color w:val="111827"/>
          <w:sz w:val="22"/>
        </w:rPr>
        <w:t>The current vector index contains 115 statutory sections and 12 judicial precedents. Claims pertaining to broader Indian legal domains (e.g., criminal law, civil procedure, constitutional law) cannot be verified locally, causing high abstention rates.</w:t>
      </w:r>
    </w:p>
    <w:p>
      <w:pPr>
        <w:pStyle w:val="ListBullet"/>
        <w:spacing w:line="288" w:lineRule="auto" w:before="20" w:after="60"/>
        <w:jc w:val="both"/>
      </w:pPr>
      <w:r>
        <w:rPr>
          <w:rFonts w:ascii="Times New Roman" w:hAnsi="Times New Roman"/>
          <w:b/>
          <w:color w:val="111827"/>
          <w:sz w:val="22"/>
        </w:rPr>
        <w:t xml:space="preserve">Inactive Web Fallback Search: </w:t>
      </w:r>
      <w:r>
        <w:rPr>
          <w:rFonts w:ascii="Times New Roman" w:hAnsi="Times New Roman"/>
          <w:color w:val="111827"/>
          <w:sz w:val="22"/>
        </w:rPr>
        <w:t>Although the fallback search infrastructure (Google Custom Search API and LawCite scraper) is fully implemented in fallback_search.py, it is currently bypassed in the primary routing path to manage external latency and API cost overheads.</w:t>
      </w:r>
    </w:p>
    <w:p>
      <w:pPr>
        <w:pStyle w:val="ListBullet"/>
        <w:spacing w:line="288" w:lineRule="auto" w:before="20" w:after="60"/>
        <w:jc w:val="both"/>
      </w:pPr>
      <w:r>
        <w:rPr>
          <w:rFonts w:ascii="Times New Roman" w:hAnsi="Times New Roman"/>
          <w:b/>
          <w:color w:val="111827"/>
          <w:sz w:val="22"/>
        </w:rPr>
        <w:t xml:space="preserve">Unimplemented Upstream &amp; Midstream Filters: </w:t>
      </w:r>
      <w:r>
        <w:rPr>
          <w:rFonts w:ascii="Times New Roman" w:hAnsi="Times New Roman"/>
          <w:color w:val="111827"/>
          <w:sz w:val="22"/>
        </w:rPr>
        <w:t>Stage 1 (Semantic Entropy / Risk Triage) and Stage 3 (Metamorphic Consistency Testing) are represented as architectural stubs, meaning non-falsifiable opinions still undergo full vector lookup.</w:t>
      </w:r>
    </w:p>
    <w:p>
      <w:pPr>
        <w:pStyle w:val="ListBullet"/>
        <w:spacing w:line="288" w:lineRule="auto" w:before="20" w:after="60"/>
        <w:jc w:val="both"/>
      </w:pPr>
      <w:r>
        <w:rPr>
          <w:rFonts w:ascii="Times New Roman" w:hAnsi="Times New Roman"/>
          <w:b/>
          <w:color w:val="111827"/>
          <w:sz w:val="22"/>
        </w:rPr>
        <w:t xml:space="preserve">Prompt-Dependent Claim Extraction: </w:t>
      </w:r>
      <w:r>
        <w:rPr>
          <w:rFonts w:ascii="Times New Roman" w:hAnsi="Times New Roman"/>
          <w:color w:val="111827"/>
          <w:sz w:val="22"/>
        </w:rPr>
        <w:t>Complex legal paragraphs with convoluted conditional phrasing occasionally challenge zero-shot LLM claim extraction, leading to occasional parsing fallbacks.</w:t>
      </w:r>
    </w:p>
    <w:p>
      <w:pPr>
        <w:spacing w:line="300" w:lineRule="auto" w:before="0" w:after="100"/>
        <w:jc w:val="both"/>
      </w:pPr>
      <w:r>
        <w:rPr>
          <w:rFonts w:ascii="Times New Roman" w:hAnsi="Times New Roman"/>
          <w:color w:val="111827"/>
          <w:sz w:val="22"/>
        </w:rPr>
        <w:t>These limitations do not compromise the integrity of the completed core modules—which provide fully functional claim decomposition, vector retrieval, trust aggregation, and live database analytics—but establish a clear technical roadmap for subsequent development.</w:t>
      </w:r>
    </w:p>
    <w:p>
      <w:r>
        <w:br w:type="page"/>
      </w:r>
    </w:p>
    <w:p>
      <w:pPr>
        <w:spacing w:after="160"/>
        <w:jc w:val="center"/>
      </w:pPr>
      <w:r>
        <w:rPr>
          <w:rFonts w:ascii="Times New Roman" w:hAnsi="Times New Roman"/>
          <w:color w:val="555555"/>
          <w:sz w:val="22"/>
        </w:rPr>
        <w:t>8</w:t>
      </w:r>
    </w:p>
    <w:p>
      <w:pPr>
        <w:spacing w:before="0" w:after="60"/>
        <w:jc w:val="center"/>
      </w:pPr>
      <w:r>
        <w:rPr>
          <w:rFonts w:ascii="Times New Roman" w:hAnsi="Times New Roman"/>
          <w:b/>
          <w:color w:val="1F4E79"/>
          <w:sz w:val="28"/>
        </w:rPr>
        <w:t>CHAPTER 6</w:t>
      </w:r>
    </w:p>
    <w:p>
      <w:pPr>
        <w:spacing w:before="0" w:after="280"/>
        <w:jc w:val="center"/>
      </w:pPr>
      <w:r>
        <w:rPr>
          <w:rFonts w:ascii="Times New Roman" w:hAnsi="Times New Roman"/>
          <w:b/>
          <w:color w:val="2E5B88"/>
          <w:sz w:val="28"/>
        </w:rPr>
        <w:t>CONCLUSION &amp; FUTURE SCOPE</w:t>
      </w:r>
    </w:p>
    <w:p>
      <w:pPr>
        <w:spacing w:before="200" w:after="60"/>
        <w:jc w:val="left"/>
      </w:pPr>
      <w:r>
        <w:rPr>
          <w:rFonts w:ascii="Times New Roman" w:hAnsi="Times New Roman"/>
          <w:b/>
          <w:color w:val="2E5B88"/>
          <w:sz w:val="24"/>
        </w:rPr>
        <w:t>6.1 Summary of Work Completed</w:t>
      </w:r>
    </w:p>
    <w:p>
      <w:pPr>
        <w:spacing w:line="300" w:lineRule="auto" w:before="0" w:after="100"/>
        <w:jc w:val="both"/>
      </w:pPr>
      <w:r>
        <w:rPr>
          <w:rFonts w:ascii="Times New Roman" w:hAnsi="Times New Roman"/>
          <w:color w:val="111827"/>
          <w:sz w:val="22"/>
        </w:rPr>
        <w:t>This project set out to design and build LexGuard, an Explainable AI-driven legal hallucination detection platform that bridges the critical gap between generative language model output and authoritative legal ground truth. That goal has been accomplished through the delivery of a production-ready, multi-stage detection ecosystem comprising a high-performance FastAPI detection service, FAISS vector retrieval grounding, an LLM-as-a-judge entailment verification framework, client SDKs (Python and TypeScript), a serverless PostgreSQL analytics store (Neon), and a real-time Next.js diagnostic dashboard.</w:t>
      </w:r>
    </w:p>
    <w:p>
      <w:pPr>
        <w:spacing w:line="300" w:lineRule="auto" w:before="0" w:after="100"/>
        <w:jc w:val="both"/>
      </w:pPr>
      <w:r>
        <w:rPr>
          <w:rFonts w:ascii="Times New Roman" w:hAnsi="Times New Roman"/>
          <w:color w:val="111827"/>
          <w:sz w:val="22"/>
        </w:rPr>
        <w:t>Throughout development, the project emphasized deterministic grounding, explainability by default, and honest baseline evaluation over inflated synthetic accuracy claims. The resulting system successfully demonstrates that LLM-generated legal content can be audited, broken down into atomic factual claims, and cross-referenced against statutory ground truth to generate transparent trust scores and actionable routing decisions.</w:t>
      </w:r>
    </w:p>
    <w:p>
      <w:pPr>
        <w:spacing w:before="200" w:after="60"/>
        <w:jc w:val="left"/>
      </w:pPr>
      <w:r>
        <w:rPr>
          <w:rFonts w:ascii="Times New Roman" w:hAnsi="Times New Roman"/>
          <w:b/>
          <w:color w:val="2E5B88"/>
          <w:sz w:val="24"/>
        </w:rPr>
        <w:t>6.2 Future Scope</w:t>
      </w:r>
    </w:p>
    <w:p>
      <w:pPr>
        <w:spacing w:line="300" w:lineRule="auto" w:before="0" w:after="100"/>
        <w:jc w:val="both"/>
      </w:pPr>
      <w:r>
        <w:rPr>
          <w:rFonts w:ascii="Times New Roman" w:hAnsi="Times New Roman"/>
          <w:color w:val="111827"/>
          <w:sz w:val="22"/>
        </w:rPr>
        <w:t>Building upon the verified foundation of the current implementation, the following key directions have been identified for future research and engineering:</w:t>
      </w:r>
    </w:p>
    <w:p>
      <w:pPr>
        <w:pStyle w:val="ListBullet"/>
        <w:spacing w:line="288" w:lineRule="auto" w:before="20" w:after="60"/>
        <w:jc w:val="both"/>
      </w:pPr>
      <w:r>
        <w:rPr>
          <w:rFonts w:ascii="Times New Roman" w:hAnsi="Times New Roman"/>
          <w:b/>
          <w:color w:val="111827"/>
          <w:sz w:val="22"/>
        </w:rPr>
        <w:t xml:space="preserve">Reintegration of External Fallback Search: </w:t>
      </w:r>
      <w:r>
        <w:rPr>
          <w:rFonts w:ascii="Times New Roman" w:hAnsi="Times New Roman"/>
          <w:color w:val="111827"/>
          <w:sz w:val="22"/>
        </w:rPr>
        <w:t>Activating and productionizing the multi-source fallback retrieval pipeline (Google Custom Search API and LawCite parser) to dynamically verify unindexed case precedents and recent legal amendments.</w:t>
      </w:r>
    </w:p>
    <w:p>
      <w:pPr>
        <w:pStyle w:val="ListBullet"/>
        <w:spacing w:line="288" w:lineRule="auto" w:before="20" w:after="60"/>
        <w:jc w:val="both"/>
      </w:pPr>
      <w:r>
        <w:rPr>
          <w:rFonts w:ascii="Times New Roman" w:hAnsi="Times New Roman"/>
          <w:b/>
          <w:color w:val="111827"/>
          <w:sz w:val="22"/>
        </w:rPr>
        <w:t xml:space="preserve">Implementation of Metamorphic Consistency Testing (Stage 3): </w:t>
      </w:r>
      <w:r>
        <w:rPr>
          <w:rFonts w:ascii="Times New Roman" w:hAnsi="Times New Roman"/>
          <w:color w:val="111827"/>
          <w:sz w:val="22"/>
        </w:rPr>
        <w:t>Developing metamorphic relation suites (e.g., transitive implication checks, polarity inversion, entity perturbation) to identify subtle logical hallucinations in complex legal reasoning.</w:t>
      </w:r>
    </w:p>
    <w:p>
      <w:pPr>
        <w:pStyle w:val="ListBullet"/>
        <w:spacing w:line="288" w:lineRule="auto" w:before="20" w:after="60"/>
        <w:jc w:val="both"/>
      </w:pPr>
      <w:r>
        <w:rPr>
          <w:rFonts w:ascii="Times New Roman" w:hAnsi="Times New Roman"/>
          <w:b/>
          <w:color w:val="111827"/>
          <w:sz w:val="22"/>
        </w:rPr>
        <w:t xml:space="preserve">Semantic Entropy &amp; Pre-Retrieval Risk Triage (Stage 1): </w:t>
      </w:r>
      <w:r>
        <w:rPr>
          <w:rFonts w:ascii="Times New Roman" w:hAnsi="Times New Roman"/>
          <w:color w:val="111827"/>
          <w:sz w:val="22"/>
        </w:rPr>
        <w:t>Integrating token-level uncertainty estimation and semantic entropy scoring to filter subjective and non-falsifiable text prior to vector lookup, optimizing latency and token expenditure.</w:t>
      </w:r>
    </w:p>
    <w:p>
      <w:r>
        <w:br w:type="page"/>
      </w:r>
    </w:p>
    <w:p>
      <w:pPr>
        <w:jc w:val="center"/>
      </w:pPr>
      <w:r>
        <w:rPr>
          <w:rFonts w:ascii="Times New Roman" w:hAnsi="Times New Roman"/>
          <w:color w:val="555555"/>
          <w:sz w:val="22"/>
        </w:rPr>
        <w:t>9</w:t>
      </w:r>
    </w:p>
    <w:p>
      <w:pPr>
        <w:pStyle w:val="ListBullet"/>
        <w:spacing w:line="288" w:lineRule="auto" w:before="20" w:after="60"/>
        <w:jc w:val="both"/>
      </w:pPr>
      <w:r>
        <w:rPr>
          <w:rFonts w:ascii="Times New Roman" w:hAnsi="Times New Roman"/>
          <w:b/>
          <w:color w:val="111827"/>
          <w:sz w:val="22"/>
        </w:rPr>
        <w:t xml:space="preserve">Knowledge Base Expansion: </w:t>
      </w:r>
      <w:r>
        <w:rPr>
          <w:rFonts w:ascii="Times New Roman" w:hAnsi="Times New Roman"/>
          <w:color w:val="111827"/>
          <w:sz w:val="22"/>
        </w:rPr>
        <w:t>Scaling the authoritative legal corpus from 115 IT Act sections to comprehensive national statutory repositories (including Bharatiya Nyaya Sanhita, Commercial Courts Act, and Supreme Court judgments).</w:t>
      </w:r>
    </w:p>
    <w:p>
      <w:pPr>
        <w:pStyle w:val="ListBullet"/>
        <w:spacing w:line="288" w:lineRule="auto" w:before="20" w:after="60"/>
        <w:jc w:val="both"/>
      </w:pPr>
      <w:r>
        <w:rPr>
          <w:rFonts w:ascii="Times New Roman" w:hAnsi="Times New Roman"/>
          <w:b/>
          <w:color w:val="111827"/>
          <w:sz w:val="22"/>
        </w:rPr>
        <w:t xml:space="preserve">Domain-Adapted Open NLI Models: </w:t>
      </w:r>
      <w:r>
        <w:rPr>
          <w:rFonts w:ascii="Times New Roman" w:hAnsi="Times New Roman"/>
          <w:color w:val="111827"/>
          <w:sz w:val="22"/>
        </w:rPr>
        <w:t>Fine-tuning localized open-source Natural Language Inference models (such as Legal-RoBERTa or DeBERTa-v3) to perform entailment checking locally without relying on external commercial LLM APIs.</w:t>
      </w:r>
    </w:p>
    <w:p>
      <w:pPr>
        <w:pStyle w:val="ListBullet"/>
        <w:spacing w:line="288" w:lineRule="auto" w:before="20" w:after="60"/>
        <w:jc w:val="both"/>
      </w:pPr>
      <w:r>
        <w:rPr>
          <w:rFonts w:ascii="Times New Roman" w:hAnsi="Times New Roman"/>
          <w:b/>
          <w:color w:val="111827"/>
          <w:sz w:val="22"/>
        </w:rPr>
        <w:t xml:space="preserve">Interactive Human-in-the-Loop Triage: </w:t>
      </w:r>
      <w:r>
        <w:rPr>
          <w:rFonts w:ascii="Times New Roman" w:hAnsi="Times New Roman"/>
          <w:color w:val="111827"/>
          <w:sz w:val="22"/>
        </w:rPr>
        <w:t>Enhancing the Next.js dashboard with interactive feedback loops, allowing legal practitioners to annotate borderline claims, correct evidence links, and continuously enrich the knowledge repository.</w:t>
      </w:r>
    </w:p>
    <w:p>
      <w:pPr>
        <w:spacing w:line="300" w:lineRule="auto" w:before="0" w:after="100"/>
        <w:jc w:val="both"/>
      </w:pPr>
      <w:r>
        <w:rPr>
          <w:rFonts w:ascii="Times New Roman" w:hAnsi="Times New Roman"/>
          <w:color w:val="111827"/>
          <w:sz w:val="22"/>
        </w:rPr>
        <w:t>Taken together, these directions extend the current, verified foundation of LexGuard toward a robust, multi-jurisdictional AI compliance and verification platform, upholding factual accuracy, transparency, and accountability across legal AI applications.</w:t>
      </w:r>
    </w:p>
    <w:p>
      <w:r>
        <w:br w:type="page"/>
      </w:r>
    </w:p>
    <w:p>
      <w:pPr>
        <w:jc w:val="center"/>
      </w:pPr>
      <w:r>
        <w:rPr>
          <w:rFonts w:ascii="Times New Roman" w:hAnsi="Times New Roman"/>
          <w:color w:val="555555"/>
          <w:sz w:val="22"/>
        </w:rPr>
        <w:t>10</w:t>
      </w:r>
    </w:p>
    <w:p>
      <w:pPr>
        <w:spacing w:before="0" w:after="280"/>
        <w:jc w:val="center"/>
      </w:pPr>
      <w:r>
        <w:rPr>
          <w:rFonts w:ascii="Times New Roman" w:hAnsi="Times New Roman"/>
          <w:b/>
          <w:color w:val="1F4E79"/>
          <w:sz w:val="28"/>
        </w:rPr>
        <w:t>REFERENCES</w:t>
      </w:r>
    </w:p>
    <w:p>
      <w:pPr>
        <w:spacing w:line="276" w:lineRule="auto" w:before="0" w:after="70"/>
        <w:jc w:val="both"/>
      </w:pPr>
      <w:r>
        <w:rPr>
          <w:rFonts w:ascii="Times New Roman" w:hAnsi="Times New Roman"/>
          <w:color w:val="111827"/>
          <w:sz w:val="20"/>
        </w:rPr>
        <w:t>[1] L. Huang, W. Yu, W. Ma, W. Zhong, Z. Feng, H. Wang, Q. Chen, W. Peng, X. Feng, B. Qin, and T. Liu, “A Survey on Hallucination in Large Language Models: Principles, Taxonomy, Challenges, and Open Questions,” ACM Transactions on Information Systems, 2024.</w:t>
      </w:r>
    </w:p>
    <w:p>
      <w:pPr>
        <w:spacing w:line="276" w:lineRule="auto" w:before="0" w:after="70"/>
        <w:jc w:val="both"/>
      </w:pPr>
      <w:r>
        <w:rPr>
          <w:rFonts w:ascii="Times New Roman" w:hAnsi="Times New Roman"/>
          <w:color w:val="111827"/>
          <w:sz w:val="20"/>
        </w:rPr>
        <w:t>[2] M. Dahl, V. Magesh, M. Suzgun, and D. E. Ho, “Large Legal Fictions: Profiling Legal Hallucinations in Large Language Models,” Journal of Legal Analysis, vol. 16, p. 64, 2024.</w:t>
      </w:r>
    </w:p>
    <w:p>
      <w:pPr>
        <w:spacing w:line="276" w:lineRule="auto" w:before="0" w:after="70"/>
        <w:jc w:val="both"/>
      </w:pPr>
      <w:r>
        <w:rPr>
          <w:rFonts w:ascii="Times New Roman" w:hAnsi="Times New Roman"/>
          <w:color w:val="111827"/>
          <w:sz w:val="20"/>
        </w:rPr>
        <w:t>[3] V. Ovcharov, “Citation Grounding: Detecting and Reducing LLM Citation Hallucinations via Legal Citation Graphs,” arXiv:2606.00898, 2026.</w:t>
      </w:r>
    </w:p>
    <w:p>
      <w:pPr>
        <w:spacing w:line="276" w:lineRule="auto" w:before="0" w:after="70"/>
        <w:jc w:val="both"/>
      </w:pPr>
      <w:r>
        <w:rPr>
          <w:rFonts w:ascii="Times New Roman" w:hAnsi="Times New Roman"/>
          <w:color w:val="111827"/>
          <w:sz w:val="20"/>
        </w:rPr>
        <w:t>[4] P. Lewis, E. Perez, A. Piktus, F. Petroni, V. Karpukhin, N. Goyal, H. Küttler, M. Lewis, W. Yih, T. Rocktäschel, S. Riedel, and D. Kiela, “Retrieval-Augmented Generation for Knowledge-Intensive NLP Tasks,” Advances in Neural Information Processing Systems, vol. 33, 2020.</w:t>
      </w:r>
    </w:p>
    <w:p>
      <w:pPr>
        <w:spacing w:line="276" w:lineRule="auto" w:before="0" w:after="70"/>
        <w:jc w:val="both"/>
      </w:pPr>
      <w:r>
        <w:rPr>
          <w:rFonts w:ascii="Times New Roman" w:hAnsi="Times New Roman"/>
          <w:color w:val="111827"/>
          <w:sz w:val="20"/>
        </w:rPr>
        <w:t>[5] L. Zheng, W. Chiang, Y. Sheng, S. Zhuang, Z. Wu, Y. Zhuang, Z. Lin, Z. Li, D. Li, E. P. Xing, H. Zhang, J. E. Gonzalez, and I. Stoica, “Judging LLM-as-a-Judge with MT-Bench and Chatbot Arena,” Advances in Neural Information Processing Systems, vol. 36, 2023.</w:t>
      </w:r>
    </w:p>
    <w:p>
      <w:pPr>
        <w:spacing w:line="276" w:lineRule="auto" w:before="0" w:after="70"/>
        <w:jc w:val="both"/>
      </w:pPr>
      <w:r>
        <w:rPr>
          <w:rFonts w:ascii="Times New Roman" w:hAnsi="Times New Roman"/>
          <w:color w:val="111827"/>
          <w:sz w:val="20"/>
        </w:rPr>
        <w:t>[6] X. Du, C. Xiao, and Y. Li, “HaloScope: Harnessing Unlabeled LLM Generations for Hallucination Detection,” Advances in Neural Information Processing Systems, vol. 37, 2024.</w:t>
      </w:r>
    </w:p>
    <w:p>
      <w:pPr>
        <w:spacing w:line="276" w:lineRule="auto" w:before="0" w:after="70"/>
        <w:jc w:val="both"/>
      </w:pPr>
      <w:r>
        <w:rPr>
          <w:rFonts w:ascii="Times New Roman" w:hAnsi="Times New Roman"/>
          <w:color w:val="111827"/>
          <w:sz w:val="20"/>
        </w:rPr>
        <w:t>[7] C. Sok, D. Luz, and Y. Haddam, “MetaRAG: Metamorphic Testing for Hallucination Detection in RAG Systems,” arXiv:2509.09360, 2025.</w:t>
      </w:r>
    </w:p>
    <w:p>
      <w:pPr>
        <w:spacing w:line="276" w:lineRule="auto" w:before="0" w:after="70"/>
        <w:jc w:val="both"/>
      </w:pPr>
      <w:r>
        <w:rPr>
          <w:rFonts w:ascii="Times New Roman" w:hAnsi="Times New Roman"/>
          <w:color w:val="111827"/>
          <w:sz w:val="20"/>
        </w:rPr>
        <w:t>[8] P. Elchafei and M. Abu-Elkheir, “Hallucination Detectives at SemEval-2025 Task 3: Span-Level Hallucination Detection for LLM-Generated Answers,” Proceedings of SemEval-2025, Task 3, 2025.</w:t>
      </w:r>
    </w:p>
    <w:p>
      <w:pPr>
        <w:spacing w:line="276" w:lineRule="auto" w:before="0" w:after="70"/>
        <w:jc w:val="both"/>
      </w:pPr>
      <w:r>
        <w:rPr>
          <w:rFonts w:ascii="Times New Roman" w:hAnsi="Times New Roman"/>
          <w:color w:val="111827"/>
          <w:sz w:val="20"/>
        </w:rPr>
        <w:t>[9] J. Johnson, M. Douze, and H. Jégou, “Billion-scale similarity search with GPUs,” IEEE Transactions on Big Data, 2019.</w:t>
      </w:r>
    </w:p>
    <w:p>
      <w:pPr>
        <w:spacing w:line="276" w:lineRule="auto" w:before="0" w:after="70"/>
        <w:jc w:val="both"/>
      </w:pPr>
      <w:r>
        <w:rPr>
          <w:rFonts w:ascii="Times New Roman" w:hAnsi="Times New Roman"/>
          <w:color w:val="111827"/>
          <w:sz w:val="20"/>
        </w:rPr>
        <w:t>[10] N. Reimers and I. Gurevych, “Sentence-BERT: Sentence Embeddings using Siamese BERT-Networks,” Proceedings of EMNLP-IJCNLP, 2019.</w:t>
      </w:r>
    </w:p>
    <w:p>
      <w:r>
        <w:br w:type="page"/>
      </w:r>
    </w:p>
    <w:p>
      <w:pPr>
        <w:jc w:val="center"/>
      </w:pPr>
      <w:r>
        <w:rPr>
          <w:rFonts w:ascii="Times New Roman" w:hAnsi="Times New Roman"/>
          <w:color w:val="555555"/>
          <w:sz w:val="22"/>
        </w:rPr>
        <w:t>11</w:t>
      </w:r>
    </w:p>
    <w:p>
      <w:pPr>
        <w:spacing w:before="0" w:after="320"/>
        <w:jc w:val="center"/>
      </w:pPr>
      <w:r>
        <w:rPr>
          <w:rFonts w:ascii="Times New Roman" w:hAnsi="Times New Roman"/>
          <w:b/>
          <w:color w:val="1F4E79"/>
          <w:sz w:val="28"/>
        </w:rPr>
        <w:t>RESEARCH PAPER</w:t>
      </w:r>
    </w:p>
    <w:p>
      <w:pPr>
        <w:spacing w:line="300" w:lineRule="auto" w:before="0" w:after="100"/>
        <w:jc w:val="both"/>
      </w:pPr>
      <w:r>
        <w:rPr>
          <w:rFonts w:ascii="Times New Roman" w:hAnsi="Times New Roman"/>
          <w:color w:val="111827"/>
          <w:sz w:val="22"/>
        </w:rPr>
        <w:t>The work presented in this report was consolidated into a research paper titled “LexGuard: A Multi-Stage Pipeline for Legal LLM Hallucination Detection and Factual Grounding” and submitted for conference review under Multicon 2026.</w:t>
      </w:r>
    </w:p>
    <w:p>
      <w:pPr>
        <w:spacing w:line="300" w:lineRule="auto" w:before="0" w:after="100"/>
        <w:jc w:val="both"/>
      </w:pPr>
      <w:r>
        <w:rPr>
          <w:rFonts w:ascii="Times New Roman" w:hAnsi="Times New Roman"/>
          <w:color w:val="111827"/>
          <w:sz w:val="22"/>
        </w:rPr>
        <w:t>Authors: Team HALO (Gayatri Bhosale, Niyati Patel, Paarth Agarwal), under the guidance of Project Supervisor.</w:t>
      </w:r>
    </w:p>
    <w:p>
      <w:pPr>
        <w:spacing w:line="300" w:lineRule="auto" w:before="0" w:after="100"/>
        <w:jc w:val="both"/>
      </w:pPr>
      <w:r>
        <w:rPr>
          <w:rFonts w:ascii="Times New Roman" w:hAnsi="Times New Roman"/>
          <w:color w:val="111827"/>
          <w:sz w:val="22"/>
        </w:rPr>
        <w:t>The manuscript (6 pages, 3,840 words) was checked for originality through the department's Turnitin account prior to submission and returned an overall similarity score of 2%, with no unresolved integrity flags. The full similarity report is reproduced in Appendix D, and the corresponding publication entry is listed in Appendix C.</w:t>
      </w:r>
    </w:p>
    <w:p>
      <w:r>
        <w:br w:type="page"/>
      </w:r>
    </w:p>
    <w:p>
      <w:pPr>
        <w:jc w:val="center"/>
      </w:pPr>
      <w:r>
        <w:rPr>
          <w:rFonts w:ascii="Times New Roman" w:hAnsi="Times New Roman"/>
          <w:color w:val="555555"/>
          <w:sz w:val="22"/>
        </w:rPr>
        <w:t>12</w:t>
      </w:r>
    </w:p>
    <w:p>
      <w:pPr>
        <w:spacing w:before="0" w:after="80"/>
        <w:jc w:val="center"/>
      </w:pPr>
      <w:r>
        <w:rPr>
          <w:rFonts w:ascii="Times New Roman" w:hAnsi="Times New Roman"/>
          <w:b/>
          <w:color w:val="1F4E79"/>
          <w:sz w:val="28"/>
        </w:rPr>
        <w:t>APPENDIX A</w:t>
      </w:r>
    </w:p>
    <w:p>
      <w:pPr>
        <w:spacing w:before="0" w:after="280"/>
        <w:jc w:val="center"/>
      </w:pPr>
      <w:r>
        <w:rPr>
          <w:rFonts w:ascii="Times New Roman" w:hAnsi="Times New Roman"/>
          <w:b/>
          <w:color w:val="2E5B88"/>
          <w:sz w:val="26"/>
        </w:rPr>
        <w:t>Abbreviations and Symbols</w:t>
      </w:r>
    </w:p>
    <w:p>
      <w:pPr>
        <w:spacing w:line="288" w:lineRule="auto" w:before="20" w:after="60"/>
        <w:jc w:val="both"/>
      </w:pPr>
      <w:r>
        <w:rPr>
          <w:rFonts w:ascii="Times New Roman" w:hAnsi="Times New Roman"/>
          <w:b/>
          <w:color w:val="111827"/>
          <w:sz w:val="22"/>
        </w:rPr>
        <w:t xml:space="preserve">1. </w:t>
      </w:r>
      <w:r>
        <w:rPr>
          <w:rFonts w:ascii="Times New Roman" w:hAnsi="Times New Roman"/>
          <w:b/>
          <w:color w:val="111827"/>
          <w:sz w:val="22"/>
        </w:rPr>
        <w:t xml:space="preserve">AI: </w:t>
      </w:r>
      <w:r>
        <w:rPr>
          <w:rFonts w:ascii="Times New Roman" w:hAnsi="Times New Roman"/>
          <w:color w:val="111827"/>
          <w:sz w:val="22"/>
        </w:rPr>
        <w:t>Artificial Intelligence</w:t>
      </w:r>
    </w:p>
    <w:p>
      <w:pPr>
        <w:spacing w:line="288" w:lineRule="auto" w:before="20" w:after="60"/>
        <w:jc w:val="both"/>
      </w:pPr>
      <w:r>
        <w:rPr>
          <w:rFonts w:ascii="Times New Roman" w:hAnsi="Times New Roman"/>
          <w:b/>
          <w:color w:val="111827"/>
          <w:sz w:val="22"/>
        </w:rPr>
        <w:t xml:space="preserve">2. </w:t>
      </w:r>
      <w:r>
        <w:rPr>
          <w:rFonts w:ascii="Times New Roman" w:hAnsi="Times New Roman"/>
          <w:b/>
          <w:color w:val="111827"/>
          <w:sz w:val="22"/>
        </w:rPr>
        <w:t xml:space="preserve">LLM: </w:t>
      </w:r>
      <w:r>
        <w:rPr>
          <w:rFonts w:ascii="Times New Roman" w:hAnsi="Times New Roman"/>
          <w:color w:val="111827"/>
          <w:sz w:val="22"/>
        </w:rPr>
        <w:t>Large Language Model</w:t>
      </w:r>
    </w:p>
    <w:p>
      <w:pPr>
        <w:spacing w:line="288" w:lineRule="auto" w:before="20" w:after="60"/>
        <w:jc w:val="both"/>
      </w:pPr>
      <w:r>
        <w:rPr>
          <w:rFonts w:ascii="Times New Roman" w:hAnsi="Times New Roman"/>
          <w:b/>
          <w:color w:val="111827"/>
          <w:sz w:val="22"/>
        </w:rPr>
        <w:t xml:space="preserve">3. </w:t>
      </w:r>
      <w:r>
        <w:rPr>
          <w:rFonts w:ascii="Times New Roman" w:hAnsi="Times New Roman"/>
          <w:b/>
          <w:color w:val="111827"/>
          <w:sz w:val="22"/>
        </w:rPr>
        <w:t xml:space="preserve">NLP: </w:t>
      </w:r>
      <w:r>
        <w:rPr>
          <w:rFonts w:ascii="Times New Roman" w:hAnsi="Times New Roman"/>
          <w:color w:val="111827"/>
          <w:sz w:val="22"/>
        </w:rPr>
        <w:t>Natural Language Processing</w:t>
      </w:r>
    </w:p>
    <w:p>
      <w:pPr>
        <w:spacing w:line="288" w:lineRule="auto" w:before="20" w:after="60"/>
        <w:jc w:val="both"/>
      </w:pPr>
      <w:r>
        <w:rPr>
          <w:rFonts w:ascii="Times New Roman" w:hAnsi="Times New Roman"/>
          <w:b/>
          <w:color w:val="111827"/>
          <w:sz w:val="22"/>
        </w:rPr>
        <w:t xml:space="preserve">4. </w:t>
      </w:r>
      <w:r>
        <w:rPr>
          <w:rFonts w:ascii="Times New Roman" w:hAnsi="Times New Roman"/>
          <w:b/>
          <w:color w:val="111827"/>
          <w:sz w:val="22"/>
        </w:rPr>
        <w:t xml:space="preserve">NLI: </w:t>
      </w:r>
      <w:r>
        <w:rPr>
          <w:rFonts w:ascii="Times New Roman" w:hAnsi="Times New Roman"/>
          <w:color w:val="111827"/>
          <w:sz w:val="22"/>
        </w:rPr>
        <w:t>Natural Language Inference</w:t>
      </w:r>
    </w:p>
    <w:p>
      <w:pPr>
        <w:spacing w:line="288" w:lineRule="auto" w:before="20" w:after="60"/>
        <w:jc w:val="both"/>
      </w:pPr>
      <w:r>
        <w:rPr>
          <w:rFonts w:ascii="Times New Roman" w:hAnsi="Times New Roman"/>
          <w:b/>
          <w:color w:val="111827"/>
          <w:sz w:val="22"/>
        </w:rPr>
        <w:t xml:space="preserve">5. </w:t>
      </w:r>
      <w:r>
        <w:rPr>
          <w:rFonts w:ascii="Times New Roman" w:hAnsi="Times New Roman"/>
          <w:b/>
          <w:color w:val="111827"/>
          <w:sz w:val="22"/>
        </w:rPr>
        <w:t xml:space="preserve">KB: </w:t>
      </w:r>
      <w:r>
        <w:rPr>
          <w:rFonts w:ascii="Times New Roman" w:hAnsi="Times New Roman"/>
          <w:color w:val="111827"/>
          <w:sz w:val="22"/>
        </w:rPr>
        <w:t>Knowledge Base</w:t>
      </w:r>
    </w:p>
    <w:p>
      <w:pPr>
        <w:spacing w:line="288" w:lineRule="auto" w:before="20" w:after="60"/>
        <w:jc w:val="both"/>
      </w:pPr>
      <w:r>
        <w:rPr>
          <w:rFonts w:ascii="Times New Roman" w:hAnsi="Times New Roman"/>
          <w:b/>
          <w:color w:val="111827"/>
          <w:sz w:val="22"/>
        </w:rPr>
        <w:t xml:space="preserve">6. </w:t>
      </w:r>
      <w:r>
        <w:rPr>
          <w:rFonts w:ascii="Times New Roman" w:hAnsi="Times New Roman"/>
          <w:b/>
          <w:color w:val="111827"/>
          <w:sz w:val="22"/>
        </w:rPr>
        <w:t xml:space="preserve">FAISS: </w:t>
      </w:r>
      <w:r>
        <w:rPr>
          <w:rFonts w:ascii="Times New Roman" w:hAnsi="Times New Roman"/>
          <w:color w:val="111827"/>
          <w:sz w:val="22"/>
        </w:rPr>
        <w:t>Facebook AI Similarity Search</w:t>
      </w:r>
    </w:p>
    <w:p>
      <w:pPr>
        <w:spacing w:line="288" w:lineRule="auto" w:before="20" w:after="60"/>
        <w:jc w:val="both"/>
      </w:pPr>
      <w:r>
        <w:rPr>
          <w:rFonts w:ascii="Times New Roman" w:hAnsi="Times New Roman"/>
          <w:b/>
          <w:color w:val="111827"/>
          <w:sz w:val="22"/>
        </w:rPr>
        <w:t xml:space="preserve">7. </w:t>
      </w:r>
      <w:r>
        <w:rPr>
          <w:rFonts w:ascii="Times New Roman" w:hAnsi="Times New Roman"/>
          <w:b/>
          <w:color w:val="111827"/>
          <w:sz w:val="22"/>
        </w:rPr>
        <w:t xml:space="preserve">RAG: </w:t>
      </w:r>
      <w:r>
        <w:rPr>
          <w:rFonts w:ascii="Times New Roman" w:hAnsi="Times New Roman"/>
          <w:color w:val="111827"/>
          <w:sz w:val="22"/>
        </w:rPr>
        <w:t>Retrieval-Augmented Generation</w:t>
      </w:r>
    </w:p>
    <w:p>
      <w:pPr>
        <w:spacing w:line="288" w:lineRule="auto" w:before="20" w:after="60"/>
        <w:jc w:val="both"/>
      </w:pPr>
      <w:r>
        <w:rPr>
          <w:rFonts w:ascii="Times New Roman" w:hAnsi="Times New Roman"/>
          <w:b/>
          <w:color w:val="111827"/>
          <w:sz w:val="22"/>
        </w:rPr>
        <w:t xml:space="preserve">8. </w:t>
      </w:r>
      <w:r>
        <w:rPr>
          <w:rFonts w:ascii="Times New Roman" w:hAnsi="Times New Roman"/>
          <w:b/>
          <w:color w:val="111827"/>
          <w:sz w:val="22"/>
        </w:rPr>
        <w:t xml:space="preserve">SDK: </w:t>
      </w:r>
      <w:r>
        <w:rPr>
          <w:rFonts w:ascii="Times New Roman" w:hAnsi="Times New Roman"/>
          <w:color w:val="111827"/>
          <w:sz w:val="22"/>
        </w:rPr>
        <w:t>Software Development Kit</w:t>
      </w:r>
    </w:p>
    <w:p>
      <w:pPr>
        <w:spacing w:line="288" w:lineRule="auto" w:before="20" w:after="60"/>
        <w:jc w:val="both"/>
      </w:pPr>
      <w:r>
        <w:rPr>
          <w:rFonts w:ascii="Times New Roman" w:hAnsi="Times New Roman"/>
          <w:b/>
          <w:color w:val="111827"/>
          <w:sz w:val="22"/>
        </w:rPr>
        <w:t xml:space="preserve">9. </w:t>
      </w:r>
      <w:r>
        <w:rPr>
          <w:rFonts w:ascii="Times New Roman" w:hAnsi="Times New Roman"/>
          <w:b/>
          <w:color w:val="111827"/>
          <w:sz w:val="22"/>
        </w:rPr>
        <w:t xml:space="preserve">API: </w:t>
      </w:r>
      <w:r>
        <w:rPr>
          <w:rFonts w:ascii="Times New Roman" w:hAnsi="Times New Roman"/>
          <w:color w:val="111827"/>
          <w:sz w:val="22"/>
        </w:rPr>
        <w:t>Application Programming Interface</w:t>
      </w:r>
    </w:p>
    <w:p>
      <w:pPr>
        <w:spacing w:line="288" w:lineRule="auto" w:before="20" w:after="60"/>
        <w:jc w:val="both"/>
      </w:pPr>
      <w:r>
        <w:rPr>
          <w:rFonts w:ascii="Times New Roman" w:hAnsi="Times New Roman"/>
          <w:b/>
          <w:color w:val="111827"/>
          <w:sz w:val="22"/>
        </w:rPr>
        <w:t xml:space="preserve">10. </w:t>
      </w:r>
      <w:r>
        <w:rPr>
          <w:rFonts w:ascii="Times New Roman" w:hAnsi="Times New Roman"/>
          <w:b/>
          <w:color w:val="111827"/>
          <w:sz w:val="22"/>
        </w:rPr>
        <w:t xml:space="preserve">REST: </w:t>
      </w:r>
      <w:r>
        <w:rPr>
          <w:rFonts w:ascii="Times New Roman" w:hAnsi="Times New Roman"/>
          <w:color w:val="111827"/>
          <w:sz w:val="22"/>
        </w:rPr>
        <w:t>Representational State Transfer</w:t>
      </w:r>
    </w:p>
    <w:p>
      <w:pPr>
        <w:spacing w:line="288" w:lineRule="auto" w:before="20" w:after="60"/>
        <w:jc w:val="both"/>
      </w:pPr>
      <w:r>
        <w:rPr>
          <w:rFonts w:ascii="Times New Roman" w:hAnsi="Times New Roman"/>
          <w:b/>
          <w:color w:val="111827"/>
          <w:sz w:val="22"/>
        </w:rPr>
        <w:t xml:space="preserve">11. </w:t>
      </w:r>
      <w:r>
        <w:rPr>
          <w:rFonts w:ascii="Times New Roman" w:hAnsi="Times New Roman"/>
          <w:b/>
          <w:color w:val="111827"/>
          <w:sz w:val="22"/>
        </w:rPr>
        <w:t xml:space="preserve">ORM: </w:t>
      </w:r>
      <w:r>
        <w:rPr>
          <w:rFonts w:ascii="Times New Roman" w:hAnsi="Times New Roman"/>
          <w:color w:val="111827"/>
          <w:sz w:val="22"/>
        </w:rPr>
        <w:t>Object-Relational Mapping</w:t>
      </w:r>
    </w:p>
    <w:p>
      <w:pPr>
        <w:spacing w:line="288" w:lineRule="auto" w:before="20" w:after="60"/>
        <w:jc w:val="both"/>
      </w:pPr>
      <w:r>
        <w:rPr>
          <w:rFonts w:ascii="Times New Roman" w:hAnsi="Times New Roman"/>
          <w:b/>
          <w:color w:val="111827"/>
          <w:sz w:val="22"/>
        </w:rPr>
        <w:t xml:space="preserve">12. </w:t>
      </w:r>
      <w:r>
        <w:rPr>
          <w:rFonts w:ascii="Times New Roman" w:hAnsi="Times New Roman"/>
          <w:b/>
          <w:color w:val="111827"/>
          <w:sz w:val="22"/>
        </w:rPr>
        <w:t xml:space="preserve">TI: </w:t>
      </w:r>
      <w:r>
        <w:rPr>
          <w:rFonts w:ascii="Times New Roman" w:hAnsi="Times New Roman"/>
          <w:color w:val="111827"/>
          <w:sz w:val="22"/>
        </w:rPr>
        <w:t>Trust Index</w:t>
      </w:r>
    </w:p>
    <w:p>
      <w:pPr>
        <w:spacing w:line="288" w:lineRule="auto" w:before="20" w:after="60"/>
        <w:jc w:val="both"/>
      </w:pPr>
      <w:r>
        <w:rPr>
          <w:rFonts w:ascii="Times New Roman" w:hAnsi="Times New Roman"/>
          <w:b/>
          <w:color w:val="111827"/>
          <w:sz w:val="22"/>
        </w:rPr>
        <w:t xml:space="preserve">13. </w:t>
      </w:r>
      <w:r>
        <w:rPr>
          <w:rFonts w:ascii="Times New Roman" w:hAnsi="Times New Roman"/>
          <w:b/>
          <w:color w:val="111827"/>
          <w:sz w:val="22"/>
        </w:rPr>
        <w:t xml:space="preserve">JSON: </w:t>
      </w:r>
      <w:r>
        <w:rPr>
          <w:rFonts w:ascii="Times New Roman" w:hAnsi="Times New Roman"/>
          <w:color w:val="111827"/>
          <w:sz w:val="22"/>
        </w:rPr>
        <w:t>JavaScript Object Notation</w:t>
      </w:r>
    </w:p>
    <w:p>
      <w:pPr>
        <w:spacing w:line="288" w:lineRule="auto" w:before="20" w:after="60"/>
        <w:jc w:val="both"/>
      </w:pPr>
      <w:r>
        <w:rPr>
          <w:rFonts w:ascii="Times New Roman" w:hAnsi="Times New Roman"/>
          <w:b/>
          <w:color w:val="111827"/>
          <w:sz w:val="22"/>
        </w:rPr>
        <w:t xml:space="preserve">14. </w:t>
      </w:r>
      <w:r>
        <w:rPr>
          <w:rFonts w:ascii="Times New Roman" w:hAnsi="Times New Roman"/>
          <w:b/>
          <w:color w:val="111827"/>
          <w:sz w:val="22"/>
        </w:rPr>
        <w:t xml:space="preserve">JSONL: </w:t>
      </w:r>
      <w:r>
        <w:rPr>
          <w:rFonts w:ascii="Times New Roman" w:hAnsi="Times New Roman"/>
          <w:color w:val="111827"/>
          <w:sz w:val="22"/>
        </w:rPr>
        <w:t>JavaScript Object Notation Lines</w:t>
      </w:r>
    </w:p>
    <w:p>
      <w:pPr>
        <w:spacing w:line="288" w:lineRule="auto" w:before="20" w:after="60"/>
        <w:jc w:val="both"/>
      </w:pPr>
      <w:r>
        <w:rPr>
          <w:rFonts w:ascii="Times New Roman" w:hAnsi="Times New Roman"/>
          <w:b/>
          <w:color w:val="111827"/>
          <w:sz w:val="22"/>
        </w:rPr>
        <w:t xml:space="preserve">15. </w:t>
      </w:r>
      <w:r>
        <w:rPr>
          <w:rFonts w:ascii="Times New Roman" w:hAnsi="Times New Roman"/>
          <w:b/>
          <w:color w:val="111827"/>
          <w:sz w:val="22"/>
        </w:rPr>
        <w:t xml:space="preserve">IT Act: </w:t>
      </w:r>
      <w:r>
        <w:rPr>
          <w:rFonts w:ascii="Times New Roman" w:hAnsi="Times New Roman"/>
          <w:color w:val="111827"/>
          <w:sz w:val="22"/>
        </w:rPr>
        <w:t>Information Technology Act, 2000</w:t>
      </w:r>
    </w:p>
    <w:p>
      <w:pPr>
        <w:spacing w:line="288" w:lineRule="auto" w:before="20" w:after="60"/>
        <w:jc w:val="both"/>
      </w:pPr>
      <w:r>
        <w:rPr>
          <w:rFonts w:ascii="Times New Roman" w:hAnsi="Times New Roman"/>
          <w:b/>
          <w:color w:val="111827"/>
          <w:sz w:val="22"/>
        </w:rPr>
        <w:t xml:space="preserve">16. </w:t>
      </w:r>
      <w:r>
        <w:rPr>
          <w:rFonts w:ascii="Times New Roman" w:hAnsi="Times New Roman"/>
          <w:b/>
          <w:color w:val="111827"/>
          <w:sz w:val="22"/>
        </w:rPr>
        <w:t xml:space="preserve">PII: </w:t>
      </w:r>
      <w:r>
        <w:rPr>
          <w:rFonts w:ascii="Times New Roman" w:hAnsi="Times New Roman"/>
          <w:color w:val="111827"/>
          <w:sz w:val="22"/>
        </w:rPr>
        <w:t>Personally Identifiable Information</w:t>
      </w:r>
    </w:p>
    <w:p>
      <w:pPr>
        <w:spacing w:line="288" w:lineRule="auto" w:before="20" w:after="60"/>
        <w:jc w:val="both"/>
      </w:pPr>
      <w:r>
        <w:rPr>
          <w:rFonts w:ascii="Times New Roman" w:hAnsi="Times New Roman"/>
          <w:b/>
          <w:color w:val="111827"/>
          <w:sz w:val="22"/>
        </w:rPr>
        <w:t xml:space="preserve">17. </w:t>
      </w:r>
      <w:r>
        <w:rPr>
          <w:rFonts w:ascii="Times New Roman" w:hAnsi="Times New Roman"/>
          <w:b/>
          <w:color w:val="111827"/>
          <w:sz w:val="22"/>
        </w:rPr>
        <w:t xml:space="preserve">UI: </w:t>
      </w:r>
      <w:r>
        <w:rPr>
          <w:rFonts w:ascii="Times New Roman" w:hAnsi="Times New Roman"/>
          <w:color w:val="111827"/>
          <w:sz w:val="22"/>
        </w:rPr>
        <w:t>User Interface</w:t>
      </w:r>
    </w:p>
    <w:p>
      <w:pPr>
        <w:spacing w:line="288" w:lineRule="auto" w:before="20" w:after="60"/>
        <w:jc w:val="both"/>
      </w:pPr>
      <w:r>
        <w:rPr>
          <w:rFonts w:ascii="Times New Roman" w:hAnsi="Times New Roman"/>
          <w:b/>
          <w:color w:val="111827"/>
          <w:sz w:val="22"/>
        </w:rPr>
        <w:t xml:space="preserve">18. </w:t>
      </w:r>
      <w:r>
        <w:rPr>
          <w:rFonts w:ascii="Times New Roman" w:hAnsi="Times New Roman"/>
          <w:b/>
          <w:color w:val="111827"/>
          <w:sz w:val="22"/>
        </w:rPr>
        <w:t xml:space="preserve">UX: </w:t>
      </w:r>
      <w:r>
        <w:rPr>
          <w:rFonts w:ascii="Times New Roman" w:hAnsi="Times New Roman"/>
          <w:color w:val="111827"/>
          <w:sz w:val="22"/>
        </w:rPr>
        <w:t>User Experience</w:t>
      </w:r>
    </w:p>
    <w:p>
      <w:pPr>
        <w:spacing w:line="288" w:lineRule="auto" w:before="20" w:after="60"/>
        <w:jc w:val="both"/>
      </w:pPr>
      <w:r>
        <w:rPr>
          <w:rFonts w:ascii="Times New Roman" w:hAnsi="Times New Roman"/>
          <w:b/>
          <w:color w:val="111827"/>
          <w:sz w:val="22"/>
        </w:rPr>
        <w:t xml:space="preserve">19. </w:t>
      </w:r>
      <w:r>
        <w:rPr>
          <w:rFonts w:ascii="Times New Roman" w:hAnsi="Times New Roman"/>
          <w:b/>
          <w:color w:val="111827"/>
          <w:sz w:val="22"/>
        </w:rPr>
        <w:t xml:space="preserve">AUC: </w:t>
      </w:r>
      <w:r>
        <w:rPr>
          <w:rFonts w:ascii="Times New Roman" w:hAnsi="Times New Roman"/>
          <w:color w:val="111827"/>
          <w:sz w:val="22"/>
        </w:rPr>
        <w:t>Area Under the ROC Curve</w:t>
      </w:r>
    </w:p>
    <w:p>
      <w:pPr>
        <w:spacing w:line="288" w:lineRule="auto" w:before="20" w:after="60"/>
        <w:jc w:val="both"/>
      </w:pPr>
      <w:r>
        <w:rPr>
          <w:rFonts w:ascii="Times New Roman" w:hAnsi="Times New Roman"/>
          <w:b/>
          <w:color w:val="111827"/>
          <w:sz w:val="22"/>
        </w:rPr>
        <w:t xml:space="preserve">20. </w:t>
      </w:r>
      <w:r>
        <w:rPr>
          <w:rFonts w:ascii="Times New Roman" w:hAnsi="Times New Roman"/>
          <w:b/>
          <w:color w:val="111827"/>
          <w:sz w:val="22"/>
        </w:rPr>
        <w:t xml:space="preserve">ROC: </w:t>
      </w:r>
      <w:r>
        <w:rPr>
          <w:rFonts w:ascii="Times New Roman" w:hAnsi="Times New Roman"/>
          <w:color w:val="111827"/>
          <w:sz w:val="22"/>
        </w:rPr>
        <w:t>Receiver Operating Characteristic</w:t>
      </w:r>
    </w:p>
    <w:p>
      <w:pPr>
        <w:spacing w:line="288" w:lineRule="auto" w:before="20" w:after="60"/>
        <w:jc w:val="both"/>
      </w:pPr>
      <w:r>
        <w:rPr>
          <w:rFonts w:ascii="Times New Roman" w:hAnsi="Times New Roman"/>
          <w:b/>
          <w:color w:val="111827"/>
          <w:sz w:val="22"/>
        </w:rPr>
        <w:t xml:space="preserve">21. </w:t>
      </w:r>
      <w:r>
        <w:rPr>
          <w:rFonts w:ascii="Times New Roman" w:hAnsi="Times New Roman"/>
          <w:b/>
          <w:color w:val="111827"/>
          <w:sz w:val="22"/>
        </w:rPr>
        <w:t xml:space="preserve">F1: </w:t>
      </w:r>
      <w:r>
        <w:rPr>
          <w:rFonts w:ascii="Times New Roman" w:hAnsi="Times New Roman"/>
          <w:color w:val="111827"/>
          <w:sz w:val="22"/>
        </w:rPr>
        <w:t>Harmonic Mean of Precision and Recall</w:t>
      </w:r>
    </w:p>
    <w:p>
      <w:pPr>
        <w:spacing w:line="288" w:lineRule="auto" w:before="20" w:after="60"/>
        <w:jc w:val="both"/>
      </w:pPr>
      <w:r>
        <w:rPr>
          <w:rFonts w:ascii="Times New Roman" w:hAnsi="Times New Roman"/>
          <w:b/>
          <w:color w:val="111827"/>
          <w:sz w:val="22"/>
        </w:rPr>
        <w:t xml:space="preserve">22. </w:t>
      </w:r>
      <w:r>
        <w:rPr>
          <w:rFonts w:ascii="Times New Roman" w:hAnsi="Times New Roman"/>
          <w:b/>
          <w:color w:val="111827"/>
          <w:sz w:val="22"/>
        </w:rPr>
        <w:t xml:space="preserve">SQL: </w:t>
      </w:r>
      <w:r>
        <w:rPr>
          <w:rFonts w:ascii="Times New Roman" w:hAnsi="Times New Roman"/>
          <w:color w:val="111827"/>
          <w:sz w:val="22"/>
        </w:rPr>
        <w:t>Structured Query Language</w:t>
      </w:r>
    </w:p>
    <w:p>
      <w:pPr>
        <w:spacing w:line="288" w:lineRule="auto" w:before="20" w:after="60"/>
        <w:jc w:val="both"/>
      </w:pPr>
      <w:r>
        <w:rPr>
          <w:rFonts w:ascii="Times New Roman" w:hAnsi="Times New Roman"/>
          <w:b/>
          <w:color w:val="111827"/>
          <w:sz w:val="22"/>
        </w:rPr>
        <w:t xml:space="preserve">23. </w:t>
      </w:r>
      <w:r>
        <w:rPr>
          <w:rFonts w:ascii="Times New Roman" w:hAnsi="Times New Roman"/>
          <w:b/>
          <w:color w:val="111827"/>
          <w:sz w:val="22"/>
        </w:rPr>
        <w:t xml:space="preserve">TCET: </w:t>
      </w:r>
      <w:r>
        <w:rPr>
          <w:rFonts w:ascii="Times New Roman" w:hAnsi="Times New Roman"/>
          <w:color w:val="111827"/>
          <w:sz w:val="22"/>
        </w:rPr>
        <w:t>Thakur College of Engineering &amp; Technology</w:t>
      </w:r>
    </w:p>
    <w:p>
      <w:pPr>
        <w:spacing w:line="288" w:lineRule="auto" w:before="20" w:after="60"/>
        <w:jc w:val="both"/>
      </w:pPr>
      <w:r>
        <w:rPr>
          <w:rFonts w:ascii="Times New Roman" w:hAnsi="Times New Roman"/>
          <w:b/>
          <w:color w:val="111827"/>
          <w:sz w:val="22"/>
        </w:rPr>
        <w:t xml:space="preserve">24. </w:t>
      </w:r>
      <w:r>
        <w:rPr>
          <w:rFonts w:ascii="Times New Roman" w:hAnsi="Times New Roman"/>
          <w:b/>
          <w:color w:val="111827"/>
          <w:sz w:val="22"/>
        </w:rPr>
        <w:t xml:space="preserve">UoM: </w:t>
      </w:r>
      <w:r>
        <w:rPr>
          <w:rFonts w:ascii="Times New Roman" w:hAnsi="Times New Roman"/>
          <w:color w:val="111827"/>
          <w:sz w:val="22"/>
        </w:rPr>
        <w:t>University of Mumbai</w:t>
      </w:r>
    </w:p>
    <w:p>
      <w:pPr>
        <w:spacing w:line="288" w:lineRule="auto" w:before="20" w:after="60"/>
        <w:jc w:val="both"/>
      </w:pPr>
      <w:r>
        <w:rPr>
          <w:rFonts w:ascii="Times New Roman" w:hAnsi="Times New Roman"/>
          <w:b/>
          <w:color w:val="111827"/>
          <w:sz w:val="22"/>
        </w:rPr>
        <w:t xml:space="preserve">25. </w:t>
      </w:r>
      <w:r>
        <w:rPr>
          <w:rFonts w:ascii="Times New Roman" w:hAnsi="Times New Roman"/>
          <w:b/>
          <w:color w:val="111827"/>
          <w:sz w:val="22"/>
        </w:rPr>
        <w:t xml:space="preserve">AICTE: </w:t>
      </w:r>
      <w:r>
        <w:rPr>
          <w:rFonts w:ascii="Times New Roman" w:hAnsi="Times New Roman"/>
          <w:color w:val="111827"/>
          <w:sz w:val="22"/>
        </w:rPr>
        <w:t>All India Council for Technical Education</w:t>
      </w:r>
    </w:p>
    <w:p>
      <w:r>
        <w:br w:type="page"/>
      </w:r>
    </w:p>
    <w:p>
      <w:pPr>
        <w:jc w:val="center"/>
      </w:pPr>
      <w:r>
        <w:rPr>
          <w:rFonts w:ascii="Times New Roman" w:hAnsi="Times New Roman"/>
          <w:color w:val="555555"/>
          <w:sz w:val="22"/>
        </w:rPr>
        <w:t>13</w:t>
      </w:r>
    </w:p>
    <w:p>
      <w:pPr>
        <w:spacing w:before="0" w:after="80"/>
        <w:jc w:val="center"/>
      </w:pPr>
      <w:r>
        <w:rPr>
          <w:rFonts w:ascii="Times New Roman" w:hAnsi="Times New Roman"/>
          <w:b/>
          <w:color w:val="1F4E79"/>
          <w:sz w:val="28"/>
        </w:rPr>
        <w:t>APPENDIX B</w:t>
      </w:r>
    </w:p>
    <w:p>
      <w:pPr>
        <w:spacing w:before="0" w:after="280"/>
        <w:jc w:val="center"/>
      </w:pPr>
      <w:r>
        <w:rPr>
          <w:rFonts w:ascii="Times New Roman" w:hAnsi="Times New Roman"/>
          <w:b/>
          <w:color w:val="2E5B88"/>
          <w:sz w:val="26"/>
        </w:rPr>
        <w:t>Definitions</w:t>
      </w:r>
    </w:p>
    <w:p>
      <w:pPr>
        <w:spacing w:line="288" w:lineRule="auto" w:before="20" w:after="60"/>
        <w:jc w:val="both"/>
      </w:pPr>
      <w:r>
        <w:rPr>
          <w:rFonts w:ascii="Times New Roman" w:hAnsi="Times New Roman"/>
          <w:b/>
          <w:color w:val="111827"/>
          <w:sz w:val="22"/>
        </w:rPr>
        <w:t xml:space="preserve">26. </w:t>
      </w:r>
      <w:r>
        <w:rPr>
          <w:rFonts w:ascii="Times New Roman" w:hAnsi="Times New Roman"/>
          <w:b/>
          <w:color w:val="111827"/>
          <w:sz w:val="22"/>
        </w:rPr>
        <w:t xml:space="preserve">Legal Hallucination: </w:t>
      </w:r>
      <w:r>
        <w:rPr>
          <w:rFonts w:ascii="Times New Roman" w:hAnsi="Times New Roman"/>
          <w:color w:val="111827"/>
          <w:sz w:val="22"/>
        </w:rPr>
        <w:t>The generation of fabricated, inaccurate, or ungrounded assertions by an AI model, including non-existent statutory sections, fictitious case citations, or misrepresented legal holdings.</w:t>
      </w:r>
    </w:p>
    <w:p>
      <w:pPr>
        <w:spacing w:line="288" w:lineRule="auto" w:before="20" w:after="60"/>
        <w:jc w:val="both"/>
      </w:pPr>
      <w:r>
        <w:rPr>
          <w:rFonts w:ascii="Times New Roman" w:hAnsi="Times New Roman"/>
          <w:b/>
          <w:color w:val="111827"/>
          <w:sz w:val="22"/>
        </w:rPr>
        <w:t xml:space="preserve">27. </w:t>
      </w:r>
      <w:r>
        <w:rPr>
          <w:rFonts w:ascii="Times New Roman" w:hAnsi="Times New Roman"/>
          <w:b/>
          <w:color w:val="111827"/>
          <w:sz w:val="22"/>
        </w:rPr>
        <w:t xml:space="preserve">Atomic Claim Decomposition: </w:t>
      </w:r>
      <w:r>
        <w:rPr>
          <w:rFonts w:ascii="Times New Roman" w:hAnsi="Times New Roman"/>
          <w:color w:val="111827"/>
          <w:sz w:val="22"/>
        </w:rPr>
        <w:t>The systematic process of deconstructing complex, multi-sentence legal text into standalone, single-fact assertions that can be independently evaluated for factual truth.</w:t>
      </w:r>
    </w:p>
    <w:p>
      <w:pPr>
        <w:spacing w:line="288" w:lineRule="auto" w:before="20" w:after="60"/>
        <w:jc w:val="both"/>
      </w:pPr>
      <w:r>
        <w:rPr>
          <w:rFonts w:ascii="Times New Roman" w:hAnsi="Times New Roman"/>
          <w:b/>
          <w:color w:val="111827"/>
          <w:sz w:val="22"/>
        </w:rPr>
        <w:t xml:space="preserve">28. </w:t>
      </w:r>
      <w:r>
        <w:rPr>
          <w:rFonts w:ascii="Times New Roman" w:hAnsi="Times New Roman"/>
          <w:b/>
          <w:color w:val="111827"/>
          <w:sz w:val="22"/>
        </w:rPr>
        <w:t xml:space="preserve">Knowledge Base Grounding: </w:t>
      </w:r>
      <w:r>
        <w:rPr>
          <w:rFonts w:ascii="Times New Roman" w:hAnsi="Times New Roman"/>
          <w:color w:val="111827"/>
          <w:sz w:val="22"/>
        </w:rPr>
        <w:t>The deterministic verification of an extracted claim by comparing its semantic representation against verified statutory and case law text stored in an indexed repository.</w:t>
      </w:r>
    </w:p>
    <w:p>
      <w:pPr>
        <w:spacing w:line="288" w:lineRule="auto" w:before="20" w:after="60"/>
        <w:jc w:val="both"/>
      </w:pPr>
      <w:r>
        <w:rPr>
          <w:rFonts w:ascii="Times New Roman" w:hAnsi="Times New Roman"/>
          <w:b/>
          <w:color w:val="111827"/>
          <w:sz w:val="22"/>
        </w:rPr>
        <w:t xml:space="preserve">29. </w:t>
      </w:r>
      <w:r>
        <w:rPr>
          <w:rFonts w:ascii="Times New Roman" w:hAnsi="Times New Roman"/>
          <w:b/>
          <w:color w:val="111827"/>
          <w:sz w:val="22"/>
        </w:rPr>
        <w:t xml:space="preserve">Natural Language Inference (NLI): </w:t>
      </w:r>
      <w:r>
        <w:rPr>
          <w:rFonts w:ascii="Times New Roman" w:hAnsi="Times New Roman"/>
          <w:color w:val="111827"/>
          <w:sz w:val="22"/>
        </w:rPr>
        <w:t>A computational task that determines whether a given hypothesis (extracted claim) is logically entailed by, contradictory to, or neutral with respect to a provided premise (statutory evidence).</w:t>
      </w:r>
    </w:p>
    <w:p>
      <w:pPr>
        <w:spacing w:line="288" w:lineRule="auto" w:before="20" w:after="60"/>
        <w:jc w:val="both"/>
      </w:pPr>
      <w:r>
        <w:rPr>
          <w:rFonts w:ascii="Times New Roman" w:hAnsi="Times New Roman"/>
          <w:b/>
          <w:color w:val="111827"/>
          <w:sz w:val="22"/>
        </w:rPr>
        <w:t xml:space="preserve">30. </w:t>
      </w:r>
      <w:r>
        <w:rPr>
          <w:rFonts w:ascii="Times New Roman" w:hAnsi="Times New Roman"/>
          <w:b/>
          <w:color w:val="111827"/>
          <w:sz w:val="22"/>
        </w:rPr>
        <w:t xml:space="preserve">LLM-as-a-Judge: </w:t>
      </w:r>
      <w:r>
        <w:rPr>
          <w:rFonts w:ascii="Times New Roman" w:hAnsi="Times New Roman"/>
          <w:color w:val="111827"/>
          <w:sz w:val="22"/>
        </w:rPr>
        <w:t>A paradigm where a zero-shot or few-shot prompted Large Language Model evaluates the factual alignment and entailment between candidate claims and reference evidence.</w:t>
      </w:r>
    </w:p>
    <w:p>
      <w:pPr>
        <w:spacing w:line="288" w:lineRule="auto" w:before="20" w:after="60"/>
        <w:jc w:val="both"/>
      </w:pPr>
      <w:r>
        <w:rPr>
          <w:rFonts w:ascii="Times New Roman" w:hAnsi="Times New Roman"/>
          <w:b/>
          <w:color w:val="111827"/>
          <w:sz w:val="22"/>
        </w:rPr>
        <w:t xml:space="preserve">31. </w:t>
      </w:r>
      <w:r>
        <w:rPr>
          <w:rFonts w:ascii="Times New Roman" w:hAnsi="Times New Roman"/>
          <w:b/>
          <w:color w:val="111827"/>
          <w:sz w:val="22"/>
        </w:rPr>
        <w:t xml:space="preserve">Trust Index (TI): </w:t>
      </w:r>
      <w:r>
        <w:rPr>
          <w:rFonts w:ascii="Times New Roman" w:hAnsi="Times New Roman"/>
          <w:color w:val="111827"/>
          <w:sz w:val="22"/>
        </w:rPr>
        <w:t>A normalized quantitative metric (ranging from 0.0 to 1.0) indicating the overall reliability of an input text, computed from the weighted aggregation of its constituent claim verdicts.</w:t>
      </w:r>
    </w:p>
    <w:p>
      <w:pPr>
        <w:spacing w:line="288" w:lineRule="auto" w:before="20" w:after="60"/>
        <w:jc w:val="both"/>
      </w:pPr>
      <w:r>
        <w:rPr>
          <w:rFonts w:ascii="Times New Roman" w:hAnsi="Times New Roman"/>
          <w:b/>
          <w:color w:val="111827"/>
          <w:sz w:val="22"/>
        </w:rPr>
        <w:t xml:space="preserve">32. </w:t>
      </w:r>
      <w:r>
        <w:rPr>
          <w:rFonts w:ascii="Times New Roman" w:hAnsi="Times New Roman"/>
          <w:b/>
          <w:color w:val="111827"/>
          <w:sz w:val="22"/>
        </w:rPr>
        <w:t xml:space="preserve">Vector Retrieval: </w:t>
      </w:r>
      <w:r>
        <w:rPr>
          <w:rFonts w:ascii="Times New Roman" w:hAnsi="Times New Roman"/>
          <w:color w:val="111827"/>
          <w:sz w:val="22"/>
        </w:rPr>
        <w:t>An information retrieval technique using dense vector embeddings (generated by transformer models) to measure cosine similarity between query text and knowledge base documents.</w:t>
      </w:r>
    </w:p>
    <w:p>
      <w:pPr>
        <w:spacing w:line="288" w:lineRule="auto" w:before="20" w:after="60"/>
        <w:jc w:val="both"/>
      </w:pPr>
      <w:r>
        <w:rPr>
          <w:rFonts w:ascii="Times New Roman" w:hAnsi="Times New Roman"/>
          <w:b/>
          <w:color w:val="111827"/>
          <w:sz w:val="22"/>
        </w:rPr>
        <w:t xml:space="preserve">33. </w:t>
      </w:r>
      <w:r>
        <w:rPr>
          <w:rFonts w:ascii="Times New Roman" w:hAnsi="Times New Roman"/>
          <w:b/>
          <w:color w:val="111827"/>
          <w:sz w:val="22"/>
        </w:rPr>
        <w:t xml:space="preserve">Fallback Web Search: </w:t>
      </w:r>
      <w:r>
        <w:rPr>
          <w:rFonts w:ascii="Times New Roman" w:hAnsi="Times New Roman"/>
          <w:color w:val="111827"/>
          <w:sz w:val="22"/>
        </w:rPr>
        <w:t>An auxiliary retrieval pipeline that queries external legal databases and search engines when a candidate claim is missing from the local static knowledge base.</w:t>
      </w:r>
    </w:p>
    <w:p>
      <w:pPr>
        <w:spacing w:line="288" w:lineRule="auto" w:before="20" w:after="60"/>
        <w:jc w:val="both"/>
      </w:pPr>
      <w:r>
        <w:rPr>
          <w:rFonts w:ascii="Times New Roman" w:hAnsi="Times New Roman"/>
          <w:b/>
          <w:color w:val="111827"/>
          <w:sz w:val="22"/>
        </w:rPr>
        <w:t xml:space="preserve">34. </w:t>
      </w:r>
      <w:r>
        <w:rPr>
          <w:rFonts w:ascii="Times New Roman" w:hAnsi="Times New Roman"/>
          <w:b/>
          <w:color w:val="111827"/>
          <w:sz w:val="22"/>
        </w:rPr>
        <w:t xml:space="preserve">Metamorphic Consistency: </w:t>
      </w:r>
      <w:r>
        <w:rPr>
          <w:rFonts w:ascii="Times New Roman" w:hAnsi="Times New Roman"/>
          <w:color w:val="111827"/>
          <w:sz w:val="22"/>
        </w:rPr>
        <w:t>A software testing and validation methodology that verifies whether an AI model maintains logical and factual consistency under semantic perturbations and transformations.</w:t>
      </w:r>
    </w:p>
    <w:p>
      <w:r>
        <w:br w:type="page"/>
      </w:r>
    </w:p>
    <w:p>
      <w:pPr>
        <w:jc w:val="center"/>
      </w:pPr>
      <w:r>
        <w:rPr>
          <w:rFonts w:ascii="Times New Roman" w:hAnsi="Times New Roman"/>
          <w:color w:val="555555"/>
          <w:sz w:val="22"/>
        </w:rPr>
        <w:t>14</w:t>
      </w:r>
    </w:p>
    <w:p>
      <w:pPr>
        <w:spacing w:before="0" w:after="80"/>
        <w:jc w:val="center"/>
      </w:pPr>
      <w:r>
        <w:rPr>
          <w:rFonts w:ascii="Times New Roman" w:hAnsi="Times New Roman"/>
          <w:b/>
          <w:color w:val="1F4E79"/>
          <w:sz w:val="28"/>
        </w:rPr>
        <w:t>APPENDIX C</w:t>
      </w:r>
    </w:p>
    <w:p>
      <w:pPr>
        <w:spacing w:before="0" w:after="280"/>
        <w:jc w:val="center"/>
      </w:pPr>
      <w:r>
        <w:rPr>
          <w:rFonts w:ascii="Times New Roman" w:hAnsi="Times New Roman"/>
          <w:b/>
          <w:color w:val="2E5B88"/>
          <w:sz w:val="26"/>
        </w:rPr>
        <w:t>List of Publications</w:t>
      </w:r>
    </w:p>
    <w:p>
      <w:pPr>
        <w:spacing w:line="300" w:lineRule="auto" w:before="0" w:after="100"/>
        <w:jc w:val="both"/>
      </w:pPr>
      <w:r>
        <w:rPr>
          <w:rFonts w:ascii="Times New Roman" w:hAnsi="Times New Roman"/>
          <w:color w:val="111827"/>
          <w:sz w:val="22"/>
        </w:rPr>
        <w:t>[1] Gayatri Bhosale, Niyati Patel, Paarth Agarwal, and Project Supervisor, “LexGuard: A Multi-Stage Pipeline for Legal LLM Hallucination Detection and Factual Grounding,” paper submitted to Multicon 2026 [add conference/journal details, volume, page numbers, and DOI upon publication].</w:t>
      </w:r>
    </w:p>
    <w:p>
      <w:pPr>
        <w:spacing w:line="300" w:lineRule="auto" w:before="0" w:after="100"/>
        <w:jc w:val="both"/>
      </w:pPr>
      <w:r>
        <w:rPr>
          <w:rFonts w:ascii="Times New Roman" w:hAnsi="Times New Roman"/>
          <w:color w:val="111827"/>
          <w:sz w:val="22"/>
        </w:rPr>
        <w:t>The originality of the manuscript was verified through the department's Turnitin account prior to submission (Submission ID: trn:oid:::3618:140292811), returning an overall similarity of 2%. The corresponding plagiarism report is attached in Appendix D.</w:t>
      </w:r>
    </w:p>
    <w:p>
      <w:r>
        <w:br w:type="page"/>
      </w:r>
    </w:p>
    <w:p>
      <w:pPr>
        <w:jc w:val="center"/>
      </w:pPr>
      <w:r>
        <w:rPr>
          <w:rFonts w:ascii="Times New Roman" w:hAnsi="Times New Roman"/>
          <w:color w:val="555555"/>
          <w:sz w:val="22"/>
        </w:rPr>
        <w:t>15</w:t>
      </w:r>
    </w:p>
    <w:p>
      <w:pPr>
        <w:spacing w:before="0" w:after="80"/>
        <w:jc w:val="center"/>
      </w:pPr>
      <w:r>
        <w:rPr>
          <w:rFonts w:ascii="Times New Roman" w:hAnsi="Times New Roman"/>
          <w:b/>
          <w:color w:val="1F4E79"/>
          <w:sz w:val="28"/>
        </w:rPr>
        <w:t>APPENDIX D</w:t>
      </w:r>
    </w:p>
    <w:p>
      <w:pPr>
        <w:spacing w:before="0" w:after="280"/>
        <w:jc w:val="center"/>
      </w:pPr>
      <w:r>
        <w:rPr>
          <w:rFonts w:ascii="Times New Roman" w:hAnsi="Times New Roman"/>
          <w:b/>
          <w:color w:val="2E5B88"/>
          <w:sz w:val="26"/>
        </w:rPr>
        <w:t>Plagiarism Report</w:t>
      </w:r>
    </w:p>
    <w:p>
      <w:pPr>
        <w:spacing w:line="300" w:lineRule="auto" w:before="0" w:after="100"/>
        <w:jc w:val="both"/>
      </w:pPr>
      <w:r>
        <w:rPr>
          <w:rFonts w:ascii="Times New Roman" w:hAnsi="Times New Roman"/>
          <w:color w:val="111827"/>
          <w:sz w:val="22"/>
        </w:rPr>
        <w:t>The following pages reproduce the Turnitin originality report generated from the department's Turnitin account for the paper “LexGuard: A Multi-Stage Pipeline for Legal LLM Hallucination Detection and Factual Grounding,” confirming an overall similarity of 2% with no integrity flags raised for review.</w:t>
      </w:r>
    </w:p>
    <w:p>
      <w:pPr>
        <w:spacing w:before="240" w:after="80"/>
      </w:pPr>
      <w:r>
        <w:rPr>
          <w:rFonts w:ascii="Times New Roman" w:hAnsi="Times New Roman"/>
          <w:b/>
          <w:sz w:val="22"/>
        </w:rPr>
        <w:t>Turnitin Originality Report Summary:</w:t>
      </w:r>
    </w:p>
    <w:p>
      <w:pPr>
        <w:pStyle w:val="ListBullet"/>
        <w:spacing w:line="288" w:lineRule="auto" w:before="20" w:after="60"/>
        <w:jc w:val="both"/>
      </w:pPr>
      <w:r>
        <w:rPr>
          <w:rFonts w:ascii="Times New Roman" w:hAnsi="Times New Roman"/>
          <w:b/>
          <w:color w:val="111827"/>
          <w:sz w:val="22"/>
        </w:rPr>
        <w:t xml:space="preserve">Submission ID: </w:t>
      </w:r>
      <w:r>
        <w:rPr>
          <w:rFonts w:ascii="Times New Roman" w:hAnsi="Times New Roman"/>
          <w:color w:val="111827"/>
          <w:sz w:val="22"/>
        </w:rPr>
        <w:t>trn:oid:::3618:140292811</w:t>
      </w:r>
    </w:p>
    <w:p>
      <w:pPr>
        <w:pStyle w:val="ListBullet"/>
        <w:spacing w:line="288" w:lineRule="auto" w:before="20" w:after="60"/>
        <w:jc w:val="both"/>
      </w:pPr>
      <w:r>
        <w:rPr>
          <w:rFonts w:ascii="Times New Roman" w:hAnsi="Times New Roman"/>
          <w:b/>
          <w:color w:val="111827"/>
          <w:sz w:val="22"/>
        </w:rPr>
        <w:t xml:space="preserve">Submission Date: </w:t>
      </w:r>
      <w:r>
        <w:rPr>
          <w:rFonts w:ascii="Times New Roman" w:hAnsi="Times New Roman"/>
          <w:color w:val="111827"/>
          <w:sz w:val="22"/>
        </w:rPr>
        <w:t>March 2026</w:t>
      </w:r>
    </w:p>
    <w:p>
      <w:pPr>
        <w:pStyle w:val="ListBullet"/>
        <w:spacing w:line="288" w:lineRule="auto" w:before="20" w:after="60"/>
        <w:jc w:val="both"/>
      </w:pPr>
      <w:r>
        <w:rPr>
          <w:rFonts w:ascii="Times New Roman" w:hAnsi="Times New Roman"/>
          <w:b/>
          <w:color w:val="111827"/>
          <w:sz w:val="22"/>
        </w:rPr>
        <w:t xml:space="preserve">Word Count: </w:t>
      </w:r>
      <w:r>
        <w:rPr>
          <w:rFonts w:ascii="Times New Roman" w:hAnsi="Times New Roman"/>
          <w:color w:val="111827"/>
          <w:sz w:val="22"/>
        </w:rPr>
        <w:t>3,840 Words</w:t>
      </w:r>
    </w:p>
    <w:p>
      <w:pPr>
        <w:pStyle w:val="ListBullet"/>
        <w:spacing w:line="288" w:lineRule="auto" w:before="20" w:after="60"/>
        <w:jc w:val="both"/>
      </w:pPr>
      <w:r>
        <w:rPr>
          <w:rFonts w:ascii="Times New Roman" w:hAnsi="Times New Roman"/>
          <w:b/>
          <w:color w:val="111827"/>
          <w:sz w:val="22"/>
        </w:rPr>
        <w:t xml:space="preserve">Character Count: </w:t>
      </w:r>
      <w:r>
        <w:rPr>
          <w:rFonts w:ascii="Times New Roman" w:hAnsi="Times New Roman"/>
          <w:color w:val="111827"/>
          <w:sz w:val="22"/>
        </w:rPr>
        <w:t>19,250 Characters</w:t>
      </w:r>
    </w:p>
    <w:p>
      <w:pPr>
        <w:pStyle w:val="ListBullet"/>
        <w:spacing w:line="288" w:lineRule="auto" w:before="20" w:after="60"/>
        <w:jc w:val="both"/>
      </w:pPr>
      <w:r>
        <w:rPr>
          <w:rFonts w:ascii="Times New Roman" w:hAnsi="Times New Roman"/>
          <w:b/>
          <w:color w:val="111827"/>
          <w:sz w:val="22"/>
        </w:rPr>
        <w:t xml:space="preserve">File Name: </w:t>
      </w:r>
      <w:r>
        <w:rPr>
          <w:rFonts w:ascii="Times New Roman" w:hAnsi="Times New Roman"/>
          <w:color w:val="111827"/>
          <w:sz w:val="22"/>
        </w:rPr>
        <w:t>LexGuard_Multicon_Paper.pdf</w:t>
      </w:r>
    </w:p>
    <w:p>
      <w:r>
        <w:br w:type="page"/>
      </w:r>
    </w:p>
    <w:p>
      <w:pPr>
        <w:jc w:val="center"/>
      </w:pPr>
      <w:r>
        <w:rPr>
          <w:rFonts w:ascii="Times New Roman" w:hAnsi="Times New Roman"/>
          <w:color w:val="555555"/>
          <w:sz w:val="22"/>
        </w:rPr>
        <w:t>16</w:t>
      </w:r>
    </w:p>
    <w:p>
      <w:pPr>
        <w:spacing w:before="160" w:after="120"/>
      </w:pPr>
      <w:r>
        <w:rPr>
          <w:rFonts w:ascii="Times New Roman" w:hAnsi="Times New Roman"/>
          <w:b/>
          <w:color w:val="1F4E79"/>
          <w:sz w:val="26"/>
        </w:rPr>
        <w:t>2% Overall Similarity</w:t>
      </w:r>
    </w:p>
    <w:p>
      <w:pPr>
        <w:spacing w:line="300" w:lineRule="auto" w:before="0" w:after="100"/>
        <w:jc w:val="both"/>
      </w:pPr>
      <w:r>
        <w:rPr>
          <w:rFonts w:ascii="Times New Roman" w:hAnsi="Times New Roman"/>
          <w:color w:val="111827"/>
          <w:sz w:val="22"/>
        </w:rPr>
        <w:t>The combined total of all matches including overlapping sources, for each database:</w:t>
      </w:r>
    </w:p>
    <w:p>
      <w:pPr>
        <w:spacing w:before="80" w:after="40"/>
      </w:pPr>
      <w:r>
        <w:rPr>
          <w:rFonts w:ascii="Times New Roman" w:hAnsi="Times New Roman"/>
          <w:b/>
          <w:sz w:val="21"/>
        </w:rPr>
        <w:t>Filtered from the Report:</w:t>
      </w:r>
    </w:p>
    <w:p>
      <w:pPr>
        <w:pStyle w:val="ListBullet"/>
        <w:spacing w:line="288" w:lineRule="auto" w:before="20" w:after="60"/>
        <w:jc w:val="both"/>
      </w:pPr>
      <w:r>
        <w:rPr>
          <w:rFonts w:ascii="Times New Roman" w:hAnsi="Times New Roman"/>
          <w:b/>
          <w:color w:val="111827"/>
          <w:sz w:val="22"/>
        </w:rPr>
        <w:t xml:space="preserve">Bibliography: </w:t>
      </w:r>
      <w:r>
        <w:rPr>
          <w:rFonts w:ascii="Times New Roman" w:hAnsi="Times New Roman"/>
          <w:color w:val="111827"/>
          <w:sz w:val="22"/>
        </w:rPr>
        <w:t>Excluded from matching</w:t>
      </w:r>
    </w:p>
    <w:p>
      <w:pPr>
        <w:pStyle w:val="ListBullet"/>
        <w:spacing w:line="288" w:lineRule="auto" w:before="20" w:after="60"/>
        <w:jc w:val="both"/>
      </w:pPr>
      <w:r>
        <w:rPr>
          <w:rFonts w:ascii="Times New Roman" w:hAnsi="Times New Roman"/>
          <w:b/>
          <w:color w:val="111827"/>
          <w:sz w:val="22"/>
        </w:rPr>
        <w:t xml:space="preserve">Quoted Material: </w:t>
      </w:r>
      <w:r>
        <w:rPr>
          <w:rFonts w:ascii="Times New Roman" w:hAnsi="Times New Roman"/>
          <w:color w:val="111827"/>
          <w:sz w:val="22"/>
        </w:rPr>
        <w:t>Excluded from matching (&lt; 1% threshold)</w:t>
      </w:r>
    </w:p>
    <w:p>
      <w:pPr>
        <w:spacing w:before="160" w:after="40"/>
      </w:pPr>
      <w:r>
        <w:rPr>
          <w:rFonts w:ascii="Times New Roman" w:hAnsi="Times New Roman"/>
          <w:b/>
          <w:sz w:val="21"/>
        </w:rPr>
        <w:t>Top Sources Breakdown:</w:t>
      </w:r>
    </w:p>
    <w:p>
      <w:pPr>
        <w:pStyle w:val="ListBullet"/>
        <w:spacing w:line="288" w:lineRule="auto" w:before="20" w:after="60"/>
        <w:jc w:val="both"/>
      </w:pPr>
      <w:r>
        <w:rPr>
          <w:rFonts w:ascii="Times New Roman" w:hAnsi="Times New Roman"/>
          <w:b/>
          <w:color w:val="111827"/>
          <w:sz w:val="22"/>
        </w:rPr>
        <w:t xml:space="preserve">Internet Sources: </w:t>
      </w:r>
      <w:r>
        <w:rPr>
          <w:rFonts w:ascii="Times New Roman" w:hAnsi="Times New Roman"/>
          <w:color w:val="111827"/>
          <w:sz w:val="22"/>
        </w:rPr>
        <w:t>0%</w:t>
      </w:r>
    </w:p>
    <w:p>
      <w:pPr>
        <w:pStyle w:val="ListBullet"/>
        <w:spacing w:line="288" w:lineRule="auto" w:before="20" w:after="60"/>
        <w:jc w:val="both"/>
      </w:pPr>
      <w:r>
        <w:rPr>
          <w:rFonts w:ascii="Times New Roman" w:hAnsi="Times New Roman"/>
          <w:b/>
          <w:color w:val="111827"/>
          <w:sz w:val="22"/>
        </w:rPr>
        <w:t xml:space="preserve">Publications: </w:t>
      </w:r>
      <w:r>
        <w:rPr>
          <w:rFonts w:ascii="Times New Roman" w:hAnsi="Times New Roman"/>
          <w:color w:val="111827"/>
          <w:sz w:val="22"/>
        </w:rPr>
        <w:t>0%</w:t>
      </w:r>
    </w:p>
    <w:p>
      <w:pPr>
        <w:pStyle w:val="ListBullet"/>
        <w:spacing w:line="288" w:lineRule="auto" w:before="20" w:after="60"/>
        <w:jc w:val="both"/>
      </w:pPr>
      <w:r>
        <w:rPr>
          <w:rFonts w:ascii="Times New Roman" w:hAnsi="Times New Roman"/>
          <w:b/>
          <w:color w:val="111827"/>
          <w:sz w:val="22"/>
        </w:rPr>
        <w:t xml:space="preserve">Submitted Works (Student Papers): </w:t>
      </w:r>
      <w:r>
        <w:rPr>
          <w:rFonts w:ascii="Times New Roman" w:hAnsi="Times New Roman"/>
          <w:color w:val="111827"/>
          <w:sz w:val="22"/>
        </w:rPr>
        <w:t>2%</w:t>
      </w:r>
    </w:p>
    <w:p>
      <w:pPr>
        <w:spacing w:before="240" w:after="40"/>
      </w:pPr>
      <w:r>
        <w:rPr>
          <w:rFonts w:ascii="Times New Roman" w:hAnsi="Times New Roman"/>
          <w:b/>
          <w:sz w:val="21"/>
        </w:rPr>
        <w:t>Integrity Flags:</w:t>
      </w:r>
    </w:p>
    <w:p>
      <w:pPr>
        <w:spacing w:line="300" w:lineRule="auto" w:before="0" w:after="100"/>
        <w:jc w:val="both"/>
      </w:pPr>
      <w:r>
        <w:rPr>
          <w:rFonts w:ascii="Times New Roman" w:hAnsi="Times New Roman"/>
          <w:color w:val="111827"/>
          <w:sz w:val="22"/>
        </w:rPr>
        <w:t>0 Integrity Flags for Review. Our system's algorithms look deeply at a document for any inconsistencies that would set it apart from a normal submission. No flags were identified.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