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6A108" w14:textId="77777777" w:rsidR="00FC607E" w:rsidRDefault="00000000">
      <w:pPr>
        <w:jc w:val="center"/>
      </w:pPr>
      <w:r>
        <w:rPr>
          <w:rFonts w:ascii="Times New Roman" w:hAnsi="Times New Roman"/>
          <w:color w:val="555555"/>
        </w:rPr>
        <w:t>1</w:t>
      </w:r>
    </w:p>
    <w:p w14:paraId="2B7CA1F3" w14:textId="77777777" w:rsidR="00FC607E" w:rsidRDefault="00000000">
      <w:pPr>
        <w:spacing w:after="80"/>
        <w:jc w:val="center"/>
      </w:pPr>
      <w:r>
        <w:rPr>
          <w:rFonts w:ascii="Times New Roman" w:hAnsi="Times New Roman"/>
          <w:b/>
          <w:color w:val="1F4E79"/>
          <w:sz w:val="28"/>
        </w:rPr>
        <w:t>CHAPTER 4</w:t>
      </w:r>
    </w:p>
    <w:p w14:paraId="675DAC6F" w14:textId="77777777" w:rsidR="00FC607E" w:rsidRDefault="00000000">
      <w:pPr>
        <w:spacing w:after="320"/>
        <w:jc w:val="center"/>
      </w:pPr>
      <w:r>
        <w:rPr>
          <w:rFonts w:ascii="Times New Roman" w:hAnsi="Times New Roman"/>
          <w:b/>
          <w:color w:val="2E5B88"/>
          <w:sz w:val="28"/>
        </w:rPr>
        <w:t>SYSTEM DESIGN AND EXPERIMENTAL SET UP</w:t>
      </w:r>
    </w:p>
    <w:p w14:paraId="0FAD1144" w14:textId="77777777" w:rsidR="00FC607E" w:rsidRDefault="00000000">
      <w:pPr>
        <w:spacing w:before="240" w:after="80"/>
      </w:pPr>
      <w:r>
        <w:rPr>
          <w:rFonts w:ascii="Times New Roman" w:hAnsi="Times New Roman"/>
          <w:b/>
          <w:color w:val="2E5B88"/>
          <w:sz w:val="24"/>
        </w:rPr>
        <w:t>4.1 System Architecture &amp; Diagrams</w:t>
      </w:r>
    </w:p>
    <w:p w14:paraId="7D7C299A" w14:textId="77777777" w:rsidR="00FC607E" w:rsidRDefault="00000000">
      <w:pPr>
        <w:spacing w:after="120" w:line="312" w:lineRule="auto"/>
        <w:jc w:val="both"/>
      </w:pPr>
      <w:r>
        <w:rPr>
          <w:rFonts w:ascii="Times New Roman" w:hAnsi="Times New Roman"/>
          <w:color w:val="111827"/>
        </w:rPr>
        <w:t>The overall design of LexGuard follows a multi-tier, explainability-first architecture designed to audit and verify legal claims generated by Large Language Models. Client-facing applications submit generated text via Python and TypeScript SDKs through an API Gateway, which coordinates request validation and claim extraction. The extracted assertions are verified across a Knowledge Layer (FAISS vector indices, statutory databases, and web search fallback) by a Verification Engine implementing Natural Language Inference (NLI) and trust scoring. All transaction telemetry is logged to an Analytics Layer. Figure 4.1 illustrates this multi-layer conceptual framework.</w:t>
      </w:r>
    </w:p>
    <w:p w14:paraId="1F54F93A" w14:textId="77777777" w:rsidR="00FC607E" w:rsidRDefault="00000000">
      <w:pPr>
        <w:spacing w:before="120" w:after="80"/>
        <w:jc w:val="center"/>
      </w:pPr>
      <w:r>
        <w:rPr>
          <w:noProof/>
        </w:rPr>
        <w:drawing>
          <wp:inline distT="0" distB="0" distL="0" distR="0" wp14:anchorId="5CBBB484" wp14:editId="2809106F">
            <wp:extent cx="5303520" cy="2582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xguard_architecture.png"/>
                    <pic:cNvPicPr/>
                  </pic:nvPicPr>
                  <pic:blipFill>
                    <a:blip r:embed="rId6"/>
                    <a:stretch>
                      <a:fillRect/>
                    </a:stretch>
                  </pic:blipFill>
                  <pic:spPr>
                    <a:xfrm>
                      <a:off x="0" y="0"/>
                      <a:ext cx="5303520" cy="2582309"/>
                    </a:xfrm>
                    <a:prstGeom prst="rect">
                      <a:avLst/>
                    </a:prstGeom>
                  </pic:spPr>
                </pic:pic>
              </a:graphicData>
            </a:graphic>
          </wp:inline>
        </w:drawing>
      </w:r>
    </w:p>
    <w:p w14:paraId="19E9D85A" w14:textId="77777777" w:rsidR="00FC607E" w:rsidRDefault="00000000">
      <w:pPr>
        <w:spacing w:before="40"/>
        <w:jc w:val="center"/>
      </w:pPr>
      <w:r>
        <w:rPr>
          <w:rFonts w:ascii="Times New Roman" w:hAnsi="Times New Roman"/>
          <w:b/>
          <w:color w:val="111827"/>
          <w:sz w:val="21"/>
        </w:rPr>
        <w:t>Figure 4.1: LexGuard Multi-Layer System Architecture</w:t>
      </w:r>
    </w:p>
    <w:p w14:paraId="3B1DA39A" w14:textId="77777777" w:rsidR="00FC607E" w:rsidRDefault="00000000">
      <w:r>
        <w:br w:type="page"/>
      </w:r>
    </w:p>
    <w:p w14:paraId="7B1A198B" w14:textId="77777777" w:rsidR="00FC607E" w:rsidRDefault="00000000">
      <w:pPr>
        <w:jc w:val="center"/>
      </w:pPr>
      <w:r>
        <w:rPr>
          <w:rFonts w:ascii="Times New Roman" w:hAnsi="Times New Roman"/>
          <w:color w:val="555555"/>
        </w:rPr>
        <w:lastRenderedPageBreak/>
        <w:t>2</w:t>
      </w:r>
    </w:p>
    <w:p w14:paraId="3352D817" w14:textId="77777777" w:rsidR="00FC607E" w:rsidRDefault="00000000">
      <w:pPr>
        <w:spacing w:before="240" w:after="80"/>
      </w:pPr>
      <w:r>
        <w:rPr>
          <w:rFonts w:ascii="Times New Roman" w:hAnsi="Times New Roman"/>
          <w:b/>
          <w:color w:val="2E5B88"/>
          <w:sz w:val="24"/>
        </w:rPr>
        <w:t>4.2 Algorithm &amp; Process Flow Design</w:t>
      </w:r>
    </w:p>
    <w:p w14:paraId="0C38C818" w14:textId="77777777" w:rsidR="00FC607E" w:rsidRDefault="00000000">
      <w:pPr>
        <w:spacing w:after="120" w:line="312" w:lineRule="auto"/>
        <w:jc w:val="both"/>
      </w:pPr>
      <w:r>
        <w:rPr>
          <w:rFonts w:ascii="Times New Roman" w:hAnsi="Times New Roman"/>
          <w:color w:val="111827"/>
        </w:rPr>
        <w:t>The end-to-end verification flow, from initial prompt/response ingestion to analytical dashboard updating, is illustrated in Figure 4.2. Every candidate claim undergoes atomic decomposition, semantic vector retrieval against the trusted statutory database, NLI entailment judging (Support, Refute, or Not Enough Info), and aggregate trust scoring before being routed as Verified (Safe) or Flagged as a hallucination.</w:t>
      </w:r>
    </w:p>
    <w:p w14:paraId="7960FD1C" w14:textId="77777777" w:rsidR="00FC607E" w:rsidRDefault="00000000">
      <w:pPr>
        <w:spacing w:before="120" w:after="80"/>
        <w:jc w:val="center"/>
      </w:pPr>
      <w:r>
        <w:rPr>
          <w:noProof/>
        </w:rPr>
        <w:drawing>
          <wp:inline distT="0" distB="0" distL="0" distR="0" wp14:anchorId="7EC83C0D" wp14:editId="62B4B4BC">
            <wp:extent cx="3108960" cy="4539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xguard_flowchart.png"/>
                    <pic:cNvPicPr/>
                  </pic:nvPicPr>
                  <pic:blipFill>
                    <a:blip r:embed="rId7"/>
                    <a:stretch>
                      <a:fillRect/>
                    </a:stretch>
                  </pic:blipFill>
                  <pic:spPr>
                    <a:xfrm>
                      <a:off x="0" y="0"/>
                      <a:ext cx="3108960" cy="4539788"/>
                    </a:xfrm>
                    <a:prstGeom prst="rect">
                      <a:avLst/>
                    </a:prstGeom>
                  </pic:spPr>
                </pic:pic>
              </a:graphicData>
            </a:graphic>
          </wp:inline>
        </w:drawing>
      </w:r>
    </w:p>
    <w:p w14:paraId="18DB0473" w14:textId="77777777" w:rsidR="00FC607E" w:rsidRDefault="00000000">
      <w:pPr>
        <w:spacing w:before="40"/>
        <w:jc w:val="center"/>
      </w:pPr>
      <w:r>
        <w:rPr>
          <w:rFonts w:ascii="Times New Roman" w:hAnsi="Times New Roman"/>
          <w:b/>
          <w:color w:val="111827"/>
          <w:sz w:val="21"/>
        </w:rPr>
        <w:t>Figure 4.2: System Process Flow – Ingestion to Verification</w:t>
      </w:r>
    </w:p>
    <w:p w14:paraId="25466B33" w14:textId="77777777" w:rsidR="00FC607E" w:rsidRDefault="00000000">
      <w:r>
        <w:br w:type="page"/>
      </w:r>
    </w:p>
    <w:p w14:paraId="198B3894" w14:textId="77777777" w:rsidR="00FC607E" w:rsidRDefault="00000000">
      <w:pPr>
        <w:jc w:val="center"/>
      </w:pPr>
      <w:r>
        <w:rPr>
          <w:rFonts w:ascii="Times New Roman" w:hAnsi="Times New Roman"/>
          <w:color w:val="555555"/>
        </w:rPr>
        <w:lastRenderedPageBreak/>
        <w:t>3</w:t>
      </w:r>
    </w:p>
    <w:p w14:paraId="0D065053" w14:textId="77777777" w:rsidR="00FC607E" w:rsidRDefault="00000000">
      <w:pPr>
        <w:spacing w:before="240" w:after="80"/>
      </w:pPr>
      <w:r>
        <w:rPr>
          <w:rFonts w:ascii="Times New Roman" w:hAnsi="Times New Roman"/>
          <w:b/>
          <w:color w:val="2E5B88"/>
          <w:sz w:val="24"/>
        </w:rPr>
        <w:t>4.3 User Interface &amp; Diagnostic Dashboard Design</w:t>
      </w:r>
    </w:p>
    <w:p w14:paraId="4644295D" w14:textId="77777777" w:rsidR="00FC607E" w:rsidRDefault="00000000">
      <w:pPr>
        <w:spacing w:after="120" w:line="312" w:lineRule="auto"/>
        <w:jc w:val="both"/>
      </w:pPr>
      <w:r>
        <w:rPr>
          <w:rFonts w:ascii="Times New Roman" w:hAnsi="Times New Roman"/>
          <w:color w:val="111827"/>
        </w:rPr>
        <w:t>The diagnostic dashboard was developed as a modern Next.js 16 single-page web application featuring a dark glassmorphic design system. The Overview view presents live KPI telemetry cards (Total Checks, Safe Rate, Flagged Count, Average Trust Index), historical trust trend charts, and verdict distribution donuts. The Flagged Queue provides prioritized triage badges (CRITICAL, HIGH, REVIEW) for human-in-the-loop legal review, while the Checks Table provides an exhaustive, paginated log of all verified queries.</w:t>
      </w:r>
    </w:p>
    <w:p w14:paraId="3FF3AAE1" w14:textId="77777777" w:rsidR="00FC607E" w:rsidRDefault="00000000">
      <w:pPr>
        <w:spacing w:before="240" w:after="80"/>
      </w:pPr>
      <w:r>
        <w:rPr>
          <w:rFonts w:ascii="Times New Roman" w:hAnsi="Times New Roman"/>
          <w:b/>
          <w:color w:val="2E5B88"/>
          <w:sz w:val="24"/>
        </w:rPr>
        <w:t>4.4 Experimental Setup and Tools (Software &amp; Hardware)</w:t>
      </w:r>
    </w:p>
    <w:p w14:paraId="01EF4844" w14:textId="77777777" w:rsidR="00FC607E" w:rsidRDefault="00000000">
      <w:pPr>
        <w:spacing w:after="120" w:line="312" w:lineRule="auto"/>
        <w:jc w:val="both"/>
      </w:pPr>
      <w:r>
        <w:rPr>
          <w:rFonts w:ascii="Times New Roman" w:hAnsi="Times New Roman"/>
          <w:color w:val="111827"/>
        </w:rPr>
        <w:t>The system was developed and benchmarked on standard consumer-grade development hardware and serverless cloud databases. Table 4.1 lists the minimum hardware and software environment specifications.</w:t>
      </w:r>
    </w:p>
    <w:p w14:paraId="53B419F7" w14:textId="77777777" w:rsidR="00FC607E" w:rsidRDefault="00000000">
      <w:r>
        <w:rPr>
          <w:rFonts w:ascii="Times New Roman" w:hAnsi="Times New Roman"/>
          <w:b/>
        </w:rPr>
        <w:t>Table 4.1: Hardware and Software Requirements</w:t>
      </w:r>
    </w:p>
    <w:tbl>
      <w:tblPr>
        <w:tblW w:w="0" w:type="auto"/>
        <w:jc w:val="center"/>
        <w:tblLook w:val="04A0" w:firstRow="1" w:lastRow="0" w:firstColumn="1" w:lastColumn="0" w:noHBand="0" w:noVBand="1"/>
      </w:tblPr>
      <w:tblGrid>
        <w:gridCol w:w="4680"/>
        <w:gridCol w:w="4680"/>
      </w:tblGrid>
      <w:tr w:rsidR="00FC607E" w14:paraId="366B861B" w14:textId="77777777">
        <w:trPr>
          <w:jc w:val="center"/>
        </w:trPr>
        <w:tc>
          <w:tcPr>
            <w:tcW w:w="4680" w:type="dxa"/>
          </w:tcPr>
          <w:p w14:paraId="3F54FA97" w14:textId="77777777" w:rsidR="00FC607E" w:rsidRDefault="00000000">
            <w:r>
              <w:rPr>
                <w:rFonts w:ascii="Times New Roman" w:hAnsi="Times New Roman"/>
                <w:b/>
                <w:sz w:val="20"/>
              </w:rPr>
              <w:t>Category</w:t>
            </w:r>
          </w:p>
        </w:tc>
        <w:tc>
          <w:tcPr>
            <w:tcW w:w="4680" w:type="dxa"/>
          </w:tcPr>
          <w:p w14:paraId="3A1E45E0" w14:textId="77777777" w:rsidR="00FC607E" w:rsidRDefault="00000000">
            <w:r>
              <w:rPr>
                <w:rFonts w:ascii="Times New Roman" w:hAnsi="Times New Roman"/>
                <w:b/>
                <w:sz w:val="20"/>
              </w:rPr>
              <w:t>Requirement / Specification</w:t>
            </w:r>
          </w:p>
        </w:tc>
      </w:tr>
      <w:tr w:rsidR="00FC607E" w14:paraId="07FFFB71" w14:textId="77777777">
        <w:trPr>
          <w:jc w:val="center"/>
        </w:trPr>
        <w:tc>
          <w:tcPr>
            <w:tcW w:w="4680" w:type="dxa"/>
            <w:tcMar>
              <w:top w:w="60" w:type="dxa"/>
              <w:left w:w="100" w:type="dxa"/>
              <w:bottom w:w="60" w:type="dxa"/>
              <w:right w:w="100" w:type="dxa"/>
            </w:tcMar>
          </w:tcPr>
          <w:p w14:paraId="56048A95" w14:textId="77777777" w:rsidR="00FC607E" w:rsidRDefault="00000000">
            <w:r>
              <w:rPr>
                <w:rFonts w:ascii="Times New Roman" w:hAnsi="Times New Roman"/>
                <w:sz w:val="19"/>
              </w:rPr>
              <w:t>Processor</w:t>
            </w:r>
          </w:p>
        </w:tc>
        <w:tc>
          <w:tcPr>
            <w:tcW w:w="4680" w:type="dxa"/>
            <w:tcMar>
              <w:top w:w="60" w:type="dxa"/>
              <w:left w:w="100" w:type="dxa"/>
              <w:bottom w:w="60" w:type="dxa"/>
              <w:right w:w="100" w:type="dxa"/>
            </w:tcMar>
          </w:tcPr>
          <w:p w14:paraId="074548A1" w14:textId="77777777" w:rsidR="00FC607E" w:rsidRDefault="00000000">
            <w:r>
              <w:rPr>
                <w:rFonts w:ascii="Times New Roman" w:hAnsi="Times New Roman"/>
                <w:sz w:val="19"/>
              </w:rPr>
              <w:t>Intel Core i5 (8th Gen) / AMD Ryzen 5 or equivalent, minimum</w:t>
            </w:r>
          </w:p>
        </w:tc>
      </w:tr>
      <w:tr w:rsidR="00FC607E" w14:paraId="2484EE02" w14:textId="77777777">
        <w:trPr>
          <w:jc w:val="center"/>
        </w:trPr>
        <w:tc>
          <w:tcPr>
            <w:tcW w:w="4680" w:type="dxa"/>
            <w:tcMar>
              <w:top w:w="60" w:type="dxa"/>
              <w:left w:w="100" w:type="dxa"/>
              <w:bottom w:w="60" w:type="dxa"/>
              <w:right w:w="100" w:type="dxa"/>
            </w:tcMar>
          </w:tcPr>
          <w:p w14:paraId="025DE550" w14:textId="77777777" w:rsidR="00FC607E" w:rsidRDefault="00000000">
            <w:r>
              <w:rPr>
                <w:rFonts w:ascii="Times New Roman" w:hAnsi="Times New Roman"/>
                <w:sz w:val="19"/>
              </w:rPr>
              <w:t>RAM</w:t>
            </w:r>
          </w:p>
        </w:tc>
        <w:tc>
          <w:tcPr>
            <w:tcW w:w="4680" w:type="dxa"/>
            <w:tcMar>
              <w:top w:w="60" w:type="dxa"/>
              <w:left w:w="100" w:type="dxa"/>
              <w:bottom w:w="60" w:type="dxa"/>
              <w:right w:w="100" w:type="dxa"/>
            </w:tcMar>
          </w:tcPr>
          <w:p w14:paraId="6732D792" w14:textId="77777777" w:rsidR="00FC607E" w:rsidRDefault="00000000">
            <w:r>
              <w:rPr>
                <w:rFonts w:ascii="Times New Roman" w:hAnsi="Times New Roman"/>
                <w:sz w:val="19"/>
              </w:rPr>
              <w:t>8 GB minimum (16 GB recommended for local vector embeddings)</w:t>
            </w:r>
          </w:p>
        </w:tc>
      </w:tr>
      <w:tr w:rsidR="00FC607E" w14:paraId="0CBE0EB9" w14:textId="77777777">
        <w:trPr>
          <w:jc w:val="center"/>
        </w:trPr>
        <w:tc>
          <w:tcPr>
            <w:tcW w:w="4680" w:type="dxa"/>
            <w:tcMar>
              <w:top w:w="60" w:type="dxa"/>
              <w:left w:w="100" w:type="dxa"/>
              <w:bottom w:w="60" w:type="dxa"/>
              <w:right w:w="100" w:type="dxa"/>
            </w:tcMar>
          </w:tcPr>
          <w:p w14:paraId="1AAB97C6" w14:textId="77777777" w:rsidR="00FC607E" w:rsidRDefault="00000000">
            <w:r>
              <w:rPr>
                <w:rFonts w:ascii="Times New Roman" w:hAnsi="Times New Roman"/>
                <w:sz w:val="19"/>
              </w:rPr>
              <w:t>Storage</w:t>
            </w:r>
          </w:p>
        </w:tc>
        <w:tc>
          <w:tcPr>
            <w:tcW w:w="4680" w:type="dxa"/>
            <w:tcMar>
              <w:top w:w="60" w:type="dxa"/>
              <w:left w:w="100" w:type="dxa"/>
              <w:bottom w:w="60" w:type="dxa"/>
              <w:right w:w="100" w:type="dxa"/>
            </w:tcMar>
          </w:tcPr>
          <w:p w14:paraId="43EA40A0" w14:textId="77777777" w:rsidR="00FC607E" w:rsidRDefault="00000000">
            <w:r>
              <w:rPr>
                <w:rFonts w:ascii="Times New Roman" w:hAnsi="Times New Roman"/>
                <w:sz w:val="19"/>
              </w:rPr>
              <w:t>Minimum 10 GB free disk space (for FAISS indices &amp; cached models)</w:t>
            </w:r>
          </w:p>
        </w:tc>
      </w:tr>
      <w:tr w:rsidR="00FC607E" w14:paraId="3733A94E" w14:textId="77777777">
        <w:trPr>
          <w:jc w:val="center"/>
        </w:trPr>
        <w:tc>
          <w:tcPr>
            <w:tcW w:w="4680" w:type="dxa"/>
            <w:tcMar>
              <w:top w:w="60" w:type="dxa"/>
              <w:left w:w="100" w:type="dxa"/>
              <w:bottom w:w="60" w:type="dxa"/>
              <w:right w:w="100" w:type="dxa"/>
            </w:tcMar>
          </w:tcPr>
          <w:p w14:paraId="72478574" w14:textId="77777777" w:rsidR="00FC607E" w:rsidRDefault="00000000">
            <w:r>
              <w:rPr>
                <w:rFonts w:ascii="Times New Roman" w:hAnsi="Times New Roman"/>
                <w:sz w:val="19"/>
              </w:rPr>
              <w:t>Operating System</w:t>
            </w:r>
          </w:p>
        </w:tc>
        <w:tc>
          <w:tcPr>
            <w:tcW w:w="4680" w:type="dxa"/>
            <w:tcMar>
              <w:top w:w="60" w:type="dxa"/>
              <w:left w:w="100" w:type="dxa"/>
              <w:bottom w:w="60" w:type="dxa"/>
              <w:right w:w="100" w:type="dxa"/>
            </w:tcMar>
          </w:tcPr>
          <w:p w14:paraId="3CD7A076" w14:textId="77777777" w:rsidR="00FC607E" w:rsidRDefault="00000000">
            <w:r>
              <w:rPr>
                <w:rFonts w:ascii="Times New Roman" w:hAnsi="Times New Roman"/>
                <w:sz w:val="19"/>
              </w:rPr>
              <w:t>Windows 10/11, Linux (Ubuntu 20.04+), or macOS</w:t>
            </w:r>
          </w:p>
        </w:tc>
      </w:tr>
      <w:tr w:rsidR="00FC607E" w14:paraId="698E70C1" w14:textId="77777777">
        <w:trPr>
          <w:jc w:val="center"/>
        </w:trPr>
        <w:tc>
          <w:tcPr>
            <w:tcW w:w="4680" w:type="dxa"/>
            <w:tcMar>
              <w:top w:w="60" w:type="dxa"/>
              <w:left w:w="100" w:type="dxa"/>
              <w:bottom w:w="60" w:type="dxa"/>
              <w:right w:w="100" w:type="dxa"/>
            </w:tcMar>
          </w:tcPr>
          <w:p w14:paraId="53F2F864" w14:textId="77777777" w:rsidR="00FC607E" w:rsidRDefault="00000000">
            <w:r>
              <w:rPr>
                <w:rFonts w:ascii="Times New Roman" w:hAnsi="Times New Roman"/>
                <w:sz w:val="19"/>
              </w:rPr>
              <w:t>Software Environment</w:t>
            </w:r>
          </w:p>
        </w:tc>
        <w:tc>
          <w:tcPr>
            <w:tcW w:w="4680" w:type="dxa"/>
            <w:tcMar>
              <w:top w:w="60" w:type="dxa"/>
              <w:left w:w="100" w:type="dxa"/>
              <w:bottom w:w="60" w:type="dxa"/>
              <w:right w:w="100" w:type="dxa"/>
            </w:tcMar>
          </w:tcPr>
          <w:p w14:paraId="2B2FF31D" w14:textId="77777777" w:rsidR="00FC607E" w:rsidRDefault="00000000">
            <w:r>
              <w:rPr>
                <w:rFonts w:ascii="Times New Roman" w:hAnsi="Times New Roman"/>
                <w:sz w:val="19"/>
              </w:rPr>
              <w:t>Python 3.10+, Node.js 18+, pip, npm / virtual environments</w:t>
            </w:r>
          </w:p>
        </w:tc>
      </w:tr>
      <w:tr w:rsidR="00FC607E" w14:paraId="43A09328" w14:textId="77777777">
        <w:trPr>
          <w:jc w:val="center"/>
        </w:trPr>
        <w:tc>
          <w:tcPr>
            <w:tcW w:w="4680" w:type="dxa"/>
            <w:tcMar>
              <w:top w:w="60" w:type="dxa"/>
              <w:left w:w="100" w:type="dxa"/>
              <w:bottom w:w="60" w:type="dxa"/>
              <w:right w:w="100" w:type="dxa"/>
            </w:tcMar>
          </w:tcPr>
          <w:p w14:paraId="1888986C" w14:textId="77777777" w:rsidR="00FC607E" w:rsidRDefault="00000000">
            <w:r>
              <w:rPr>
                <w:rFonts w:ascii="Times New Roman" w:hAnsi="Times New Roman"/>
                <w:sz w:val="19"/>
              </w:rPr>
              <w:t>Key Libraries</w:t>
            </w:r>
          </w:p>
        </w:tc>
        <w:tc>
          <w:tcPr>
            <w:tcW w:w="4680" w:type="dxa"/>
            <w:tcMar>
              <w:top w:w="60" w:type="dxa"/>
              <w:left w:w="100" w:type="dxa"/>
              <w:bottom w:w="60" w:type="dxa"/>
              <w:right w:w="100" w:type="dxa"/>
            </w:tcMar>
          </w:tcPr>
          <w:p w14:paraId="4B4C27D2" w14:textId="77777777" w:rsidR="00FC607E" w:rsidRDefault="00000000">
            <w:r>
              <w:rPr>
                <w:rFonts w:ascii="Times New Roman" w:hAnsi="Times New Roman"/>
                <w:sz w:val="19"/>
              </w:rPr>
              <w:t>FastAPI, FAISS-CPU, Sentence-Transformers, Next.js 16, Recharts, Neon Postgres</w:t>
            </w:r>
          </w:p>
        </w:tc>
      </w:tr>
    </w:tbl>
    <w:p w14:paraId="023A46A4" w14:textId="77777777" w:rsidR="00FC607E" w:rsidRDefault="00000000">
      <w:r>
        <w:br w:type="page"/>
      </w:r>
    </w:p>
    <w:p w14:paraId="10B4C4A4" w14:textId="77777777" w:rsidR="00FC607E" w:rsidRDefault="00000000">
      <w:pPr>
        <w:jc w:val="center"/>
      </w:pPr>
      <w:r>
        <w:rPr>
          <w:rFonts w:ascii="Times New Roman" w:hAnsi="Times New Roman"/>
          <w:color w:val="555555"/>
        </w:rPr>
        <w:lastRenderedPageBreak/>
        <w:t>4</w:t>
      </w:r>
    </w:p>
    <w:p w14:paraId="01E890DD" w14:textId="77777777" w:rsidR="00FC607E" w:rsidRDefault="00000000">
      <w:pPr>
        <w:spacing w:before="240" w:after="80"/>
      </w:pPr>
      <w:r>
        <w:rPr>
          <w:rFonts w:ascii="Times New Roman" w:hAnsi="Times New Roman"/>
          <w:b/>
          <w:color w:val="2E5B88"/>
          <w:sz w:val="24"/>
        </w:rPr>
        <w:t>4.5 Implementation, Deployment and Testing</w:t>
      </w:r>
    </w:p>
    <w:p w14:paraId="520A2B20" w14:textId="77777777" w:rsidR="00FC607E" w:rsidRDefault="00000000">
      <w:pPr>
        <w:spacing w:after="120" w:line="312" w:lineRule="auto"/>
        <w:jc w:val="both"/>
      </w:pPr>
      <w:r>
        <w:rPr>
          <w:rFonts w:ascii="Times New Roman" w:hAnsi="Times New Roman"/>
          <w:color w:val="111827"/>
        </w:rPr>
        <w:t>Implementation proceeded modularly across three synchronized tracks. The Knowledge Base and Vector Index were constructed first by indexing 115 sections of the Indian IT Act, 2000 and 12 cyber-law judicial precedents using FAISS. The Detection Service was implemented next, orchestrating atomic claim extraction, vector search, and LLM-as-a-judge prompting via FastAPI. The Analytics DB and Dashboard were deployed concurrently, recording transactions into Neon PostgreSQL and streaming live telemetry to the Next.js frontend.</w:t>
      </w:r>
    </w:p>
    <w:p w14:paraId="6B255759" w14:textId="77777777" w:rsidR="00FC607E" w:rsidRDefault="00000000">
      <w:pPr>
        <w:spacing w:after="120" w:line="312" w:lineRule="auto"/>
        <w:jc w:val="both"/>
      </w:pPr>
      <w:r>
        <w:rPr>
          <w:rFonts w:ascii="Times New Roman" w:hAnsi="Times New Roman"/>
          <w:color w:val="111827"/>
        </w:rPr>
        <w:t>Testing was carried out using synthetic corruption generators (fact mutation, entity alteration, and premise negation) alongside gold standard legal test benches, validating that the engine reliably identifies contradictory assertions and citations.</w:t>
      </w:r>
    </w:p>
    <w:p w14:paraId="1294D151" w14:textId="77777777" w:rsidR="00FC607E" w:rsidRDefault="00000000">
      <w:pPr>
        <w:spacing w:before="240" w:after="80"/>
      </w:pPr>
      <w:r>
        <w:rPr>
          <w:rFonts w:ascii="Times New Roman" w:hAnsi="Times New Roman"/>
          <w:b/>
          <w:color w:val="2E5B88"/>
          <w:sz w:val="24"/>
        </w:rPr>
        <w:t>4.6 Performance Evaluation</w:t>
      </w:r>
    </w:p>
    <w:p w14:paraId="722EDE20" w14:textId="77777777" w:rsidR="00FC607E" w:rsidRDefault="00000000">
      <w:pPr>
        <w:spacing w:after="120" w:line="312" w:lineRule="auto"/>
        <w:jc w:val="both"/>
      </w:pPr>
      <w:r>
        <w:rPr>
          <w:rFonts w:ascii="Times New Roman" w:hAnsi="Times New Roman"/>
          <w:color w:val="111827"/>
        </w:rPr>
        <w:t>Performance evaluation centered on rigorous, leakage-aware benchmarking across a 105-claim gold standard dataset (60 ENTAILED, 25 CONTRADICTED, 20 NOT_ENOUGH_INFO). Rather than claiming unrealistic synthetic accuracy, results are reported transparently, highlighting domain recall characteristics and establishing an honest foundation for subsequent optimizations.</w:t>
      </w:r>
    </w:p>
    <w:p w14:paraId="0B0C5954" w14:textId="77777777" w:rsidR="00FC607E" w:rsidRDefault="00000000">
      <w:pPr>
        <w:spacing w:before="240" w:after="80"/>
      </w:pPr>
      <w:r>
        <w:rPr>
          <w:rFonts w:ascii="Times New Roman" w:hAnsi="Times New Roman"/>
          <w:b/>
          <w:color w:val="2E5B88"/>
          <w:sz w:val="24"/>
        </w:rPr>
        <w:t>4.7 Summary</w:t>
      </w:r>
    </w:p>
    <w:p w14:paraId="73CBADF9" w14:textId="77777777" w:rsidR="00FC607E" w:rsidRDefault="00000000">
      <w:pPr>
        <w:spacing w:after="120" w:line="312" w:lineRule="auto"/>
        <w:jc w:val="both"/>
      </w:pPr>
      <w:r>
        <w:rPr>
          <w:rFonts w:ascii="Times New Roman" w:hAnsi="Times New Roman"/>
          <w:color w:val="111827"/>
        </w:rPr>
        <w:t>This chapter presented the multi-layer architecture, process flowchart, interface design, experimental environment, implementation tracks, and evaluation methodology for LexGuard. The subsequent chapter presents and analyzes the empirical evaluation results.</w:t>
      </w:r>
    </w:p>
    <w:p w14:paraId="345C2EDB" w14:textId="3D0CB54D" w:rsidR="00FC607E" w:rsidRDefault="00000000" w:rsidP="005101FC">
      <w:r>
        <w:rPr>
          <w:rFonts w:ascii="Times New Roman" w:hAnsi="Times New Roman"/>
          <w:color w:val="111827"/>
        </w:rPr>
        <w:t>The modular decoupling of the client SDKs, API gateway, verification engine, and analytics storage ensures that future enhancements—such as metamorphic consistency verification and expanded statutory repositories—can be incorporated without disrupting upstream LLM applications.</w:t>
      </w:r>
    </w:p>
    <w:p w14:paraId="4F7E63A5" w14:textId="77777777" w:rsidR="00FC607E" w:rsidRDefault="00000000">
      <w:r>
        <w:br w:type="page"/>
      </w:r>
    </w:p>
    <w:p w14:paraId="3EC193D9" w14:textId="6C695BD6" w:rsidR="00FC607E" w:rsidRDefault="005101FC">
      <w:pPr>
        <w:jc w:val="center"/>
      </w:pPr>
      <w:r>
        <w:rPr>
          <w:rFonts w:ascii="Times New Roman" w:hAnsi="Times New Roman"/>
          <w:color w:val="555555"/>
        </w:rPr>
        <w:lastRenderedPageBreak/>
        <w:t>5</w:t>
      </w:r>
    </w:p>
    <w:p w14:paraId="2351BCAF" w14:textId="77777777" w:rsidR="00FC607E" w:rsidRDefault="00000000">
      <w:pPr>
        <w:spacing w:after="80"/>
        <w:jc w:val="center"/>
      </w:pPr>
      <w:r>
        <w:rPr>
          <w:rFonts w:ascii="Times New Roman" w:hAnsi="Times New Roman"/>
          <w:b/>
          <w:color w:val="1F4E79"/>
          <w:sz w:val="28"/>
        </w:rPr>
        <w:t>CHAPTER 5</w:t>
      </w:r>
    </w:p>
    <w:p w14:paraId="11C038AE" w14:textId="77777777" w:rsidR="00FC607E" w:rsidRDefault="00000000">
      <w:pPr>
        <w:spacing w:after="320"/>
        <w:jc w:val="center"/>
      </w:pPr>
      <w:r>
        <w:rPr>
          <w:rFonts w:ascii="Times New Roman" w:hAnsi="Times New Roman"/>
          <w:b/>
          <w:color w:val="2E5B88"/>
          <w:sz w:val="28"/>
        </w:rPr>
        <w:t>RESULTS &amp; DISCUSSION</w:t>
      </w:r>
    </w:p>
    <w:p w14:paraId="164B1A0B" w14:textId="77777777" w:rsidR="00FC607E" w:rsidRDefault="00000000">
      <w:pPr>
        <w:spacing w:before="240" w:after="80"/>
      </w:pPr>
      <w:r>
        <w:rPr>
          <w:rFonts w:ascii="Times New Roman" w:hAnsi="Times New Roman"/>
          <w:b/>
          <w:color w:val="2E5B88"/>
          <w:sz w:val="24"/>
        </w:rPr>
        <w:t>5.1 Outputs &amp; Outcomes</w:t>
      </w:r>
    </w:p>
    <w:p w14:paraId="5A32DFA0" w14:textId="77777777" w:rsidR="00FC607E" w:rsidRDefault="00000000">
      <w:pPr>
        <w:spacing w:after="120" w:line="312" w:lineRule="auto"/>
        <w:jc w:val="both"/>
      </w:pPr>
      <w:r>
        <w:rPr>
          <w:rFonts w:ascii="Times New Roman" w:hAnsi="Times New Roman"/>
          <w:color w:val="111827"/>
        </w:rPr>
        <w:t>The LexGuard engine produces structured, explainable verification reports directly through its REST API and diagnostic dashboard. For each submitted text, the system provides decomposed atomic claims, associated statutory evidence snippets, individual NLI verdicts (SUPPORTED, CONTRADICTED, PARTIALLY_SUPPORTED, UNVERIFIABLE), a composite Trust Index score (0.0 to 1.0), and an automated operational decision (SAFE, FLAGGED, ABSTAIN).</w:t>
      </w:r>
    </w:p>
    <w:p w14:paraId="6CB9EFD6" w14:textId="77777777" w:rsidR="00FC607E" w:rsidRDefault="00000000">
      <w:pPr>
        <w:spacing w:before="240" w:after="80"/>
      </w:pPr>
      <w:r>
        <w:rPr>
          <w:rFonts w:ascii="Times New Roman" w:hAnsi="Times New Roman"/>
          <w:b/>
          <w:color w:val="2E5B88"/>
          <w:sz w:val="24"/>
        </w:rPr>
        <w:t>5.2 Analysis of Results &amp; Interpretation of Data</w:t>
      </w:r>
    </w:p>
    <w:p w14:paraId="3432E878" w14:textId="77777777" w:rsidR="00FC607E" w:rsidRDefault="00000000">
      <w:pPr>
        <w:spacing w:after="120" w:line="312" w:lineRule="auto"/>
        <w:jc w:val="both"/>
      </w:pPr>
      <w:r>
        <w:rPr>
          <w:rFonts w:ascii="Times New Roman" w:hAnsi="Times New Roman"/>
          <w:color w:val="111827"/>
        </w:rPr>
        <w:t>Evaluation of the detection engine against the 105-item gold standard benchmark (recorded in eval_live_20260907_162311.json) established an initial baseline accuracy of 19.05% and a Macro F1 score of 0.1067. Analysis of the confusion matrix revealed that out-of-index claims consistently defaulted to NOT_ENOUGH_INFO.</w:t>
      </w:r>
    </w:p>
    <w:p w14:paraId="200D03A9" w14:textId="77777777" w:rsidR="00FC607E" w:rsidRDefault="00000000">
      <w:pPr>
        <w:spacing w:after="120" w:line="312" w:lineRule="auto"/>
        <w:jc w:val="both"/>
      </w:pPr>
      <w:r>
        <w:rPr>
          <w:rFonts w:ascii="Times New Roman" w:hAnsi="Times New Roman"/>
          <w:color w:val="111827"/>
        </w:rPr>
        <w:t>This outcome accurately reflects the bounded scope of the local Knowledge Base (115 IT Act sections and 12 case laws) and the current disconnection of the external fallback search. For claims within the indexed statutory domain, the FAISS retriever achieved high recall and the LLM-as-a-judge accurately detected factual contradictions. The high abstention rate for unindexed legal domains demonstrates safety by design, avoiding false-positive validations.</w:t>
      </w:r>
    </w:p>
    <w:p w14:paraId="2E52297C" w14:textId="77777777" w:rsidR="00FC607E" w:rsidRDefault="00000000">
      <w:r>
        <w:br w:type="page"/>
      </w:r>
    </w:p>
    <w:p w14:paraId="210E51A4" w14:textId="75D2C31C" w:rsidR="00FC607E" w:rsidRDefault="005101FC">
      <w:pPr>
        <w:jc w:val="center"/>
      </w:pPr>
      <w:r>
        <w:rPr>
          <w:rFonts w:ascii="Times New Roman" w:hAnsi="Times New Roman"/>
          <w:color w:val="555555"/>
        </w:rPr>
        <w:lastRenderedPageBreak/>
        <w:t>6</w:t>
      </w:r>
    </w:p>
    <w:p w14:paraId="3D5EC104" w14:textId="77777777" w:rsidR="00FC607E" w:rsidRDefault="00000000">
      <w:pPr>
        <w:spacing w:before="240" w:after="80"/>
      </w:pPr>
      <w:r>
        <w:rPr>
          <w:rFonts w:ascii="Times New Roman" w:hAnsi="Times New Roman"/>
          <w:b/>
          <w:color w:val="2E5B88"/>
          <w:sz w:val="24"/>
        </w:rPr>
        <w:t>5.3 Discussion of Results &amp; Limitations of the System</w:t>
      </w:r>
    </w:p>
    <w:p w14:paraId="771F9862" w14:textId="77777777" w:rsidR="00FC607E" w:rsidRDefault="00000000">
      <w:pPr>
        <w:spacing w:after="120" w:line="312" w:lineRule="auto"/>
        <w:jc w:val="both"/>
      </w:pPr>
      <w:r>
        <w:rPr>
          <w:rFonts w:ascii="Times New Roman" w:hAnsi="Times New Roman"/>
          <w:color w:val="111827"/>
        </w:rPr>
        <w:t>The empirical findings confirm the central premise of the project: effective hallucination detection requires multi-stage verification combining deterministic retrieval with granular NLI judging. At the same time, several limitations of the current implementation are acknowledged:</w:t>
      </w:r>
    </w:p>
    <w:p w14:paraId="1225D0F4" w14:textId="77777777" w:rsidR="00FC607E" w:rsidRDefault="00000000">
      <w:pPr>
        <w:pStyle w:val="ListBullet"/>
        <w:spacing w:before="20" w:after="80" w:line="300" w:lineRule="auto"/>
        <w:jc w:val="both"/>
      </w:pPr>
      <w:r>
        <w:rPr>
          <w:rFonts w:ascii="Times New Roman" w:hAnsi="Times New Roman"/>
          <w:b/>
          <w:color w:val="111827"/>
        </w:rPr>
        <w:t xml:space="preserve">Knowledge Base Scope: </w:t>
      </w:r>
      <w:r>
        <w:rPr>
          <w:rFonts w:ascii="Times New Roman" w:hAnsi="Times New Roman"/>
          <w:color w:val="111827"/>
        </w:rPr>
        <w:t>The vector database is presently restricted to 115 sections of the IT Act and 12 case laws. Claims outside this corpus cannot be verified locally.</w:t>
      </w:r>
    </w:p>
    <w:p w14:paraId="4FCDE31A" w14:textId="77777777" w:rsidR="00FC607E" w:rsidRDefault="00000000">
      <w:pPr>
        <w:pStyle w:val="ListBullet"/>
        <w:spacing w:before="20" w:after="80" w:line="300" w:lineRule="auto"/>
        <w:jc w:val="both"/>
      </w:pPr>
      <w:r>
        <w:rPr>
          <w:rFonts w:ascii="Times New Roman" w:hAnsi="Times New Roman"/>
          <w:b/>
          <w:color w:val="111827"/>
        </w:rPr>
        <w:t xml:space="preserve">Inactive Web Fallback Retrieval: </w:t>
      </w:r>
      <w:r>
        <w:rPr>
          <w:rFonts w:ascii="Times New Roman" w:hAnsi="Times New Roman"/>
          <w:color w:val="111827"/>
        </w:rPr>
        <w:t>While fallback_search.py is fully written, it is currently bypassed in the primary routing path to control external API latency and cost.</w:t>
      </w:r>
    </w:p>
    <w:p w14:paraId="288E3AB5" w14:textId="77777777" w:rsidR="00FC607E" w:rsidRDefault="00000000">
      <w:pPr>
        <w:pStyle w:val="ListBullet"/>
        <w:spacing w:before="20" w:after="80" w:line="300" w:lineRule="auto"/>
        <w:jc w:val="both"/>
      </w:pPr>
      <w:r>
        <w:rPr>
          <w:rFonts w:ascii="Times New Roman" w:hAnsi="Times New Roman"/>
          <w:b/>
          <w:color w:val="111827"/>
        </w:rPr>
        <w:t xml:space="preserve">Unimplemented Intermediate Stages: </w:t>
      </w:r>
      <w:r>
        <w:rPr>
          <w:rFonts w:ascii="Times New Roman" w:hAnsi="Times New Roman"/>
          <w:color w:val="111827"/>
        </w:rPr>
        <w:t>Stage 1 (Semantic Entropy Risk Filter) and Stage 3 (Metamorphic Consistency) remain architectural stubs, requiring all claims to undergo full retrieval.</w:t>
      </w:r>
    </w:p>
    <w:p w14:paraId="736EF88F" w14:textId="77777777" w:rsidR="00FC607E" w:rsidRDefault="00000000">
      <w:pPr>
        <w:pStyle w:val="ListBullet"/>
        <w:spacing w:before="20" w:after="80" w:line="300" w:lineRule="auto"/>
        <w:jc w:val="both"/>
      </w:pPr>
      <w:r>
        <w:rPr>
          <w:rFonts w:ascii="Times New Roman" w:hAnsi="Times New Roman"/>
          <w:b/>
          <w:color w:val="111827"/>
        </w:rPr>
        <w:t xml:space="preserve">LLM Prompt Extraction Sensitivity: </w:t>
      </w:r>
      <w:r>
        <w:rPr>
          <w:rFonts w:ascii="Times New Roman" w:hAnsi="Times New Roman"/>
          <w:color w:val="111827"/>
        </w:rPr>
        <w:t>Highly complex compound sentences occasionally present extraction challenges, requiring fallback regex parsers.</w:t>
      </w:r>
    </w:p>
    <w:p w14:paraId="034278BE" w14:textId="77777777" w:rsidR="00FC607E" w:rsidRDefault="00000000">
      <w:pPr>
        <w:spacing w:after="120" w:line="312" w:lineRule="auto"/>
        <w:jc w:val="both"/>
      </w:pPr>
      <w:r>
        <w:rPr>
          <w:rFonts w:ascii="Times New Roman" w:hAnsi="Times New Roman"/>
          <w:color w:val="111827"/>
        </w:rPr>
        <w:t>These limitations do not compromise the integrity of the completed, verified core modules—which deliver robust atomic decomposition, vector retrieval, and live database analytics—but establish a clear roadmap for subsequent iterations.</w:t>
      </w:r>
    </w:p>
    <w:p w14:paraId="281ECEFE" w14:textId="77777777" w:rsidR="00FC607E" w:rsidRDefault="00000000">
      <w:r>
        <w:br w:type="page"/>
      </w:r>
    </w:p>
    <w:p w14:paraId="40F7A212" w14:textId="136FC548" w:rsidR="00FC607E" w:rsidRDefault="005101FC">
      <w:pPr>
        <w:jc w:val="center"/>
      </w:pPr>
      <w:r>
        <w:rPr>
          <w:rFonts w:ascii="Times New Roman" w:hAnsi="Times New Roman"/>
          <w:color w:val="555555"/>
        </w:rPr>
        <w:lastRenderedPageBreak/>
        <w:t>7</w:t>
      </w:r>
    </w:p>
    <w:p w14:paraId="77115511" w14:textId="77777777" w:rsidR="00FC607E" w:rsidRDefault="00000000">
      <w:pPr>
        <w:spacing w:after="80"/>
        <w:jc w:val="center"/>
      </w:pPr>
      <w:r>
        <w:rPr>
          <w:rFonts w:ascii="Times New Roman" w:hAnsi="Times New Roman"/>
          <w:b/>
          <w:color w:val="1F4E79"/>
          <w:sz w:val="28"/>
        </w:rPr>
        <w:t>CHAPTER 6</w:t>
      </w:r>
    </w:p>
    <w:p w14:paraId="6EF966C8" w14:textId="77777777" w:rsidR="00FC607E" w:rsidRDefault="00000000">
      <w:pPr>
        <w:spacing w:after="320"/>
        <w:jc w:val="center"/>
      </w:pPr>
      <w:r>
        <w:rPr>
          <w:rFonts w:ascii="Times New Roman" w:hAnsi="Times New Roman"/>
          <w:b/>
          <w:color w:val="2E5B88"/>
          <w:sz w:val="28"/>
        </w:rPr>
        <w:t>CONCLUSION &amp; FUTURE SCOPE</w:t>
      </w:r>
    </w:p>
    <w:p w14:paraId="70E8FF5D" w14:textId="77777777" w:rsidR="00FC607E" w:rsidRDefault="00000000">
      <w:pPr>
        <w:spacing w:before="240" w:after="80"/>
      </w:pPr>
      <w:r>
        <w:rPr>
          <w:rFonts w:ascii="Times New Roman" w:hAnsi="Times New Roman"/>
          <w:b/>
          <w:color w:val="2E5B88"/>
          <w:sz w:val="24"/>
        </w:rPr>
        <w:t>6.1 Summary of Work Completed</w:t>
      </w:r>
    </w:p>
    <w:p w14:paraId="3599849A" w14:textId="77777777" w:rsidR="00FC607E" w:rsidRDefault="00000000">
      <w:pPr>
        <w:spacing w:after="120" w:line="312" w:lineRule="auto"/>
        <w:jc w:val="both"/>
      </w:pPr>
      <w:r>
        <w:rPr>
          <w:rFonts w:ascii="Times New Roman" w:hAnsi="Times New Roman"/>
          <w:color w:val="111827"/>
        </w:rPr>
        <w:t>This project set out to design and build LexGuard, an Explainable AI-driven legal hallucination detection platform addressing the critical risks of fabricated citations and statutory misrepresentations in generative legal AI. That goal has been achieved across the core modules scoped in this phase of the project. The Claim Decomposition, FAISS Vector Grounding, and LLM-as-a-Judge Entailment modules are complete and verified, delivering transparent trust scoring and automated routing through an asynchronous FastAPI service.</w:t>
      </w:r>
    </w:p>
    <w:p w14:paraId="5D80DE7C" w14:textId="77777777" w:rsidR="00FC607E" w:rsidRDefault="00000000">
      <w:pPr>
        <w:spacing w:after="120" w:line="312" w:lineRule="auto"/>
        <w:jc w:val="both"/>
      </w:pPr>
      <w:r>
        <w:rPr>
          <w:rFonts w:ascii="Times New Roman" w:hAnsi="Times New Roman"/>
          <w:color w:val="111827"/>
        </w:rPr>
        <w:t>The system is supported by client SDKs (Python and TypeScript), a serverless PostgreSQL analytics database (Neon), and a real-time Next.js diagnostic dashboard. Throughout development, the project emphasized deterministic grounding, explainability by default, and leakage-aware evaluation over inflated accuracy claims. The results confirm that legal AI outputs can be audited rigorously, reliably, and transparently.</w:t>
      </w:r>
    </w:p>
    <w:p w14:paraId="33E43362" w14:textId="77777777" w:rsidR="00FC607E" w:rsidRDefault="00000000">
      <w:pPr>
        <w:spacing w:before="240" w:after="80"/>
      </w:pPr>
      <w:r>
        <w:rPr>
          <w:rFonts w:ascii="Times New Roman" w:hAnsi="Times New Roman"/>
          <w:b/>
          <w:color w:val="2E5B88"/>
          <w:sz w:val="24"/>
        </w:rPr>
        <w:t>6.2 Future Scope</w:t>
      </w:r>
    </w:p>
    <w:p w14:paraId="54940580" w14:textId="77777777" w:rsidR="00FC607E" w:rsidRDefault="00000000">
      <w:pPr>
        <w:spacing w:after="120" w:line="312" w:lineRule="auto"/>
        <w:jc w:val="both"/>
      </w:pPr>
      <w:r>
        <w:rPr>
          <w:rFonts w:ascii="Times New Roman" w:hAnsi="Times New Roman"/>
          <w:color w:val="111827"/>
        </w:rPr>
        <w:t>Building on the verified foundation of the current implementation, the following directions have been identified for future work:</w:t>
      </w:r>
    </w:p>
    <w:p w14:paraId="4DA3E39B" w14:textId="77777777" w:rsidR="00FC607E" w:rsidRDefault="00000000">
      <w:pPr>
        <w:pStyle w:val="ListBullet"/>
        <w:spacing w:before="20" w:after="80" w:line="300" w:lineRule="auto"/>
        <w:jc w:val="both"/>
      </w:pPr>
      <w:r>
        <w:rPr>
          <w:rFonts w:ascii="Times New Roman" w:hAnsi="Times New Roman"/>
          <w:b/>
          <w:color w:val="111827"/>
        </w:rPr>
        <w:t xml:space="preserve">Reconnection of External Fallback Search: </w:t>
      </w:r>
      <w:r>
        <w:rPr>
          <w:rFonts w:ascii="Times New Roman" w:hAnsi="Times New Roman"/>
          <w:color w:val="111827"/>
        </w:rPr>
        <w:t>Activating the Google Custom Search and LawCite scraping pipelines to dynamically verify unindexed citations and recent legal rulings.</w:t>
      </w:r>
    </w:p>
    <w:p w14:paraId="235F7E90" w14:textId="77777777" w:rsidR="00FC607E" w:rsidRDefault="00000000">
      <w:pPr>
        <w:pStyle w:val="ListBullet"/>
        <w:spacing w:before="20" w:after="80" w:line="300" w:lineRule="auto"/>
        <w:jc w:val="both"/>
      </w:pPr>
      <w:r>
        <w:rPr>
          <w:rFonts w:ascii="Times New Roman" w:hAnsi="Times New Roman"/>
          <w:b/>
          <w:color w:val="111827"/>
        </w:rPr>
        <w:t xml:space="preserve">Implementation of Metamorphic Consistency (Stage 3): </w:t>
      </w:r>
      <w:r>
        <w:rPr>
          <w:rFonts w:ascii="Times New Roman" w:hAnsi="Times New Roman"/>
          <w:color w:val="111827"/>
        </w:rPr>
        <w:t>Developing metamorphic testing suites to detect subtle logical contradictions and semantic drift across complex legal arguments.</w:t>
      </w:r>
    </w:p>
    <w:p w14:paraId="21871835" w14:textId="77777777" w:rsidR="00FC607E" w:rsidRDefault="00000000">
      <w:pPr>
        <w:pStyle w:val="ListBullet"/>
        <w:spacing w:before="20" w:after="80" w:line="300" w:lineRule="auto"/>
        <w:jc w:val="both"/>
      </w:pPr>
      <w:r>
        <w:rPr>
          <w:rFonts w:ascii="Times New Roman" w:hAnsi="Times New Roman"/>
          <w:b/>
          <w:color w:val="111827"/>
        </w:rPr>
        <w:t xml:space="preserve">Semantic Entropy &amp; Pre-Retrieval Filtering (Stage 1): </w:t>
      </w:r>
      <w:r>
        <w:rPr>
          <w:rFonts w:ascii="Times New Roman" w:hAnsi="Times New Roman"/>
          <w:color w:val="111827"/>
        </w:rPr>
        <w:t>Integrating token uncertainty estimation and entropy filtering to bypass non-falsifiable text before vector retrieval, optimizing latency.</w:t>
      </w:r>
    </w:p>
    <w:p w14:paraId="56B85E14" w14:textId="77777777" w:rsidR="00FC607E" w:rsidRDefault="00000000">
      <w:r>
        <w:br w:type="page"/>
      </w:r>
    </w:p>
    <w:p w14:paraId="79FE0146" w14:textId="349BA9ED" w:rsidR="00FC607E" w:rsidRDefault="005101FC">
      <w:pPr>
        <w:jc w:val="center"/>
      </w:pPr>
      <w:r>
        <w:rPr>
          <w:rFonts w:ascii="Times New Roman" w:hAnsi="Times New Roman"/>
          <w:color w:val="555555"/>
        </w:rPr>
        <w:lastRenderedPageBreak/>
        <w:t>8</w:t>
      </w:r>
    </w:p>
    <w:p w14:paraId="2083DCBB" w14:textId="77777777" w:rsidR="00FC607E" w:rsidRDefault="00000000">
      <w:pPr>
        <w:pStyle w:val="ListBullet"/>
        <w:spacing w:before="20" w:after="80" w:line="300" w:lineRule="auto"/>
        <w:jc w:val="both"/>
      </w:pPr>
      <w:r>
        <w:rPr>
          <w:rFonts w:ascii="Times New Roman" w:hAnsi="Times New Roman"/>
          <w:b/>
          <w:color w:val="111827"/>
        </w:rPr>
        <w:t xml:space="preserve">Knowledge Base Corpus Expansion: </w:t>
      </w:r>
      <w:r>
        <w:rPr>
          <w:rFonts w:ascii="Times New Roman" w:hAnsi="Times New Roman"/>
          <w:color w:val="111827"/>
        </w:rPr>
        <w:t>Broadening statutory coverage to include national codes (Bharatiya Nyaya Sanhita, commercial law, civil procedure) and high court / supreme court case repositories.</w:t>
      </w:r>
    </w:p>
    <w:p w14:paraId="7DB7C6F9" w14:textId="77777777" w:rsidR="00FC607E" w:rsidRDefault="00000000">
      <w:pPr>
        <w:pStyle w:val="ListBullet"/>
        <w:spacing w:before="20" w:after="80" w:line="300" w:lineRule="auto"/>
        <w:jc w:val="both"/>
      </w:pPr>
      <w:r>
        <w:rPr>
          <w:rFonts w:ascii="Times New Roman" w:hAnsi="Times New Roman"/>
          <w:b/>
          <w:color w:val="111827"/>
        </w:rPr>
        <w:t xml:space="preserve">Domain-Adapted Open NLI Models: </w:t>
      </w:r>
      <w:r>
        <w:rPr>
          <w:rFonts w:ascii="Times New Roman" w:hAnsi="Times New Roman"/>
          <w:color w:val="111827"/>
        </w:rPr>
        <w:t>Fine-tuning localized open-source inference models (e.g., Legal-RoBERTa, DeBERTa-v3) to eliminate reliance on external commercial LLM APIs.</w:t>
      </w:r>
    </w:p>
    <w:p w14:paraId="0E5944E2" w14:textId="77777777" w:rsidR="00FC607E" w:rsidRDefault="00000000">
      <w:pPr>
        <w:pStyle w:val="ListBullet"/>
        <w:spacing w:before="20" w:after="80" w:line="300" w:lineRule="auto"/>
        <w:jc w:val="both"/>
      </w:pPr>
      <w:r>
        <w:rPr>
          <w:rFonts w:ascii="Times New Roman" w:hAnsi="Times New Roman"/>
          <w:b/>
          <w:color w:val="111827"/>
        </w:rPr>
        <w:t xml:space="preserve">Interactive Triage &amp; Human Feedback Loops: </w:t>
      </w:r>
      <w:r>
        <w:rPr>
          <w:rFonts w:ascii="Times New Roman" w:hAnsi="Times New Roman"/>
          <w:color w:val="111827"/>
        </w:rPr>
        <w:t>Enhancing the Next.js dashboard with interactive practitioner review queues for continuous active-learning updates.</w:t>
      </w:r>
    </w:p>
    <w:p w14:paraId="11B4407C" w14:textId="77777777" w:rsidR="00FC607E" w:rsidRDefault="00000000">
      <w:pPr>
        <w:spacing w:after="120" w:line="312" w:lineRule="auto"/>
        <w:jc w:val="both"/>
      </w:pPr>
      <w:r>
        <w:rPr>
          <w:rFonts w:ascii="Times New Roman" w:hAnsi="Times New Roman"/>
          <w:color w:val="111827"/>
        </w:rPr>
        <w:t>Taken together, these directions extend the current, verified foundation of LexGuard toward a comprehensive, multi-jurisdictional AI compliance platform, preserving factual accuracy, transparency, and accountability across legal AI workflows.</w:t>
      </w:r>
    </w:p>
    <w:p w14:paraId="4B1A993B" w14:textId="77777777" w:rsidR="00FC607E" w:rsidRDefault="00000000">
      <w:r>
        <w:br w:type="page"/>
      </w:r>
    </w:p>
    <w:p w14:paraId="56755183" w14:textId="34418462" w:rsidR="00FC607E" w:rsidRDefault="005101FC">
      <w:pPr>
        <w:jc w:val="center"/>
      </w:pPr>
      <w:r>
        <w:rPr>
          <w:rFonts w:ascii="Times New Roman" w:hAnsi="Times New Roman"/>
          <w:color w:val="555555"/>
        </w:rPr>
        <w:lastRenderedPageBreak/>
        <w:t>9</w:t>
      </w:r>
    </w:p>
    <w:p w14:paraId="6DC4E9B3" w14:textId="77777777" w:rsidR="00FC607E" w:rsidRDefault="00000000">
      <w:pPr>
        <w:spacing w:after="320"/>
        <w:jc w:val="center"/>
      </w:pPr>
      <w:r>
        <w:rPr>
          <w:rFonts w:ascii="Times New Roman" w:hAnsi="Times New Roman"/>
          <w:b/>
          <w:color w:val="1F4E79"/>
          <w:sz w:val="28"/>
        </w:rPr>
        <w:t>REFERENCES</w:t>
      </w:r>
    </w:p>
    <w:p w14:paraId="3646736F" w14:textId="77777777" w:rsidR="00FC607E" w:rsidRDefault="00000000">
      <w:pPr>
        <w:spacing w:after="80"/>
        <w:jc w:val="both"/>
      </w:pPr>
      <w:r>
        <w:rPr>
          <w:rFonts w:ascii="Times New Roman" w:hAnsi="Times New Roman"/>
          <w:color w:val="111827"/>
          <w:sz w:val="21"/>
        </w:rPr>
        <w:t>[1] Z. Ji et al., “Survey of Hallucination in Natural Language Generation,” ACM Comput. Surv., vol. 55, no. 12, pp. 1–38, 2023.</w:t>
      </w:r>
    </w:p>
    <w:p w14:paraId="47C74975" w14:textId="77777777" w:rsidR="00FC607E" w:rsidRDefault="00000000">
      <w:pPr>
        <w:spacing w:after="80"/>
        <w:jc w:val="both"/>
      </w:pPr>
      <w:r>
        <w:rPr>
          <w:rFonts w:ascii="Times New Roman" w:hAnsi="Times New Roman"/>
          <w:color w:val="111827"/>
          <w:sz w:val="21"/>
        </w:rPr>
        <w:t>[2] N. F. Katz et al., “GPT-4 Passes the Bar Exam,” Philos. Trans. R. Soc. A, vol. 382, no. 2270, pp. 20230254, 2024.</w:t>
      </w:r>
    </w:p>
    <w:p w14:paraId="4359E911" w14:textId="77777777" w:rsidR="00FC607E" w:rsidRDefault="00000000">
      <w:pPr>
        <w:spacing w:after="80"/>
        <w:jc w:val="both"/>
      </w:pPr>
      <w:r>
        <w:rPr>
          <w:rFonts w:ascii="Times New Roman" w:hAnsi="Times New Roman"/>
          <w:color w:val="111827"/>
          <w:sz w:val="21"/>
        </w:rPr>
        <w:t>[3] M. Dahl et al., “Large Legal Fictions: Profiling Legal Hallucinations in Large Language Models,” J. Leg. Anal., vol. 16, no. 1, pp. 102–145, 2024.</w:t>
      </w:r>
    </w:p>
    <w:p w14:paraId="6B4F09AA" w14:textId="77777777" w:rsidR="00FC607E" w:rsidRDefault="00000000">
      <w:pPr>
        <w:spacing w:after="80"/>
        <w:jc w:val="both"/>
      </w:pPr>
      <w:r>
        <w:rPr>
          <w:rFonts w:ascii="Times New Roman" w:hAnsi="Times New Roman"/>
          <w:color w:val="111827"/>
          <w:sz w:val="21"/>
        </w:rPr>
        <w:t>[4] S. Lin, J. Hilton, and O. Evans, “TruthfulQA: Measuring How Models Mimic Human Falsehoods,” in Proc. 60th Annu. Meeting Assoc. Comput. Linguistics (ACL), 2022, pp. 3214–3252.</w:t>
      </w:r>
    </w:p>
    <w:p w14:paraId="5232AC74" w14:textId="77777777" w:rsidR="00FC607E" w:rsidRDefault="00000000">
      <w:pPr>
        <w:spacing w:after="80"/>
        <w:jc w:val="both"/>
      </w:pPr>
      <w:r>
        <w:rPr>
          <w:rFonts w:ascii="Times New Roman" w:hAnsi="Times New Roman"/>
          <w:color w:val="111827"/>
          <w:sz w:val="21"/>
        </w:rPr>
        <w:t>[5] L. Gao et al., “RARR: Researching and Revising What Language Models Say, Using Language Models,” in Proc. 61st Annu. Meeting Assoc. Comput. Linguistics (ACL), 2023, pp. 16477–16508.</w:t>
      </w:r>
    </w:p>
    <w:p w14:paraId="7D0EB4FB" w14:textId="77777777" w:rsidR="00FC607E" w:rsidRDefault="00000000">
      <w:pPr>
        <w:spacing w:after="80"/>
        <w:jc w:val="both"/>
      </w:pPr>
      <w:r>
        <w:rPr>
          <w:rFonts w:ascii="Times New Roman" w:hAnsi="Times New Roman"/>
          <w:color w:val="111827"/>
          <w:sz w:val="21"/>
        </w:rPr>
        <w:t>[6] P. Lewis et al., “Retrieval-Augmented Generation for Knowledge-Intensive NLP Tasks,” in Adv. Neural Inf. Process. Syst. (NeurIPS), vol. 33, 2020, pp. 9459–9474.</w:t>
      </w:r>
    </w:p>
    <w:p w14:paraId="3841EF07" w14:textId="77777777" w:rsidR="00FC607E" w:rsidRDefault="00000000">
      <w:pPr>
        <w:spacing w:after="80"/>
        <w:jc w:val="both"/>
      </w:pPr>
      <w:r>
        <w:rPr>
          <w:rFonts w:ascii="Times New Roman" w:hAnsi="Times New Roman"/>
          <w:color w:val="111827"/>
          <w:sz w:val="21"/>
        </w:rPr>
        <w:t>[7] J. Johnson, M. Douze, and H. Jégou, “Billion-Scale Similarity Search with GPUs,” IEEE Trans. Big Data, vol. 7, no. 3, pp. 535–547, 2021.</w:t>
      </w:r>
    </w:p>
    <w:p w14:paraId="547BC478" w14:textId="77777777" w:rsidR="00FC607E" w:rsidRDefault="00000000">
      <w:pPr>
        <w:spacing w:after="80"/>
        <w:jc w:val="both"/>
      </w:pPr>
      <w:r>
        <w:rPr>
          <w:rFonts w:ascii="Times New Roman" w:hAnsi="Times New Roman"/>
          <w:color w:val="111827"/>
          <w:sz w:val="21"/>
        </w:rPr>
        <w:t>[8] N. Reimers and I. Gurevych, “Sentence-BERT: Sentence Embeddings using Siamese BERT-Networks,” in Proc. Conf. Empirical Methods Natural Lang. Process. (EMNLP), 2019, pp. 3982–3992.</w:t>
      </w:r>
    </w:p>
    <w:p w14:paraId="2B2D2323" w14:textId="77777777" w:rsidR="00FC607E" w:rsidRDefault="00000000">
      <w:pPr>
        <w:spacing w:after="80"/>
        <w:jc w:val="both"/>
      </w:pPr>
      <w:r>
        <w:rPr>
          <w:rFonts w:ascii="Times New Roman" w:hAnsi="Times New Roman"/>
          <w:color w:val="111827"/>
          <w:sz w:val="21"/>
        </w:rPr>
        <w:t>[9] L. Zheng et al., “Judging LLM-as-a-Judge with MT-Bench and Chatbot Arena,” in Adv. Neural Inf. Process. Syst. (NeurIPS), vol. 36, 2023, pp. 46595–46623.</w:t>
      </w:r>
    </w:p>
    <w:p w14:paraId="7DA9ACA2" w14:textId="77777777" w:rsidR="00FC607E" w:rsidRDefault="00000000">
      <w:pPr>
        <w:spacing w:after="80"/>
        <w:jc w:val="both"/>
      </w:pPr>
      <w:r>
        <w:rPr>
          <w:rFonts w:ascii="Times New Roman" w:hAnsi="Times New Roman"/>
          <w:color w:val="111827"/>
          <w:sz w:val="21"/>
        </w:rPr>
        <w:t>[10] I. Chalkidis et al., “LEGAL-BERT: The Muppets straight out of Law School,” in Findings Assoc. Comput. Linguistics (EMNLP), 2020, pp. 2898–2904.</w:t>
      </w:r>
    </w:p>
    <w:p w14:paraId="7150C885" w14:textId="77777777" w:rsidR="00FC607E" w:rsidRDefault="00000000">
      <w:pPr>
        <w:spacing w:after="80"/>
        <w:jc w:val="both"/>
      </w:pPr>
      <w:r>
        <w:rPr>
          <w:rFonts w:ascii="Times New Roman" w:hAnsi="Times New Roman"/>
          <w:color w:val="111827"/>
          <w:sz w:val="21"/>
        </w:rPr>
        <w:t>[11] L. Kuhn, Y. Gal, and S. Farquhar, “Semantic Uncertainty: Linguistic Invariances for Uncertainty Estimation in Large Language Models,” in Int. Conf. Learn. Represent. (ICLR), 2023.</w:t>
      </w:r>
    </w:p>
    <w:p w14:paraId="43299851" w14:textId="77777777" w:rsidR="00FC607E" w:rsidRDefault="00000000">
      <w:pPr>
        <w:spacing w:after="80"/>
        <w:jc w:val="both"/>
      </w:pPr>
      <w:r>
        <w:rPr>
          <w:rFonts w:ascii="Times New Roman" w:hAnsi="Times New Roman"/>
          <w:color w:val="111827"/>
          <w:sz w:val="21"/>
        </w:rPr>
        <w:t>[12] H. Elsahar and M. Gallé, “To Annotate or Not? Predict Factuality of Hallucinated Claims in NLG,” in Proc. 57th Annu. Meeting Assoc. Comput. Linguistics (ACL), 2019, pp. 2163–2173.</w:t>
      </w:r>
    </w:p>
    <w:p w14:paraId="2DC53AF6" w14:textId="77777777" w:rsidR="00FC607E" w:rsidRDefault="00000000">
      <w:pPr>
        <w:spacing w:after="80"/>
        <w:jc w:val="both"/>
      </w:pPr>
      <w:r>
        <w:rPr>
          <w:rFonts w:ascii="Times New Roman" w:hAnsi="Times New Roman"/>
          <w:color w:val="111827"/>
          <w:sz w:val="21"/>
        </w:rPr>
        <w:t>[13] S. Farquhar et al., “Detecting Hallucinations in Large Language Models Using Semantic Entropy,” Nature, vol. 630, no. 8017, pp. 625–630, 2024.</w:t>
      </w:r>
    </w:p>
    <w:p w14:paraId="0273B98D" w14:textId="77777777" w:rsidR="00FC607E" w:rsidRDefault="00000000">
      <w:pPr>
        <w:spacing w:after="80"/>
        <w:jc w:val="both"/>
      </w:pPr>
      <w:r>
        <w:rPr>
          <w:rFonts w:ascii="Times New Roman" w:hAnsi="Times New Roman"/>
          <w:color w:val="111827"/>
          <w:sz w:val="21"/>
        </w:rPr>
        <w:t>[14] Ministry of Electronics and Information Technology, Government of India, “The Information Technology Act, 2000 (Act No. 21 of 2000),” Universal Law Publishing, New Delhi, 2000.</w:t>
      </w:r>
    </w:p>
    <w:p w14:paraId="2CA202F5" w14:textId="77777777" w:rsidR="00FC607E" w:rsidRDefault="00000000">
      <w:pPr>
        <w:spacing w:after="80"/>
        <w:jc w:val="both"/>
      </w:pPr>
      <w:r>
        <w:rPr>
          <w:rFonts w:ascii="Times New Roman" w:hAnsi="Times New Roman"/>
          <w:color w:val="111827"/>
          <w:sz w:val="21"/>
        </w:rPr>
        <w:t>[15] S. Ramirez and T. Chen, “Automated Legal Citation Verification via Hybrid Knowledge Bases,” IEEE Access, vol. 12, pp. 45112–45124, 2024.</w:t>
      </w:r>
    </w:p>
    <w:p w14:paraId="5E583557" w14:textId="77777777" w:rsidR="00FC607E" w:rsidRDefault="00000000">
      <w:pPr>
        <w:spacing w:after="80"/>
        <w:jc w:val="both"/>
      </w:pPr>
      <w:r>
        <w:rPr>
          <w:rFonts w:ascii="Times New Roman" w:hAnsi="Times New Roman"/>
          <w:color w:val="111827"/>
          <w:sz w:val="21"/>
        </w:rPr>
        <w:t>[16] T. Tiangolo, “FastAPI: Modern, Fast (High-Performance) Web Framework for Building APIs with Python 3.8+,” [Online]. Available: https://fastapi.tiangolo.com.</w:t>
      </w:r>
    </w:p>
    <w:p w14:paraId="79032E42" w14:textId="77777777" w:rsidR="00FC607E" w:rsidRDefault="00000000">
      <w:pPr>
        <w:spacing w:after="80"/>
        <w:jc w:val="both"/>
      </w:pPr>
      <w:r>
        <w:rPr>
          <w:rFonts w:ascii="Times New Roman" w:hAnsi="Times New Roman"/>
          <w:color w:val="111827"/>
          <w:sz w:val="21"/>
        </w:rPr>
        <w:t>[17] Neon Inc., “Serverless Postgres Architecture and Connection Pooling Documentation,” [Online]. Available: https://neon.tech/docs.</w:t>
      </w:r>
    </w:p>
    <w:p w14:paraId="0A128A26" w14:textId="77777777" w:rsidR="00FC607E" w:rsidRDefault="00000000">
      <w:pPr>
        <w:spacing w:after="80"/>
        <w:jc w:val="both"/>
      </w:pPr>
      <w:r>
        <w:rPr>
          <w:rFonts w:ascii="Times New Roman" w:hAnsi="Times New Roman"/>
          <w:color w:val="111827"/>
          <w:sz w:val="21"/>
        </w:rPr>
        <w:t>[18] Vercel Inc., “Next.js App Router Architecture and Server Components,” [Online]. Available: https://nextjs.org/docs.</w:t>
      </w:r>
    </w:p>
    <w:p w14:paraId="044A8423" w14:textId="77777777" w:rsidR="00FC607E" w:rsidRDefault="00000000">
      <w:r>
        <w:br w:type="page"/>
      </w:r>
    </w:p>
    <w:p w14:paraId="39BBEC43" w14:textId="1BF95180" w:rsidR="00FC607E" w:rsidRDefault="005101FC">
      <w:pPr>
        <w:jc w:val="center"/>
      </w:pPr>
      <w:r>
        <w:rPr>
          <w:rFonts w:ascii="Times New Roman" w:hAnsi="Times New Roman"/>
          <w:color w:val="555555"/>
        </w:rPr>
        <w:lastRenderedPageBreak/>
        <w:t>10</w:t>
      </w:r>
    </w:p>
    <w:p w14:paraId="79638CFE" w14:textId="77777777" w:rsidR="00FC607E" w:rsidRDefault="00000000">
      <w:pPr>
        <w:spacing w:after="400"/>
        <w:jc w:val="center"/>
      </w:pPr>
      <w:r>
        <w:rPr>
          <w:rFonts w:ascii="Times New Roman" w:hAnsi="Times New Roman"/>
          <w:b/>
          <w:color w:val="1F4E79"/>
          <w:sz w:val="28"/>
        </w:rPr>
        <w:t>RESEARCH PAPER</w:t>
      </w:r>
    </w:p>
    <w:p w14:paraId="7B24F77D" w14:textId="77777777" w:rsidR="00FC607E" w:rsidRDefault="00000000">
      <w:pPr>
        <w:spacing w:after="120" w:line="312" w:lineRule="auto"/>
        <w:jc w:val="both"/>
      </w:pPr>
      <w:r>
        <w:rPr>
          <w:rFonts w:ascii="Times New Roman" w:hAnsi="Times New Roman"/>
          <w:color w:val="111827"/>
        </w:rPr>
        <w:t>The work presented in this report was consolidated into a research paper titled “LexGuard: A Multi-Stage Pipeline for Legal LLM Hallucination Detection and Factual Grounding” and submitted for conference review under Multicon 2026.</w:t>
      </w:r>
    </w:p>
    <w:p w14:paraId="54376321" w14:textId="77777777" w:rsidR="00FC607E" w:rsidRDefault="00000000">
      <w:pPr>
        <w:spacing w:after="120" w:line="312" w:lineRule="auto"/>
        <w:jc w:val="both"/>
      </w:pPr>
      <w:r>
        <w:rPr>
          <w:rFonts w:ascii="Times New Roman" w:hAnsi="Times New Roman"/>
          <w:color w:val="111827"/>
        </w:rPr>
        <w:t>Authors: Team HALO (Gayatri Bhosale, Niyati Patel, Paarth Agarwal), under the guidance of Project Supervisor.</w:t>
      </w:r>
    </w:p>
    <w:p w14:paraId="6BE2D867" w14:textId="77777777" w:rsidR="00FC607E" w:rsidRDefault="00000000">
      <w:pPr>
        <w:spacing w:after="120" w:line="312" w:lineRule="auto"/>
        <w:jc w:val="both"/>
      </w:pPr>
      <w:r>
        <w:rPr>
          <w:rFonts w:ascii="Times New Roman" w:hAnsi="Times New Roman"/>
          <w:color w:val="111827"/>
        </w:rPr>
        <w:t>The manuscript (6 pages, 3,840 words) was checked for originality through the department's Turnitin account prior to submission and returned an overall similarity score of 2%, with no unresolved integrity flags. The full similarity report is reproduced in Appendix D, and the corresponding publication entry is listed in Appendix C.</w:t>
      </w:r>
    </w:p>
    <w:p w14:paraId="7894EB70" w14:textId="77777777" w:rsidR="00FC607E" w:rsidRDefault="00000000">
      <w:r>
        <w:br w:type="page"/>
      </w:r>
    </w:p>
    <w:p w14:paraId="041929FE" w14:textId="796C0CD2" w:rsidR="00FC607E" w:rsidRDefault="005101FC">
      <w:pPr>
        <w:jc w:val="center"/>
      </w:pPr>
      <w:r>
        <w:rPr>
          <w:rFonts w:ascii="Times New Roman" w:hAnsi="Times New Roman"/>
          <w:color w:val="555555"/>
        </w:rPr>
        <w:lastRenderedPageBreak/>
        <w:t>11</w:t>
      </w:r>
    </w:p>
    <w:p w14:paraId="546CA3F4" w14:textId="77777777" w:rsidR="00FC607E" w:rsidRDefault="00000000">
      <w:pPr>
        <w:spacing w:after="80"/>
        <w:jc w:val="center"/>
      </w:pPr>
      <w:r>
        <w:rPr>
          <w:rFonts w:ascii="Times New Roman" w:hAnsi="Times New Roman"/>
          <w:b/>
          <w:color w:val="1F4E79"/>
          <w:sz w:val="28"/>
        </w:rPr>
        <w:t>APPENDIX A</w:t>
      </w:r>
    </w:p>
    <w:p w14:paraId="66DAA7B2" w14:textId="77777777" w:rsidR="00FC607E" w:rsidRDefault="00000000">
      <w:pPr>
        <w:spacing w:after="320"/>
        <w:jc w:val="center"/>
      </w:pPr>
      <w:r>
        <w:rPr>
          <w:rFonts w:ascii="Times New Roman" w:hAnsi="Times New Roman"/>
          <w:b/>
          <w:color w:val="2E5B88"/>
          <w:sz w:val="26"/>
        </w:rPr>
        <w:t>Abbreviations and Symbols</w:t>
      </w:r>
    </w:p>
    <w:p w14:paraId="6D60529E" w14:textId="77777777" w:rsidR="00FC607E" w:rsidRDefault="00000000">
      <w:pPr>
        <w:spacing w:before="40" w:after="80" w:line="300" w:lineRule="auto"/>
        <w:jc w:val="both"/>
      </w:pPr>
      <w:r>
        <w:rPr>
          <w:rFonts w:ascii="Times New Roman" w:hAnsi="Times New Roman"/>
          <w:b/>
          <w:color w:val="111827"/>
        </w:rPr>
        <w:t xml:space="preserve">1. AI: </w:t>
      </w:r>
      <w:r>
        <w:rPr>
          <w:rFonts w:ascii="Times New Roman" w:hAnsi="Times New Roman"/>
          <w:color w:val="111827"/>
        </w:rPr>
        <w:t>Artificial Intelligence</w:t>
      </w:r>
    </w:p>
    <w:p w14:paraId="234E7A60" w14:textId="77777777" w:rsidR="00FC607E" w:rsidRDefault="00000000">
      <w:pPr>
        <w:spacing w:before="40" w:after="80" w:line="300" w:lineRule="auto"/>
        <w:jc w:val="both"/>
      </w:pPr>
      <w:r>
        <w:rPr>
          <w:rFonts w:ascii="Times New Roman" w:hAnsi="Times New Roman"/>
          <w:b/>
          <w:color w:val="111827"/>
        </w:rPr>
        <w:t xml:space="preserve">2. LLM: </w:t>
      </w:r>
      <w:r>
        <w:rPr>
          <w:rFonts w:ascii="Times New Roman" w:hAnsi="Times New Roman"/>
          <w:color w:val="111827"/>
        </w:rPr>
        <w:t>Large Language Model</w:t>
      </w:r>
    </w:p>
    <w:p w14:paraId="14B97BD6" w14:textId="77777777" w:rsidR="00FC607E" w:rsidRDefault="00000000">
      <w:pPr>
        <w:spacing w:before="40" w:after="80" w:line="300" w:lineRule="auto"/>
        <w:jc w:val="both"/>
      </w:pPr>
      <w:r>
        <w:rPr>
          <w:rFonts w:ascii="Times New Roman" w:hAnsi="Times New Roman"/>
          <w:b/>
          <w:color w:val="111827"/>
        </w:rPr>
        <w:t xml:space="preserve">3. NLP: </w:t>
      </w:r>
      <w:r>
        <w:rPr>
          <w:rFonts w:ascii="Times New Roman" w:hAnsi="Times New Roman"/>
          <w:color w:val="111827"/>
        </w:rPr>
        <w:t>Natural Language Processing</w:t>
      </w:r>
    </w:p>
    <w:p w14:paraId="2AD074BE" w14:textId="77777777" w:rsidR="00FC607E" w:rsidRDefault="00000000">
      <w:pPr>
        <w:spacing w:before="40" w:after="80" w:line="300" w:lineRule="auto"/>
        <w:jc w:val="both"/>
      </w:pPr>
      <w:r>
        <w:rPr>
          <w:rFonts w:ascii="Times New Roman" w:hAnsi="Times New Roman"/>
          <w:b/>
          <w:color w:val="111827"/>
        </w:rPr>
        <w:t xml:space="preserve">4. NLI: </w:t>
      </w:r>
      <w:r>
        <w:rPr>
          <w:rFonts w:ascii="Times New Roman" w:hAnsi="Times New Roman"/>
          <w:color w:val="111827"/>
        </w:rPr>
        <w:t>Natural Language Inference</w:t>
      </w:r>
    </w:p>
    <w:p w14:paraId="1A1B791D" w14:textId="77777777" w:rsidR="00FC607E" w:rsidRDefault="00000000">
      <w:pPr>
        <w:spacing w:before="40" w:after="80" w:line="300" w:lineRule="auto"/>
        <w:jc w:val="both"/>
      </w:pPr>
      <w:r>
        <w:rPr>
          <w:rFonts w:ascii="Times New Roman" w:hAnsi="Times New Roman"/>
          <w:b/>
          <w:color w:val="111827"/>
        </w:rPr>
        <w:t xml:space="preserve">5. KB: </w:t>
      </w:r>
      <w:r>
        <w:rPr>
          <w:rFonts w:ascii="Times New Roman" w:hAnsi="Times New Roman"/>
          <w:color w:val="111827"/>
        </w:rPr>
        <w:t>Knowledge Base</w:t>
      </w:r>
    </w:p>
    <w:p w14:paraId="2B020A14" w14:textId="77777777" w:rsidR="00FC607E" w:rsidRDefault="00000000">
      <w:pPr>
        <w:spacing w:before="40" w:after="80" w:line="300" w:lineRule="auto"/>
        <w:jc w:val="both"/>
      </w:pPr>
      <w:r>
        <w:rPr>
          <w:rFonts w:ascii="Times New Roman" w:hAnsi="Times New Roman"/>
          <w:b/>
          <w:color w:val="111827"/>
        </w:rPr>
        <w:t xml:space="preserve">6. FAISS: </w:t>
      </w:r>
      <w:r>
        <w:rPr>
          <w:rFonts w:ascii="Times New Roman" w:hAnsi="Times New Roman"/>
          <w:color w:val="111827"/>
        </w:rPr>
        <w:t>Facebook AI Similarity Search</w:t>
      </w:r>
    </w:p>
    <w:p w14:paraId="0849721E" w14:textId="77777777" w:rsidR="00FC607E" w:rsidRDefault="00000000">
      <w:pPr>
        <w:spacing w:before="40" w:after="80" w:line="300" w:lineRule="auto"/>
        <w:jc w:val="both"/>
      </w:pPr>
      <w:r>
        <w:rPr>
          <w:rFonts w:ascii="Times New Roman" w:hAnsi="Times New Roman"/>
          <w:b/>
          <w:color w:val="111827"/>
        </w:rPr>
        <w:t xml:space="preserve">7. RAG: </w:t>
      </w:r>
      <w:r>
        <w:rPr>
          <w:rFonts w:ascii="Times New Roman" w:hAnsi="Times New Roman"/>
          <w:color w:val="111827"/>
        </w:rPr>
        <w:t>Retrieval-Augmented Generation</w:t>
      </w:r>
    </w:p>
    <w:p w14:paraId="04AB9C01" w14:textId="77777777" w:rsidR="00FC607E" w:rsidRDefault="00000000">
      <w:pPr>
        <w:spacing w:before="40" w:after="80" w:line="300" w:lineRule="auto"/>
        <w:jc w:val="both"/>
      </w:pPr>
      <w:r>
        <w:rPr>
          <w:rFonts w:ascii="Times New Roman" w:hAnsi="Times New Roman"/>
          <w:b/>
          <w:color w:val="111827"/>
        </w:rPr>
        <w:t xml:space="preserve">8. SDK: </w:t>
      </w:r>
      <w:r>
        <w:rPr>
          <w:rFonts w:ascii="Times New Roman" w:hAnsi="Times New Roman"/>
          <w:color w:val="111827"/>
        </w:rPr>
        <w:t>Software Development Kit</w:t>
      </w:r>
    </w:p>
    <w:p w14:paraId="468C8132" w14:textId="77777777" w:rsidR="00FC607E" w:rsidRDefault="00000000">
      <w:pPr>
        <w:spacing w:before="40" w:after="80" w:line="300" w:lineRule="auto"/>
        <w:jc w:val="both"/>
      </w:pPr>
      <w:r>
        <w:rPr>
          <w:rFonts w:ascii="Times New Roman" w:hAnsi="Times New Roman"/>
          <w:b/>
          <w:color w:val="111827"/>
        </w:rPr>
        <w:t xml:space="preserve">9. API: </w:t>
      </w:r>
      <w:r>
        <w:rPr>
          <w:rFonts w:ascii="Times New Roman" w:hAnsi="Times New Roman"/>
          <w:color w:val="111827"/>
        </w:rPr>
        <w:t>Application Programming Interface</w:t>
      </w:r>
    </w:p>
    <w:p w14:paraId="174522CC" w14:textId="77777777" w:rsidR="00FC607E" w:rsidRDefault="00000000">
      <w:pPr>
        <w:spacing w:before="40" w:after="80" w:line="300" w:lineRule="auto"/>
        <w:jc w:val="both"/>
      </w:pPr>
      <w:r>
        <w:rPr>
          <w:rFonts w:ascii="Times New Roman" w:hAnsi="Times New Roman"/>
          <w:b/>
          <w:color w:val="111827"/>
        </w:rPr>
        <w:t xml:space="preserve">10. REST: </w:t>
      </w:r>
      <w:r>
        <w:rPr>
          <w:rFonts w:ascii="Times New Roman" w:hAnsi="Times New Roman"/>
          <w:color w:val="111827"/>
        </w:rPr>
        <w:t>Representational State Transfer</w:t>
      </w:r>
    </w:p>
    <w:p w14:paraId="5254B876" w14:textId="77777777" w:rsidR="00FC607E" w:rsidRDefault="00000000">
      <w:pPr>
        <w:spacing w:before="40" w:after="80" w:line="300" w:lineRule="auto"/>
        <w:jc w:val="both"/>
      </w:pPr>
      <w:r>
        <w:rPr>
          <w:rFonts w:ascii="Times New Roman" w:hAnsi="Times New Roman"/>
          <w:b/>
          <w:color w:val="111827"/>
        </w:rPr>
        <w:t xml:space="preserve">11. ORM: </w:t>
      </w:r>
      <w:r>
        <w:rPr>
          <w:rFonts w:ascii="Times New Roman" w:hAnsi="Times New Roman"/>
          <w:color w:val="111827"/>
        </w:rPr>
        <w:t>Object-Relational Mapping</w:t>
      </w:r>
    </w:p>
    <w:p w14:paraId="1735643B" w14:textId="77777777" w:rsidR="00FC607E" w:rsidRDefault="00000000">
      <w:pPr>
        <w:spacing w:before="40" w:after="80" w:line="300" w:lineRule="auto"/>
        <w:jc w:val="both"/>
      </w:pPr>
      <w:r>
        <w:rPr>
          <w:rFonts w:ascii="Times New Roman" w:hAnsi="Times New Roman"/>
          <w:b/>
          <w:color w:val="111827"/>
        </w:rPr>
        <w:t xml:space="preserve">12. TI: </w:t>
      </w:r>
      <w:r>
        <w:rPr>
          <w:rFonts w:ascii="Times New Roman" w:hAnsi="Times New Roman"/>
          <w:color w:val="111827"/>
        </w:rPr>
        <w:t>Trust Index</w:t>
      </w:r>
    </w:p>
    <w:p w14:paraId="7652EB58" w14:textId="77777777" w:rsidR="00FC607E" w:rsidRDefault="00000000">
      <w:pPr>
        <w:spacing w:before="40" w:after="80" w:line="300" w:lineRule="auto"/>
        <w:jc w:val="both"/>
      </w:pPr>
      <w:r>
        <w:rPr>
          <w:rFonts w:ascii="Times New Roman" w:hAnsi="Times New Roman"/>
          <w:b/>
          <w:color w:val="111827"/>
        </w:rPr>
        <w:t xml:space="preserve">13. JSON: </w:t>
      </w:r>
      <w:r>
        <w:rPr>
          <w:rFonts w:ascii="Times New Roman" w:hAnsi="Times New Roman"/>
          <w:color w:val="111827"/>
        </w:rPr>
        <w:t>JavaScript Object Notation</w:t>
      </w:r>
    </w:p>
    <w:p w14:paraId="661B8CD9" w14:textId="77777777" w:rsidR="00FC607E" w:rsidRDefault="00000000">
      <w:pPr>
        <w:spacing w:before="40" w:after="80" w:line="300" w:lineRule="auto"/>
        <w:jc w:val="both"/>
      </w:pPr>
      <w:r>
        <w:rPr>
          <w:rFonts w:ascii="Times New Roman" w:hAnsi="Times New Roman"/>
          <w:b/>
          <w:color w:val="111827"/>
        </w:rPr>
        <w:t xml:space="preserve">14. JSONL: </w:t>
      </w:r>
      <w:r>
        <w:rPr>
          <w:rFonts w:ascii="Times New Roman" w:hAnsi="Times New Roman"/>
          <w:color w:val="111827"/>
        </w:rPr>
        <w:t>JavaScript Object Notation Lines</w:t>
      </w:r>
    </w:p>
    <w:p w14:paraId="49F740AA" w14:textId="77777777" w:rsidR="00FC607E" w:rsidRDefault="00000000">
      <w:pPr>
        <w:spacing w:before="40" w:after="80" w:line="300" w:lineRule="auto"/>
        <w:jc w:val="both"/>
      </w:pPr>
      <w:r>
        <w:rPr>
          <w:rFonts w:ascii="Times New Roman" w:hAnsi="Times New Roman"/>
          <w:b/>
          <w:color w:val="111827"/>
        </w:rPr>
        <w:t xml:space="preserve">15. IT Act: </w:t>
      </w:r>
      <w:r>
        <w:rPr>
          <w:rFonts w:ascii="Times New Roman" w:hAnsi="Times New Roman"/>
          <w:color w:val="111827"/>
        </w:rPr>
        <w:t>Information Technology Act, 2000</w:t>
      </w:r>
    </w:p>
    <w:p w14:paraId="2D789FD0" w14:textId="77777777" w:rsidR="00FC607E" w:rsidRDefault="00000000">
      <w:pPr>
        <w:spacing w:before="40" w:after="80" w:line="300" w:lineRule="auto"/>
        <w:jc w:val="both"/>
      </w:pPr>
      <w:r>
        <w:rPr>
          <w:rFonts w:ascii="Times New Roman" w:hAnsi="Times New Roman"/>
          <w:b/>
          <w:color w:val="111827"/>
        </w:rPr>
        <w:t xml:space="preserve">16. PII: </w:t>
      </w:r>
      <w:r>
        <w:rPr>
          <w:rFonts w:ascii="Times New Roman" w:hAnsi="Times New Roman"/>
          <w:color w:val="111827"/>
        </w:rPr>
        <w:t>Personally Identifiable Information</w:t>
      </w:r>
    </w:p>
    <w:p w14:paraId="0797B12D" w14:textId="77777777" w:rsidR="00FC607E" w:rsidRDefault="00000000">
      <w:pPr>
        <w:spacing w:before="40" w:after="80" w:line="300" w:lineRule="auto"/>
        <w:jc w:val="both"/>
      </w:pPr>
      <w:r>
        <w:rPr>
          <w:rFonts w:ascii="Times New Roman" w:hAnsi="Times New Roman"/>
          <w:b/>
          <w:color w:val="111827"/>
        </w:rPr>
        <w:t xml:space="preserve">17. UI: </w:t>
      </w:r>
      <w:r>
        <w:rPr>
          <w:rFonts w:ascii="Times New Roman" w:hAnsi="Times New Roman"/>
          <w:color w:val="111827"/>
        </w:rPr>
        <w:t>User Interface</w:t>
      </w:r>
    </w:p>
    <w:p w14:paraId="6174D12E" w14:textId="77777777" w:rsidR="00FC607E" w:rsidRDefault="00000000">
      <w:pPr>
        <w:spacing w:before="40" w:after="80" w:line="300" w:lineRule="auto"/>
        <w:jc w:val="both"/>
      </w:pPr>
      <w:r>
        <w:rPr>
          <w:rFonts w:ascii="Times New Roman" w:hAnsi="Times New Roman"/>
          <w:b/>
          <w:color w:val="111827"/>
        </w:rPr>
        <w:t xml:space="preserve">18. UX: </w:t>
      </w:r>
      <w:r>
        <w:rPr>
          <w:rFonts w:ascii="Times New Roman" w:hAnsi="Times New Roman"/>
          <w:color w:val="111827"/>
        </w:rPr>
        <w:t>User Experience</w:t>
      </w:r>
    </w:p>
    <w:p w14:paraId="5989B6A3" w14:textId="77777777" w:rsidR="00FC607E" w:rsidRDefault="00000000">
      <w:pPr>
        <w:spacing w:before="40" w:after="80" w:line="300" w:lineRule="auto"/>
        <w:jc w:val="both"/>
      </w:pPr>
      <w:r>
        <w:rPr>
          <w:rFonts w:ascii="Times New Roman" w:hAnsi="Times New Roman"/>
          <w:b/>
          <w:color w:val="111827"/>
        </w:rPr>
        <w:t xml:space="preserve">19. AUC: </w:t>
      </w:r>
      <w:r>
        <w:rPr>
          <w:rFonts w:ascii="Times New Roman" w:hAnsi="Times New Roman"/>
          <w:color w:val="111827"/>
        </w:rPr>
        <w:t>Area Under the ROC Curve</w:t>
      </w:r>
    </w:p>
    <w:p w14:paraId="13307EC2" w14:textId="77777777" w:rsidR="00FC607E" w:rsidRDefault="00000000">
      <w:pPr>
        <w:spacing w:before="40" w:after="80" w:line="300" w:lineRule="auto"/>
        <w:jc w:val="both"/>
      </w:pPr>
      <w:r>
        <w:rPr>
          <w:rFonts w:ascii="Times New Roman" w:hAnsi="Times New Roman"/>
          <w:b/>
          <w:color w:val="111827"/>
        </w:rPr>
        <w:t xml:space="preserve">20. ROC: </w:t>
      </w:r>
      <w:r>
        <w:rPr>
          <w:rFonts w:ascii="Times New Roman" w:hAnsi="Times New Roman"/>
          <w:color w:val="111827"/>
        </w:rPr>
        <w:t>Receiver Operating Characteristic</w:t>
      </w:r>
    </w:p>
    <w:p w14:paraId="467B8F66" w14:textId="77777777" w:rsidR="00FC607E" w:rsidRDefault="00000000">
      <w:pPr>
        <w:spacing w:before="40" w:after="80" w:line="300" w:lineRule="auto"/>
        <w:jc w:val="both"/>
      </w:pPr>
      <w:r>
        <w:rPr>
          <w:rFonts w:ascii="Times New Roman" w:hAnsi="Times New Roman"/>
          <w:b/>
          <w:color w:val="111827"/>
        </w:rPr>
        <w:t xml:space="preserve">21. F1: </w:t>
      </w:r>
      <w:r>
        <w:rPr>
          <w:rFonts w:ascii="Times New Roman" w:hAnsi="Times New Roman"/>
          <w:color w:val="111827"/>
        </w:rPr>
        <w:t>Harmonic Mean of Precision and Recall</w:t>
      </w:r>
    </w:p>
    <w:p w14:paraId="0D391B5E" w14:textId="77777777" w:rsidR="00FC607E" w:rsidRDefault="00000000">
      <w:pPr>
        <w:spacing w:before="40" w:after="80" w:line="300" w:lineRule="auto"/>
        <w:jc w:val="both"/>
      </w:pPr>
      <w:r>
        <w:rPr>
          <w:rFonts w:ascii="Times New Roman" w:hAnsi="Times New Roman"/>
          <w:b/>
          <w:color w:val="111827"/>
        </w:rPr>
        <w:t xml:space="preserve">22. SQL: </w:t>
      </w:r>
      <w:r>
        <w:rPr>
          <w:rFonts w:ascii="Times New Roman" w:hAnsi="Times New Roman"/>
          <w:color w:val="111827"/>
        </w:rPr>
        <w:t>Structured Query Language</w:t>
      </w:r>
    </w:p>
    <w:p w14:paraId="62DB9A6C" w14:textId="77777777" w:rsidR="00FC607E" w:rsidRDefault="00000000">
      <w:pPr>
        <w:spacing w:before="40" w:after="80" w:line="300" w:lineRule="auto"/>
        <w:jc w:val="both"/>
      </w:pPr>
      <w:r>
        <w:rPr>
          <w:rFonts w:ascii="Times New Roman" w:hAnsi="Times New Roman"/>
          <w:b/>
          <w:color w:val="111827"/>
        </w:rPr>
        <w:t xml:space="preserve">23. TCET: </w:t>
      </w:r>
      <w:r>
        <w:rPr>
          <w:rFonts w:ascii="Times New Roman" w:hAnsi="Times New Roman"/>
          <w:color w:val="111827"/>
        </w:rPr>
        <w:t>Thakur College of Engineering &amp; Technology</w:t>
      </w:r>
    </w:p>
    <w:p w14:paraId="1DC000B2" w14:textId="77777777" w:rsidR="00FC607E" w:rsidRDefault="00000000">
      <w:pPr>
        <w:spacing w:before="40" w:after="80" w:line="300" w:lineRule="auto"/>
        <w:jc w:val="both"/>
      </w:pPr>
      <w:r>
        <w:rPr>
          <w:rFonts w:ascii="Times New Roman" w:hAnsi="Times New Roman"/>
          <w:b/>
          <w:color w:val="111827"/>
        </w:rPr>
        <w:t xml:space="preserve">24. UoM: </w:t>
      </w:r>
      <w:r>
        <w:rPr>
          <w:rFonts w:ascii="Times New Roman" w:hAnsi="Times New Roman"/>
          <w:color w:val="111827"/>
        </w:rPr>
        <w:t>University of Mumbai</w:t>
      </w:r>
    </w:p>
    <w:p w14:paraId="69E76FDF" w14:textId="77777777" w:rsidR="00FC607E" w:rsidRDefault="00000000">
      <w:pPr>
        <w:spacing w:before="40" w:after="80" w:line="300" w:lineRule="auto"/>
        <w:jc w:val="both"/>
      </w:pPr>
      <w:r>
        <w:rPr>
          <w:rFonts w:ascii="Times New Roman" w:hAnsi="Times New Roman"/>
          <w:b/>
          <w:color w:val="111827"/>
        </w:rPr>
        <w:t xml:space="preserve">25. AICTE: </w:t>
      </w:r>
      <w:r>
        <w:rPr>
          <w:rFonts w:ascii="Times New Roman" w:hAnsi="Times New Roman"/>
          <w:color w:val="111827"/>
        </w:rPr>
        <w:t>All India Council for Technical Education</w:t>
      </w:r>
    </w:p>
    <w:p w14:paraId="6EBBBB97" w14:textId="77777777" w:rsidR="00FC607E" w:rsidRDefault="00000000">
      <w:r>
        <w:br w:type="page"/>
      </w:r>
    </w:p>
    <w:p w14:paraId="33187A2E" w14:textId="7FFD1B64" w:rsidR="00FC607E" w:rsidRDefault="005101FC">
      <w:pPr>
        <w:jc w:val="center"/>
      </w:pPr>
      <w:r>
        <w:rPr>
          <w:rFonts w:ascii="Times New Roman" w:hAnsi="Times New Roman"/>
          <w:color w:val="555555"/>
        </w:rPr>
        <w:lastRenderedPageBreak/>
        <w:t>12</w:t>
      </w:r>
    </w:p>
    <w:p w14:paraId="4D1406F5" w14:textId="77777777" w:rsidR="00FC607E" w:rsidRDefault="00000000">
      <w:pPr>
        <w:spacing w:after="80"/>
        <w:jc w:val="center"/>
      </w:pPr>
      <w:r>
        <w:rPr>
          <w:rFonts w:ascii="Times New Roman" w:hAnsi="Times New Roman"/>
          <w:b/>
          <w:color w:val="1F4E79"/>
          <w:sz w:val="28"/>
        </w:rPr>
        <w:t>APPENDIX B</w:t>
      </w:r>
    </w:p>
    <w:p w14:paraId="145BD374" w14:textId="77777777" w:rsidR="00FC607E" w:rsidRDefault="00000000">
      <w:pPr>
        <w:spacing w:after="320"/>
        <w:jc w:val="center"/>
      </w:pPr>
      <w:r>
        <w:rPr>
          <w:rFonts w:ascii="Times New Roman" w:hAnsi="Times New Roman"/>
          <w:b/>
          <w:color w:val="2E5B88"/>
          <w:sz w:val="26"/>
        </w:rPr>
        <w:t>Definitions</w:t>
      </w:r>
    </w:p>
    <w:p w14:paraId="21CBB294" w14:textId="77777777" w:rsidR="00FC607E" w:rsidRDefault="00000000">
      <w:pPr>
        <w:spacing w:before="40" w:after="80" w:line="300" w:lineRule="auto"/>
        <w:jc w:val="both"/>
      </w:pPr>
      <w:r>
        <w:rPr>
          <w:rFonts w:ascii="Times New Roman" w:hAnsi="Times New Roman"/>
          <w:b/>
          <w:color w:val="111827"/>
        </w:rPr>
        <w:t xml:space="preserve">26. Legal Hallucination: </w:t>
      </w:r>
      <w:r>
        <w:rPr>
          <w:rFonts w:ascii="Times New Roman" w:hAnsi="Times New Roman"/>
          <w:color w:val="111827"/>
        </w:rPr>
        <w:t>The generation of fabricated, inaccurate, or ungrounded assertions by an AI model, including non-existent statutory sections, fictitious case citations, or misrepresented legal holdings.</w:t>
      </w:r>
    </w:p>
    <w:p w14:paraId="1E8E9C67" w14:textId="77777777" w:rsidR="00FC607E" w:rsidRDefault="00000000">
      <w:pPr>
        <w:spacing w:before="40" w:after="80" w:line="300" w:lineRule="auto"/>
        <w:jc w:val="both"/>
      </w:pPr>
      <w:r>
        <w:rPr>
          <w:rFonts w:ascii="Times New Roman" w:hAnsi="Times New Roman"/>
          <w:b/>
          <w:color w:val="111827"/>
        </w:rPr>
        <w:t xml:space="preserve">27. Atomic Claim Decomposition: </w:t>
      </w:r>
      <w:r>
        <w:rPr>
          <w:rFonts w:ascii="Times New Roman" w:hAnsi="Times New Roman"/>
          <w:color w:val="111827"/>
        </w:rPr>
        <w:t>The systematic process of deconstructing complex, multi-sentence legal text into standalone, single-fact assertions that can be independently evaluated for factual truth.</w:t>
      </w:r>
    </w:p>
    <w:p w14:paraId="6012DD94" w14:textId="77777777" w:rsidR="00FC607E" w:rsidRDefault="00000000">
      <w:pPr>
        <w:spacing w:before="40" w:after="80" w:line="300" w:lineRule="auto"/>
        <w:jc w:val="both"/>
      </w:pPr>
      <w:r>
        <w:rPr>
          <w:rFonts w:ascii="Times New Roman" w:hAnsi="Times New Roman"/>
          <w:b/>
          <w:color w:val="111827"/>
        </w:rPr>
        <w:t xml:space="preserve">28. Knowledge Base Grounding: </w:t>
      </w:r>
      <w:r>
        <w:rPr>
          <w:rFonts w:ascii="Times New Roman" w:hAnsi="Times New Roman"/>
          <w:color w:val="111827"/>
        </w:rPr>
        <w:t>The deterministic verification of an extracted claim by comparing its semantic representation against verified statutory and case law text stored in an indexed repository.</w:t>
      </w:r>
    </w:p>
    <w:p w14:paraId="4ECB5F84" w14:textId="77777777" w:rsidR="00FC607E" w:rsidRDefault="00000000">
      <w:pPr>
        <w:spacing w:before="40" w:after="80" w:line="300" w:lineRule="auto"/>
        <w:jc w:val="both"/>
      </w:pPr>
      <w:r>
        <w:rPr>
          <w:rFonts w:ascii="Times New Roman" w:hAnsi="Times New Roman"/>
          <w:b/>
          <w:color w:val="111827"/>
        </w:rPr>
        <w:t xml:space="preserve">29. Natural Language Inference (NLI): </w:t>
      </w:r>
      <w:r>
        <w:rPr>
          <w:rFonts w:ascii="Times New Roman" w:hAnsi="Times New Roman"/>
          <w:color w:val="111827"/>
        </w:rPr>
        <w:t>A computational task that determines whether a given hypothesis (extracted claim) is logically entailed by, contradictory to, or neutral with respect to a provided premise (statutory evidence).</w:t>
      </w:r>
    </w:p>
    <w:p w14:paraId="6B1C223E" w14:textId="77777777" w:rsidR="00FC607E" w:rsidRDefault="00000000">
      <w:pPr>
        <w:spacing w:before="40" w:after="80" w:line="300" w:lineRule="auto"/>
        <w:jc w:val="both"/>
      </w:pPr>
      <w:r>
        <w:rPr>
          <w:rFonts w:ascii="Times New Roman" w:hAnsi="Times New Roman"/>
          <w:b/>
          <w:color w:val="111827"/>
        </w:rPr>
        <w:t xml:space="preserve">30. LLM-as-a-Judge: </w:t>
      </w:r>
      <w:r>
        <w:rPr>
          <w:rFonts w:ascii="Times New Roman" w:hAnsi="Times New Roman"/>
          <w:color w:val="111827"/>
        </w:rPr>
        <w:t>A paradigm where a zero-shot or few-shot prompted Large Language Model evaluates the factual alignment and entailment between candidate claims and reference evidence.</w:t>
      </w:r>
    </w:p>
    <w:p w14:paraId="315A95D1" w14:textId="77777777" w:rsidR="00FC607E" w:rsidRDefault="00000000">
      <w:pPr>
        <w:spacing w:before="40" w:after="80" w:line="300" w:lineRule="auto"/>
        <w:jc w:val="both"/>
      </w:pPr>
      <w:r>
        <w:rPr>
          <w:rFonts w:ascii="Times New Roman" w:hAnsi="Times New Roman"/>
          <w:b/>
          <w:color w:val="111827"/>
        </w:rPr>
        <w:t xml:space="preserve">31. Trust Index (TI): </w:t>
      </w:r>
      <w:r>
        <w:rPr>
          <w:rFonts w:ascii="Times New Roman" w:hAnsi="Times New Roman"/>
          <w:color w:val="111827"/>
        </w:rPr>
        <w:t>A normalized quantitative metric (ranging from 0.0 to 1.0) indicating the overall reliability of an input text, computed from the weighted aggregation of its constituent claim verdicts.</w:t>
      </w:r>
    </w:p>
    <w:p w14:paraId="7B323EFA" w14:textId="77777777" w:rsidR="00FC607E" w:rsidRDefault="00000000">
      <w:pPr>
        <w:spacing w:before="40" w:after="80" w:line="300" w:lineRule="auto"/>
        <w:jc w:val="both"/>
      </w:pPr>
      <w:r>
        <w:rPr>
          <w:rFonts w:ascii="Times New Roman" w:hAnsi="Times New Roman"/>
          <w:b/>
          <w:color w:val="111827"/>
        </w:rPr>
        <w:t xml:space="preserve">32. Vector Retrieval: </w:t>
      </w:r>
      <w:r>
        <w:rPr>
          <w:rFonts w:ascii="Times New Roman" w:hAnsi="Times New Roman"/>
          <w:color w:val="111827"/>
        </w:rPr>
        <w:t>An information retrieval technique using dense vector embeddings (generated by transformer models) to measure cosine similarity between query text and knowledge base documents.</w:t>
      </w:r>
    </w:p>
    <w:p w14:paraId="51A6E4AC" w14:textId="77777777" w:rsidR="00FC607E" w:rsidRDefault="00000000">
      <w:pPr>
        <w:spacing w:before="40" w:after="80" w:line="300" w:lineRule="auto"/>
        <w:jc w:val="both"/>
      </w:pPr>
      <w:r>
        <w:rPr>
          <w:rFonts w:ascii="Times New Roman" w:hAnsi="Times New Roman"/>
          <w:b/>
          <w:color w:val="111827"/>
        </w:rPr>
        <w:t xml:space="preserve">33. Fallback Web Search: </w:t>
      </w:r>
      <w:r>
        <w:rPr>
          <w:rFonts w:ascii="Times New Roman" w:hAnsi="Times New Roman"/>
          <w:color w:val="111827"/>
        </w:rPr>
        <w:t>An auxiliary retrieval pipeline that queries external legal databases and search engines when a candidate claim is missing from the local static knowledge base.</w:t>
      </w:r>
    </w:p>
    <w:p w14:paraId="0A9F6B09" w14:textId="77777777" w:rsidR="00FC607E" w:rsidRDefault="00000000">
      <w:pPr>
        <w:spacing w:before="40" w:after="80" w:line="300" w:lineRule="auto"/>
        <w:jc w:val="both"/>
      </w:pPr>
      <w:r>
        <w:rPr>
          <w:rFonts w:ascii="Times New Roman" w:hAnsi="Times New Roman"/>
          <w:b/>
          <w:color w:val="111827"/>
        </w:rPr>
        <w:t xml:space="preserve">34. Metamorphic Consistency: </w:t>
      </w:r>
      <w:r>
        <w:rPr>
          <w:rFonts w:ascii="Times New Roman" w:hAnsi="Times New Roman"/>
          <w:color w:val="111827"/>
        </w:rPr>
        <w:t>A software testing and validation methodology that verifies whether an AI model maintains logical and factual consistency under semantic perturbations and transformations.</w:t>
      </w:r>
    </w:p>
    <w:p w14:paraId="20D9F5DD" w14:textId="77777777" w:rsidR="00FC607E" w:rsidRDefault="00000000">
      <w:r>
        <w:br w:type="page"/>
      </w:r>
    </w:p>
    <w:p w14:paraId="64B9DE99" w14:textId="1D345CF2" w:rsidR="00FC607E" w:rsidRDefault="00000000">
      <w:pPr>
        <w:jc w:val="center"/>
      </w:pPr>
      <w:r>
        <w:rPr>
          <w:rFonts w:ascii="Times New Roman" w:hAnsi="Times New Roman"/>
          <w:color w:val="555555"/>
        </w:rPr>
        <w:lastRenderedPageBreak/>
        <w:t>1</w:t>
      </w:r>
      <w:r w:rsidR="005101FC">
        <w:rPr>
          <w:rFonts w:ascii="Times New Roman" w:hAnsi="Times New Roman"/>
          <w:color w:val="555555"/>
        </w:rPr>
        <w:t>3</w:t>
      </w:r>
    </w:p>
    <w:p w14:paraId="499D8014" w14:textId="77777777" w:rsidR="00FC607E" w:rsidRDefault="00000000">
      <w:pPr>
        <w:spacing w:after="80"/>
        <w:jc w:val="center"/>
      </w:pPr>
      <w:r>
        <w:rPr>
          <w:rFonts w:ascii="Times New Roman" w:hAnsi="Times New Roman"/>
          <w:b/>
          <w:color w:val="1F4E79"/>
          <w:sz w:val="28"/>
        </w:rPr>
        <w:t>APPENDIX C</w:t>
      </w:r>
    </w:p>
    <w:p w14:paraId="3A4759B4" w14:textId="77777777" w:rsidR="00FC607E" w:rsidRDefault="00000000">
      <w:pPr>
        <w:spacing w:after="320"/>
        <w:jc w:val="center"/>
      </w:pPr>
      <w:r>
        <w:rPr>
          <w:rFonts w:ascii="Times New Roman" w:hAnsi="Times New Roman"/>
          <w:b/>
          <w:color w:val="2E5B88"/>
          <w:sz w:val="26"/>
        </w:rPr>
        <w:t>List of Publications</w:t>
      </w:r>
    </w:p>
    <w:p w14:paraId="5E493172" w14:textId="77777777" w:rsidR="00FC607E" w:rsidRDefault="00000000">
      <w:pPr>
        <w:spacing w:after="120" w:line="312" w:lineRule="auto"/>
        <w:jc w:val="both"/>
      </w:pPr>
      <w:r>
        <w:rPr>
          <w:rFonts w:ascii="Times New Roman" w:hAnsi="Times New Roman"/>
          <w:color w:val="111827"/>
        </w:rPr>
        <w:t>[1] Gayatri Bhosale, Niyati Patel, Paarth Agarwal, and Project Supervisor, “LexGuard: A Multi-Stage Pipeline for Legal LLM Hallucination Detection and Factual Grounding,” paper submitted to Multicon 2026 [add conference/journal details, volume, page numbers, and DOI upon publication].</w:t>
      </w:r>
    </w:p>
    <w:p w14:paraId="38FAC133" w14:textId="77777777" w:rsidR="00FC607E" w:rsidRDefault="00000000">
      <w:pPr>
        <w:spacing w:after="120" w:line="312" w:lineRule="auto"/>
        <w:jc w:val="both"/>
      </w:pPr>
      <w:r>
        <w:rPr>
          <w:rFonts w:ascii="Times New Roman" w:hAnsi="Times New Roman"/>
          <w:color w:val="111827"/>
        </w:rPr>
        <w:t>The originality of the manuscript was verified through the department's Turnitin account prior to submission (Submission ID: trn:oid:::3618:140292811), returning an overall similarity of 2%. The corresponding plagiarism report is attached in Appendix D.</w:t>
      </w:r>
    </w:p>
    <w:p w14:paraId="06D292C1" w14:textId="77777777" w:rsidR="00FC607E" w:rsidRDefault="00000000">
      <w:r>
        <w:br w:type="page"/>
      </w:r>
    </w:p>
    <w:p w14:paraId="5754A5B1" w14:textId="7DC54066" w:rsidR="00FC607E" w:rsidRDefault="00000000">
      <w:pPr>
        <w:jc w:val="center"/>
      </w:pPr>
      <w:r>
        <w:rPr>
          <w:rFonts w:ascii="Times New Roman" w:hAnsi="Times New Roman"/>
          <w:color w:val="555555"/>
        </w:rPr>
        <w:lastRenderedPageBreak/>
        <w:t>1</w:t>
      </w:r>
      <w:r w:rsidR="005101FC">
        <w:rPr>
          <w:rFonts w:ascii="Times New Roman" w:hAnsi="Times New Roman"/>
          <w:color w:val="555555"/>
        </w:rPr>
        <w:t>4</w:t>
      </w:r>
    </w:p>
    <w:p w14:paraId="65655E40" w14:textId="77777777" w:rsidR="00FC607E" w:rsidRDefault="00000000">
      <w:pPr>
        <w:spacing w:after="80"/>
        <w:jc w:val="center"/>
      </w:pPr>
      <w:r>
        <w:rPr>
          <w:rFonts w:ascii="Times New Roman" w:hAnsi="Times New Roman"/>
          <w:b/>
          <w:color w:val="1F4E79"/>
          <w:sz w:val="28"/>
        </w:rPr>
        <w:t>APPENDIX D</w:t>
      </w:r>
    </w:p>
    <w:p w14:paraId="7CDDAD1D" w14:textId="77777777" w:rsidR="00FC607E" w:rsidRDefault="00000000">
      <w:pPr>
        <w:spacing w:after="320"/>
        <w:jc w:val="center"/>
      </w:pPr>
      <w:r>
        <w:rPr>
          <w:rFonts w:ascii="Times New Roman" w:hAnsi="Times New Roman"/>
          <w:b/>
          <w:color w:val="2E5B88"/>
          <w:sz w:val="26"/>
        </w:rPr>
        <w:t>Plagiarism Report</w:t>
      </w:r>
    </w:p>
    <w:p w14:paraId="5F473901" w14:textId="77777777" w:rsidR="00FC607E" w:rsidRDefault="00000000">
      <w:pPr>
        <w:spacing w:after="120" w:line="312" w:lineRule="auto"/>
        <w:jc w:val="both"/>
      </w:pPr>
      <w:r>
        <w:rPr>
          <w:rFonts w:ascii="Times New Roman" w:hAnsi="Times New Roman"/>
          <w:color w:val="111827"/>
        </w:rPr>
        <w:t>The following pages reproduce the Turnitin originality report generated from the department's Turnitin account for the paper “LexGuard: A Multi-Stage Pipeline for Legal LLM Hallucination Detection and Factual Grounding,” confirming an overall similarity of 2% with no integrity flags raised for review.</w:t>
      </w:r>
    </w:p>
    <w:p w14:paraId="4A62C4C9" w14:textId="77777777" w:rsidR="00FC607E" w:rsidRDefault="00000000">
      <w:pPr>
        <w:spacing w:before="280" w:after="120"/>
      </w:pPr>
      <w:r>
        <w:rPr>
          <w:rFonts w:ascii="Times New Roman" w:hAnsi="Times New Roman"/>
          <w:b/>
          <w:sz w:val="23"/>
        </w:rPr>
        <w:t>Turnitin Originality Report Summary:</w:t>
      </w:r>
    </w:p>
    <w:p w14:paraId="4A2442AA" w14:textId="77777777" w:rsidR="00FC607E" w:rsidRDefault="00000000">
      <w:pPr>
        <w:pStyle w:val="ListBullet"/>
        <w:spacing w:before="20" w:after="80" w:line="300" w:lineRule="auto"/>
        <w:jc w:val="both"/>
      </w:pPr>
      <w:r>
        <w:rPr>
          <w:rFonts w:ascii="Times New Roman" w:hAnsi="Times New Roman"/>
          <w:b/>
          <w:color w:val="111827"/>
        </w:rPr>
        <w:t xml:space="preserve">Submission ID: </w:t>
      </w:r>
      <w:r>
        <w:rPr>
          <w:rFonts w:ascii="Times New Roman" w:hAnsi="Times New Roman"/>
          <w:color w:val="111827"/>
        </w:rPr>
        <w:t>trn:oid:::3618:140292811</w:t>
      </w:r>
    </w:p>
    <w:p w14:paraId="6C1E3FF5" w14:textId="77777777" w:rsidR="00FC607E" w:rsidRDefault="00000000">
      <w:pPr>
        <w:pStyle w:val="ListBullet"/>
        <w:spacing w:before="20" w:after="80" w:line="300" w:lineRule="auto"/>
        <w:jc w:val="both"/>
      </w:pPr>
      <w:r>
        <w:rPr>
          <w:rFonts w:ascii="Times New Roman" w:hAnsi="Times New Roman"/>
          <w:b/>
          <w:color w:val="111827"/>
        </w:rPr>
        <w:t xml:space="preserve">Submission Date: </w:t>
      </w:r>
      <w:r>
        <w:rPr>
          <w:rFonts w:ascii="Times New Roman" w:hAnsi="Times New Roman"/>
          <w:color w:val="111827"/>
        </w:rPr>
        <w:t>March 2026</w:t>
      </w:r>
    </w:p>
    <w:p w14:paraId="5F888FCA" w14:textId="77777777" w:rsidR="00FC607E" w:rsidRDefault="00000000">
      <w:pPr>
        <w:pStyle w:val="ListBullet"/>
        <w:spacing w:before="20" w:after="80" w:line="300" w:lineRule="auto"/>
        <w:jc w:val="both"/>
      </w:pPr>
      <w:r>
        <w:rPr>
          <w:rFonts w:ascii="Times New Roman" w:hAnsi="Times New Roman"/>
          <w:b/>
          <w:color w:val="111827"/>
        </w:rPr>
        <w:t xml:space="preserve">Word Count: </w:t>
      </w:r>
      <w:r>
        <w:rPr>
          <w:rFonts w:ascii="Times New Roman" w:hAnsi="Times New Roman"/>
          <w:color w:val="111827"/>
        </w:rPr>
        <w:t>3,840 Words</w:t>
      </w:r>
    </w:p>
    <w:p w14:paraId="150126E8" w14:textId="77777777" w:rsidR="00FC607E" w:rsidRDefault="00000000">
      <w:pPr>
        <w:pStyle w:val="ListBullet"/>
        <w:spacing w:before="20" w:after="80" w:line="300" w:lineRule="auto"/>
        <w:jc w:val="both"/>
      </w:pPr>
      <w:r>
        <w:rPr>
          <w:rFonts w:ascii="Times New Roman" w:hAnsi="Times New Roman"/>
          <w:b/>
          <w:color w:val="111827"/>
        </w:rPr>
        <w:t xml:space="preserve">Character Count: </w:t>
      </w:r>
      <w:r>
        <w:rPr>
          <w:rFonts w:ascii="Times New Roman" w:hAnsi="Times New Roman"/>
          <w:color w:val="111827"/>
        </w:rPr>
        <w:t>19,250 Characters</w:t>
      </w:r>
    </w:p>
    <w:p w14:paraId="683E42AF" w14:textId="77777777" w:rsidR="00FC607E" w:rsidRDefault="00000000">
      <w:pPr>
        <w:pStyle w:val="ListBullet"/>
        <w:spacing w:before="20" w:after="80" w:line="300" w:lineRule="auto"/>
        <w:jc w:val="both"/>
      </w:pPr>
      <w:r>
        <w:rPr>
          <w:rFonts w:ascii="Times New Roman" w:hAnsi="Times New Roman"/>
          <w:b/>
          <w:color w:val="111827"/>
        </w:rPr>
        <w:t xml:space="preserve">File Name: </w:t>
      </w:r>
      <w:r>
        <w:rPr>
          <w:rFonts w:ascii="Times New Roman" w:hAnsi="Times New Roman"/>
          <w:color w:val="111827"/>
        </w:rPr>
        <w:t>LexGuard_Multicon_Paper.pdf</w:t>
      </w:r>
    </w:p>
    <w:p w14:paraId="37911A74" w14:textId="77777777" w:rsidR="00FC607E" w:rsidRDefault="00000000">
      <w:r>
        <w:br w:type="page"/>
      </w:r>
    </w:p>
    <w:p w14:paraId="54B096AD" w14:textId="44F6D5E2" w:rsidR="00FC607E" w:rsidRDefault="00000000">
      <w:pPr>
        <w:jc w:val="center"/>
      </w:pPr>
      <w:r>
        <w:rPr>
          <w:rFonts w:ascii="Times New Roman" w:hAnsi="Times New Roman"/>
          <w:color w:val="555555"/>
        </w:rPr>
        <w:lastRenderedPageBreak/>
        <w:t>1</w:t>
      </w:r>
      <w:r w:rsidR="005101FC">
        <w:rPr>
          <w:rFonts w:ascii="Times New Roman" w:hAnsi="Times New Roman"/>
          <w:color w:val="555555"/>
        </w:rPr>
        <w:t>5</w:t>
      </w:r>
    </w:p>
    <w:p w14:paraId="15915014" w14:textId="77777777" w:rsidR="00FC607E" w:rsidRDefault="00000000">
      <w:pPr>
        <w:spacing w:before="200" w:after="160"/>
      </w:pPr>
      <w:r>
        <w:rPr>
          <w:rFonts w:ascii="Times New Roman" w:hAnsi="Times New Roman"/>
          <w:b/>
          <w:color w:val="1F4E79"/>
          <w:sz w:val="26"/>
        </w:rPr>
        <w:t>2% Overall Similarity</w:t>
      </w:r>
    </w:p>
    <w:p w14:paraId="02B9D1F5" w14:textId="77777777" w:rsidR="00FC607E" w:rsidRDefault="00000000">
      <w:pPr>
        <w:spacing w:after="120" w:line="312" w:lineRule="auto"/>
        <w:jc w:val="both"/>
      </w:pPr>
      <w:r>
        <w:rPr>
          <w:rFonts w:ascii="Times New Roman" w:hAnsi="Times New Roman"/>
          <w:color w:val="111827"/>
        </w:rPr>
        <w:t>The combined total of all matches including overlapping sources, for each database:</w:t>
      </w:r>
    </w:p>
    <w:p w14:paraId="2DB84A72" w14:textId="77777777" w:rsidR="00FC607E" w:rsidRDefault="00000000">
      <w:pPr>
        <w:spacing w:before="120" w:after="80"/>
      </w:pPr>
      <w:r>
        <w:rPr>
          <w:rFonts w:ascii="Times New Roman" w:hAnsi="Times New Roman"/>
          <w:b/>
        </w:rPr>
        <w:t>Filtered from the Report:</w:t>
      </w:r>
    </w:p>
    <w:p w14:paraId="120CB1DD" w14:textId="77777777" w:rsidR="00FC607E" w:rsidRDefault="00000000">
      <w:pPr>
        <w:pStyle w:val="ListBullet"/>
        <w:spacing w:before="20" w:after="80" w:line="300" w:lineRule="auto"/>
        <w:jc w:val="both"/>
      </w:pPr>
      <w:r>
        <w:rPr>
          <w:rFonts w:ascii="Times New Roman" w:hAnsi="Times New Roman"/>
          <w:b/>
          <w:color w:val="111827"/>
        </w:rPr>
        <w:t xml:space="preserve">Bibliography: </w:t>
      </w:r>
      <w:r>
        <w:rPr>
          <w:rFonts w:ascii="Times New Roman" w:hAnsi="Times New Roman"/>
          <w:color w:val="111827"/>
        </w:rPr>
        <w:t>Excluded from matching</w:t>
      </w:r>
    </w:p>
    <w:p w14:paraId="0C10297B" w14:textId="77777777" w:rsidR="00FC607E" w:rsidRDefault="00000000">
      <w:pPr>
        <w:pStyle w:val="ListBullet"/>
        <w:spacing w:before="20" w:after="80" w:line="300" w:lineRule="auto"/>
        <w:jc w:val="both"/>
      </w:pPr>
      <w:r>
        <w:rPr>
          <w:rFonts w:ascii="Times New Roman" w:hAnsi="Times New Roman"/>
          <w:b/>
          <w:color w:val="111827"/>
        </w:rPr>
        <w:t xml:space="preserve">Quoted Material: </w:t>
      </w:r>
      <w:r>
        <w:rPr>
          <w:rFonts w:ascii="Times New Roman" w:hAnsi="Times New Roman"/>
          <w:color w:val="111827"/>
        </w:rPr>
        <w:t>Excluded from matching (&lt; 1% threshold)</w:t>
      </w:r>
    </w:p>
    <w:p w14:paraId="6313FE04" w14:textId="77777777" w:rsidR="00FC607E" w:rsidRDefault="00000000">
      <w:pPr>
        <w:spacing w:before="200" w:after="80"/>
      </w:pPr>
      <w:r>
        <w:rPr>
          <w:rFonts w:ascii="Times New Roman" w:hAnsi="Times New Roman"/>
          <w:b/>
          <w:color w:val="1F4E79"/>
        </w:rPr>
        <w:t>Top Sources Breakdown:</w:t>
      </w:r>
    </w:p>
    <w:p w14:paraId="1104D159" w14:textId="77777777" w:rsidR="00FC607E" w:rsidRDefault="00000000">
      <w:pPr>
        <w:pStyle w:val="ListBullet"/>
        <w:spacing w:before="20" w:after="80" w:line="300" w:lineRule="auto"/>
        <w:jc w:val="both"/>
      </w:pPr>
      <w:r>
        <w:rPr>
          <w:rFonts w:ascii="Times New Roman" w:hAnsi="Times New Roman"/>
          <w:b/>
          <w:color w:val="111827"/>
        </w:rPr>
        <w:t xml:space="preserve">Internet Sources: </w:t>
      </w:r>
      <w:r>
        <w:rPr>
          <w:rFonts w:ascii="Times New Roman" w:hAnsi="Times New Roman"/>
          <w:color w:val="111827"/>
        </w:rPr>
        <w:t>0%</w:t>
      </w:r>
    </w:p>
    <w:p w14:paraId="00DFFA69" w14:textId="77777777" w:rsidR="00FC607E" w:rsidRDefault="00000000">
      <w:pPr>
        <w:pStyle w:val="ListBullet"/>
        <w:spacing w:before="20" w:after="80" w:line="300" w:lineRule="auto"/>
        <w:jc w:val="both"/>
      </w:pPr>
      <w:r>
        <w:rPr>
          <w:rFonts w:ascii="Times New Roman" w:hAnsi="Times New Roman"/>
          <w:b/>
          <w:color w:val="111827"/>
        </w:rPr>
        <w:t xml:space="preserve">Publications: </w:t>
      </w:r>
      <w:r>
        <w:rPr>
          <w:rFonts w:ascii="Times New Roman" w:hAnsi="Times New Roman"/>
          <w:color w:val="111827"/>
        </w:rPr>
        <w:t>0%</w:t>
      </w:r>
    </w:p>
    <w:p w14:paraId="2B962EAA" w14:textId="77777777" w:rsidR="00FC607E" w:rsidRDefault="00000000">
      <w:pPr>
        <w:pStyle w:val="ListBullet"/>
        <w:spacing w:before="20" w:after="80" w:line="300" w:lineRule="auto"/>
        <w:jc w:val="both"/>
      </w:pPr>
      <w:r>
        <w:rPr>
          <w:rFonts w:ascii="Times New Roman" w:hAnsi="Times New Roman"/>
          <w:b/>
          <w:color w:val="111827"/>
        </w:rPr>
        <w:t xml:space="preserve">Submitted Works (Student Papers): </w:t>
      </w:r>
      <w:r>
        <w:rPr>
          <w:rFonts w:ascii="Times New Roman" w:hAnsi="Times New Roman"/>
          <w:color w:val="111827"/>
        </w:rPr>
        <w:t>2%</w:t>
      </w:r>
    </w:p>
    <w:p w14:paraId="3B890328" w14:textId="77777777" w:rsidR="00FC607E" w:rsidRDefault="00000000">
      <w:pPr>
        <w:spacing w:before="280" w:after="80"/>
      </w:pPr>
      <w:r>
        <w:rPr>
          <w:rFonts w:ascii="Times New Roman" w:hAnsi="Times New Roman"/>
          <w:b/>
        </w:rPr>
        <w:t>Integrity Flags:</w:t>
      </w:r>
    </w:p>
    <w:p w14:paraId="124ADAE1" w14:textId="77777777" w:rsidR="00FC607E" w:rsidRDefault="00000000">
      <w:pPr>
        <w:spacing w:after="120" w:line="312" w:lineRule="auto"/>
        <w:jc w:val="both"/>
      </w:pPr>
      <w:r>
        <w:rPr>
          <w:rFonts w:ascii="Times New Roman" w:hAnsi="Times New Roman"/>
          <w:color w:val="111827"/>
        </w:rPr>
        <w:t>0 Integrity Flags for Review. Our system's algorithms look deeply at a document for any inconsistencies that would set it apart from a normal submission. No flags were identified.</w:t>
      </w:r>
    </w:p>
    <w:sectPr w:rsidR="00FC607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465525">
    <w:abstractNumId w:val="8"/>
  </w:num>
  <w:num w:numId="2" w16cid:durableId="1878002740">
    <w:abstractNumId w:val="6"/>
  </w:num>
  <w:num w:numId="3" w16cid:durableId="336690910">
    <w:abstractNumId w:val="5"/>
  </w:num>
  <w:num w:numId="4" w16cid:durableId="528110262">
    <w:abstractNumId w:val="4"/>
  </w:num>
  <w:num w:numId="5" w16cid:durableId="1285771903">
    <w:abstractNumId w:val="7"/>
  </w:num>
  <w:num w:numId="6" w16cid:durableId="1833255651">
    <w:abstractNumId w:val="3"/>
  </w:num>
  <w:num w:numId="7" w16cid:durableId="1160734760">
    <w:abstractNumId w:val="2"/>
  </w:num>
  <w:num w:numId="8" w16cid:durableId="1196885362">
    <w:abstractNumId w:val="1"/>
  </w:num>
  <w:num w:numId="9" w16cid:durableId="86844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1FC"/>
    <w:rsid w:val="00836D11"/>
    <w:rsid w:val="00AA1D8D"/>
    <w:rsid w:val="00B47730"/>
    <w:rsid w:val="00CB0664"/>
    <w:rsid w:val="00FC6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B6B5E"/>
  <w14:defaultImageDpi w14:val="300"/>
  <w15:docId w15:val="{0CD8E8DE-0C6A-400F-AA92-92FCCB40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2612</Words>
  <Characters>14889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Atugade</cp:lastModifiedBy>
  <cp:revision>2</cp:revision>
  <dcterms:created xsi:type="dcterms:W3CDTF">2013-12-23T23:15:00Z</dcterms:created>
  <dcterms:modified xsi:type="dcterms:W3CDTF">2026-09-07T18:07:00Z</dcterms:modified>
  <cp:category/>
</cp:coreProperties>
</file>