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00345C"/>
          </w:tcPr>
          <w:p>
            <w:pPr>
              <w:jc w:val="center"/>
              <w:spacing w:before="100" w:after="20"/>
            </w:pPr>
            <w:r>
              <w:rPr>
                <w:rFonts w:ascii="Calibri" w:hAnsi="Calibri"/>
                <w:b/>
                <w:i w:val="0"/>
                <w:color w:val="FFFFFF"/>
                <w:sz w:val="36"/>
              </w:rPr>
              <w:t>SDG Alignment Report</w:t>
            </w:r>
          </w:p>
          <w:p>
            <w:pPr>
              <w:jc w:val="center"/>
              <w:spacing w:before="0" w:after="100"/>
            </w:pPr>
            <w:r>
              <w:rPr>
                <w:rFonts w:ascii="Calibri" w:hAnsi="Calibri"/>
                <w:b w:val="0"/>
                <w:i w:val="0"/>
                <w:color w:val="B4D2FF"/>
                <w:sz w:val="22"/>
              </w:rPr>
              <w:t>LexGuard — AI Legal Hallucination Detector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00689D"/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PRIMARY SDG: SDG 16 — Peace, Justice and Strong Institutions</w:t>
            </w:r>
          </w:p>
        </w:tc>
      </w:tr>
    </w:tbl>
    <w:p>
      <w:pPr>
        <w:spacing w:before="60" w:after="60"/>
      </w:pPr>
      <w:r>
        <w:rPr>
          <w:rFonts w:ascii="Calibri" w:hAnsi="Calibri"/>
          <w:b w:val="0"/>
          <w:i/>
          <w:color w:val="646E82"/>
          <w:sz w:val="18"/>
        </w:rPr>
        <w:t>"Promote peaceful and inclusive societies for sustainable development, provide access to justice for all, and build effective, accountable and inclusive institutions at all levels."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val="clear" w:color="auto" w:fill="00689D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7632"/>
            <w:shd w:val="clear" w:color="auto" w:fill="00689D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LexGuard Contributes</w:t>
            </w:r>
          </w:p>
        </w:tc>
      </w:tr>
      <w:tr>
        <w:tc>
          <w:tcPr>
            <w:tcW w:type="dxa" w:w="2448"/>
            <w:shd w:val="clear" w:color="auto" w:fill="DCF0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16.3 — Equal access</w:t>
              <w:br/>
              <w:t>to justice</w:t>
            </w:r>
          </w:p>
        </w:tc>
        <w:tc>
          <w:tcPr>
            <w:tcW w:type="dxa" w:w="7632"/>
            <w:shd w:val="clear" w:color="auto" w:fill="DCF0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LexGuard flags factually incorrect legal outputs from LLMs, preventing misinformation that disproportionately harms low-income individuals who rely on AI for legal guidance.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16.6 — Accountable</w:t>
              <w:br/>
              <w:t>institutions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By auditing AI-generated legal responses against 115 verified IT Act sections and case law, LexGuard promotes accountability in AI systems used by legal institutions and courts.</w:t>
            </w:r>
          </w:p>
        </w:tc>
      </w:tr>
      <w:tr>
        <w:tc>
          <w:tcPr>
            <w:tcW w:type="dxa" w:w="2448"/>
            <w:shd w:val="clear" w:color="auto" w:fill="DCF0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16.10 — Access</w:t>
              <w:br/>
              <w:t>to information</w:t>
            </w:r>
          </w:p>
        </w:tc>
        <w:tc>
          <w:tcPr>
            <w:tcW w:type="dxa" w:w="7632"/>
            <w:shd w:val="clear" w:color="auto" w:fill="DCF0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The open-source SDK and analytics dashboard make verified legal information accessible to developers building public-interest and legal-aid tools.</w:t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i w:val="0"/>
          <w:color w:val="00689D"/>
          <w:sz w:val="18"/>
        </w:rPr>
        <w:t xml:space="preserve">Impact on Justice &amp; Governance:  </w:t>
      </w:r>
      <w:r>
        <w:rPr>
          <w:rFonts w:ascii="Calibri" w:hAnsi="Calibri"/>
          <w:b w:val="0"/>
          <w:i w:val="0"/>
          <w:color w:val="1E1E2D"/>
          <w:sz w:val="18"/>
        </w:rPr>
        <w:t>AI language models frequently hallucinate legal facts — fabricating section numbers, misquoting statutes, and inventing case citations. LexGuard's 5-stage verification pipeline decomposes legal AI output into atomic claims, grounds each claim against a FAISS-indexed knowledge base, and produces a trust_index (0-1) with a clear SAFE / FLAGGED / ABSTAIN decision — making AI legal tools reliably accountable.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FFF3C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825000"/>
                <w:sz w:val="18"/>
              </w:rPr>
              <w:t xml:space="preserve">Example:  </w:t>
            </w:r>
            <w:r>
              <w:rPr>
                <w:rFonts w:ascii="Calibri" w:hAnsi="Calibri"/>
                <w:b w:val="0"/>
                <w:i/>
                <w:color w:val="1E1E2D"/>
                <w:sz w:val="18"/>
              </w:rPr>
              <w:t xml:space="preserve">"Section 43A requires proving willful negligence for data breach compensation."  -&gt;  </w:t>
            </w:r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FLAGGED (trust_index: 0.18)</w:t>
            </w: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 xml:space="preserve">  — Section 43A imposes strict liability; wilfulness is NOT required.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FD6925"/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SECONDARY SDG: SDG 9 — Industry, Innovation and Infrastructure</w:t>
            </w:r>
          </w:p>
        </w:tc>
      </w:tr>
    </w:tbl>
    <w:p>
      <w:pPr>
        <w:spacing w:before="60" w:after="60"/>
      </w:pPr>
      <w:r>
        <w:rPr>
          <w:rFonts w:ascii="Calibri" w:hAnsi="Calibri"/>
          <w:b w:val="0"/>
          <w:i/>
          <w:color w:val="646E82"/>
          <w:sz w:val="18"/>
        </w:rPr>
        <w:t>"Build resilient infrastructure, promote inclusive and sustainable industrialisation and foster innovation."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val="clear" w:color="auto" w:fill="FD6925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7632"/>
            <w:shd w:val="clear" w:color="auto" w:fill="FD6925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LexGuard Contributes</w:t>
            </w:r>
          </w:p>
        </w:tc>
      </w:tr>
      <w:tr>
        <w:tc>
          <w:tcPr>
            <w:tcW w:type="dxa" w:w="2448"/>
            <w:shd w:val="clear" w:color="auto" w:fill="FFF0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9.5 — Enhance research</w:t>
              <w:br/>
              <w:t>&amp; innovation</w:t>
            </w:r>
          </w:p>
        </w:tc>
        <w:tc>
          <w:tcPr>
            <w:tcW w:type="dxa" w:w="7632"/>
            <w:shd w:val="clear" w:color="auto" w:fill="FFF0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LexGuard introduces a novel metamorphic testing methodology adapted from software engineering to the AI/legal domain — a research-grade innovation for AI reliability.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9.b — Support domestic</w:t>
              <w:br/>
              <w:t>technology development</w:t>
            </w:r>
          </w:p>
        </w:tc>
        <w:tc>
          <w:tcPr>
            <w:tcW w:type="dxa" w:w="76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Built as an open-source Python/TypeScript SDK with a FastAPI microservice, LexGuard provides reusable infrastructure for India's growing LegalTech ecosystem.</w:t>
            </w:r>
          </w:p>
        </w:tc>
      </w:tr>
      <w:tr>
        <w:tc>
          <w:tcPr>
            <w:tcW w:type="dxa" w:w="2448"/>
            <w:shd w:val="clear" w:color="auto" w:fill="FFF0E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9.c — Increase access</w:t>
              <w:br/>
              <w:t>to technology</w:t>
            </w:r>
          </w:p>
        </w:tc>
        <w:tc>
          <w:tcPr>
            <w:tcW w:type="dxa" w:w="7632"/>
            <w:shd w:val="clear" w:color="auto" w:fill="FFF0E5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REST API, Docker deployment, and free-tier database compatibility (Neon PostgreSQL) lower infrastructure barriers for small developers and NGOs building legal-aid tools.</w:t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i w:val="0"/>
          <w:color w:val="FD6925"/>
          <w:sz w:val="18"/>
        </w:rPr>
        <w:t xml:space="preserve">Technological Innovation:  </w:t>
      </w:r>
      <w:r>
        <w:rPr>
          <w:rFonts w:ascii="Calibri" w:hAnsi="Calibri"/>
          <w:b w:val="0"/>
          <w:i w:val="0"/>
          <w:color w:val="1E1E2D"/>
          <w:sz w:val="18"/>
        </w:rPr>
        <w:t>LexGuard advances AI safety for legal applications through a 5-stage detection pipeline (Claim decomposition -&gt; Falsifiability filtering -&gt; KB grounding -&gt; Metamorphic consistency -&gt; Weighted trust scoring), a FAISS-indexed knowledge base extensible to any jurisdiction, and a 70-case IT Act benchmark enabling reproducible AI safety research.</w:t>
      </w:r>
    </w:p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72"/>
      </w:tblGrid>
      <w:tr>
        <w:tc>
          <w:tcPr>
            <w:tcW w:type="dxa" w:w="9972"/>
            <w:shd w:val="clear" w:color="auto" w:fill="003366"/>
          </w:tcPr>
          <w:p>
            <w:pPr>
              <w:jc w:val="left"/>
              <w:spacing w:before="70" w:after="7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 xml:space="preserve">  Project Metrics at a Glance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shd w:val="clear" w:color="auto" w:fill="003366"/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Legal statutes indexed</w:t>
            </w:r>
          </w:p>
        </w:tc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115 IT Act sections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Case law entries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12 verified entries</w:t>
            </w:r>
          </w:p>
        </w:tc>
      </w:tr>
      <w:tr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Evaluation benchmark size</w:t>
            </w:r>
          </w:p>
        </w:tc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70 IT Act test cases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Supported decisions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SAFE  /  FLAGGED  /  ABSTAIN</w:t>
            </w:r>
          </w:p>
        </w:tc>
      </w:tr>
      <w:tr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Deployment options</w:t>
            </w:r>
          </w:p>
        </w:tc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Docker, Local, Cloud (Neon PostgreSQL)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SDK languages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Python  &amp;  TypeScript</w:t>
            </w:r>
          </w:p>
        </w:tc>
      </w:tr>
      <w:tr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/>
                <w:i w:val="0"/>
                <w:color w:val="1E1E2D"/>
                <w:sz w:val="18"/>
              </w:rPr>
              <w:t>Detection pipeline stages</w:t>
            </w:r>
          </w:p>
        </w:tc>
        <w:tc>
          <w:tcPr>
            <w:tcW w:type="dxa" w:w="5040"/>
            <w:shd w:val="clear" w:color="auto" w:fill="EFF4FF"/>
          </w:tcPr>
          <w:p>
            <w:pPr>
              <w:spacing w:before="35" w:after="35"/>
            </w:pPr>
            <w:r>
              <w:rPr>
                <w:rFonts w:ascii="Calibri" w:hAnsi="Calibri"/>
                <w:b w:val="0"/>
                <w:i w:val="0"/>
                <w:color w:val="1E1E2D"/>
                <w:sz w:val="18"/>
              </w:rPr>
              <w:t>5-stage multi-agent pipeline</w:t>
            </w:r>
          </w:p>
        </w:tc>
      </w:tr>
    </w:tbl>
    <w:p>
      <w:pPr>
        <w:spacing w:before="0" w:after="60"/>
      </w:pPr>
    </w:p>
    <w:p>
      <w:pPr>
        <w:jc w:val="center"/>
      </w:pPr>
      <w:r>
        <w:rPr>
          <w:rFonts w:ascii="Calibri" w:hAnsi="Calibri"/>
          <w:b w:val="0"/>
          <w:i/>
          <w:color w:val="646E82"/>
          <w:sz w:val="16"/>
        </w:rPr>
        <w:t>LexGuard — AI Legal Hallucination Detector  |  Capstone Project  |  October 2026  |  Primary: SDG 16  |  Secondary: SDG 9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