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03366"/>
          <w:sz w:val="72"/>
        </w:rPr>
        <w:t>LexGuard</w:t>
      </w:r>
    </w:p>
    <w:p>
      <w:pPr>
        <w:jc w:val="center"/>
      </w:pPr>
      <w:r>
        <w:rPr>
          <w:rFonts w:ascii="Calibri" w:hAnsi="Calibri"/>
          <w:color w:val="0052A3"/>
          <w:sz w:val="40"/>
        </w:rPr>
        <w:t>Legal Hallucination Detection System</w:t>
      </w:r>
    </w:p>
    <w:p/>
    <w:p>
      <w:pPr>
        <w:jc w:val="center"/>
      </w:pPr>
      <w:r>
        <w:rPr>
          <w:rFonts w:ascii="Calibri" w:hAnsi="Calibri"/>
          <w:b/>
          <w:color w:val="282828"/>
          <w:sz w:val="52"/>
        </w:rPr>
        <w:t>3-Class Evaluation Report</w:t>
      </w:r>
    </w:p>
    <w:p>
      <w:pPr>
        <w:jc w:val="center"/>
      </w:pPr>
      <w:r>
        <w:rPr>
          <w:rFonts w:ascii="Calibri" w:hAnsi="Calibri"/>
          <w:color w:val="505050"/>
          <w:sz w:val="26"/>
        </w:rPr>
        <w:t>Information Technology Act, 2000  •  70 Test Cases</w:t>
      </w:r>
    </w:p>
    <w:p/>
    <w:p>
      <w:pPr>
        <w:jc w:val="center"/>
      </w:pPr>
      <w:r>
        <w:rPr>
          <w:i/>
          <w:color w:val="787878"/>
          <w:sz w:val="22"/>
        </w:rPr>
        <w:t>Generated: 12 September 2026, 12:33 AM</w:t>
      </w:r>
    </w:p>
    <w:p>
      <w:r>
        <w:br w:type="page"/>
      </w:r>
    </w:p>
    <w:p>
      <w:pPr>
        <w:pStyle w:val="Heading1"/>
        <w:spacing w:before="240" w:after="80"/>
      </w:pPr>
      <w:r>
        <w:rPr>
          <w:rFonts w:ascii="Calibri" w:hAnsi="Calibri"/>
          <w:color w:val="003366"/>
          <w:sz w:val="36"/>
        </w:rPr>
        <w:t>1. Executive Summary</w:t>
      </w:r>
    </w:p>
    <w:p>
      <w:pPr>
        <w:pBdr>
          <w:bottom w:val="single" w:sz="4" w:space="1" w:color="A0B4CC"/>
        </w:pBdr>
        <w:spacing w:after="120"/>
      </w:pPr>
    </w:p>
    <w:p>
      <w:pPr>
        <w:spacing w:after="40" w:before="40"/>
        <w:jc w:val="left"/>
      </w:pPr>
      <w:r>
        <w:rPr>
          <w:rFonts w:ascii="Calibri" w:hAnsi="Calibri"/>
          <w:b w:val="0"/>
          <w:i w:val="0"/>
          <w:sz w:val="22"/>
        </w:rPr>
        <w:t>This report presents the evaluation of the LexGuard Legal Hallucination Detection System on 70 test cases derived from the Information Technology Act, 2000. The system classifies each legal claim into one of three decision classes: SAFE (claim is factually grounded), FLAGGED (claim is a hallucination), or ABSTAIN (system is uncertain). Cases 1–50 are factual In-KB claims (Supported), and cases 51–70 are fabricated Outside-KB claims (Refuted/hallucinated).</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3366"/>
            <w:vAlign w:val="center"/>
          </w:tcPr>
          <w:p>
            <w:pPr>
              <w:jc w:val="center"/>
            </w:pPr>
            <w:r>
              <w:rPr>
                <w:rFonts w:ascii="Calibri" w:hAnsi="Calibri"/>
                <w:b/>
                <w:color w:val="FFFFFF"/>
                <w:sz w:val="20"/>
              </w:rPr>
              <w:t>KPI Metric</w:t>
            </w:r>
          </w:p>
        </w:tc>
        <w:tc>
          <w:tcPr>
            <w:tcW w:type="dxa" w:w="4703"/>
            <w:shd w:val="clear" w:color="auto" w:fill="003366"/>
            <w:vAlign w:val="center"/>
          </w:tcPr>
          <w:p>
            <w:pPr>
              <w:jc w:val="center"/>
            </w:pPr>
            <w:r>
              <w:rPr>
                <w:rFonts w:ascii="Calibri" w:hAnsi="Calibri"/>
                <w:b/>
                <w:color w:val="FFFFFF"/>
                <w:sz w:val="20"/>
              </w:rPr>
              <w:t>Value</w:t>
            </w:r>
          </w:p>
        </w:tc>
      </w:tr>
      <w:tr>
        <w:tc>
          <w:tcPr>
            <w:tcW w:type="dxa" w:w="4703"/>
            <w:shd w:val="clear" w:color="auto" w:fill="DCE9FF"/>
          </w:tcPr>
          <w:p>
            <w:pPr>
              <w:jc w:val="center"/>
            </w:pPr>
            <w:r>
              <w:rPr>
                <w:rFonts w:ascii="Calibri" w:hAnsi="Calibri"/>
                <w:sz w:val="20"/>
              </w:rPr>
              <w:t>Overall Accuracy</w:t>
            </w:r>
          </w:p>
        </w:tc>
        <w:tc>
          <w:tcPr>
            <w:tcW w:type="dxa" w:w="4703"/>
            <w:shd w:val="clear" w:color="auto" w:fill="DCE9FF"/>
          </w:tcPr>
          <w:p>
            <w:pPr>
              <w:jc w:val="center"/>
            </w:pPr>
            <w:r>
              <w:rPr>
                <w:rFonts w:ascii="Calibri" w:hAnsi="Calibri"/>
                <w:sz w:val="20"/>
              </w:rPr>
              <w:t>95.71%</w:t>
            </w:r>
          </w:p>
        </w:tc>
      </w:tr>
      <w:tr>
        <w:tc>
          <w:tcPr>
            <w:tcW w:type="dxa" w:w="4703"/>
            <w:shd w:val="clear" w:color="auto" w:fill="FFFFFF"/>
          </w:tcPr>
          <w:p>
            <w:pPr>
              <w:jc w:val="center"/>
            </w:pPr>
            <w:r>
              <w:rPr>
                <w:rFonts w:ascii="Calibri" w:hAnsi="Calibri"/>
                <w:sz w:val="20"/>
              </w:rPr>
              <w:t>Hallucination Detection</w:t>
            </w:r>
          </w:p>
        </w:tc>
        <w:tc>
          <w:tcPr>
            <w:tcW w:type="dxa" w:w="4703"/>
            <w:shd w:val="clear" w:color="auto" w:fill="FFFFFF"/>
          </w:tcPr>
          <w:p>
            <w:pPr>
              <w:jc w:val="center"/>
            </w:pPr>
            <w:r>
              <w:rPr>
                <w:rFonts w:ascii="Calibri" w:hAnsi="Calibri"/>
                <w:sz w:val="20"/>
              </w:rPr>
              <w:t>100.0%</w:t>
            </w:r>
          </w:p>
        </w:tc>
      </w:tr>
      <w:tr>
        <w:tc>
          <w:tcPr>
            <w:tcW w:type="dxa" w:w="4703"/>
            <w:shd w:val="clear" w:color="auto" w:fill="DCE9FF"/>
          </w:tcPr>
          <w:p>
            <w:pPr>
              <w:jc w:val="center"/>
            </w:pPr>
            <w:r>
              <w:rPr>
                <w:rFonts w:ascii="Calibri" w:hAnsi="Calibri"/>
                <w:sz w:val="20"/>
              </w:rPr>
              <w:t>Factual Retention</w:t>
            </w:r>
          </w:p>
        </w:tc>
        <w:tc>
          <w:tcPr>
            <w:tcW w:type="dxa" w:w="4703"/>
            <w:shd w:val="clear" w:color="auto" w:fill="DCE9FF"/>
          </w:tcPr>
          <w:p>
            <w:pPr>
              <w:jc w:val="center"/>
            </w:pPr>
            <w:r>
              <w:rPr>
                <w:rFonts w:ascii="Calibri" w:hAnsi="Calibri"/>
                <w:sz w:val="20"/>
              </w:rPr>
              <w:t>94.0%</w:t>
            </w:r>
          </w:p>
        </w:tc>
      </w:tr>
      <w:tr>
        <w:tc>
          <w:tcPr>
            <w:tcW w:type="dxa" w:w="4703"/>
            <w:shd w:val="clear" w:color="auto" w:fill="FFFFFF"/>
          </w:tcPr>
          <w:p>
            <w:pPr>
              <w:jc w:val="center"/>
            </w:pPr>
            <w:r>
              <w:rPr>
                <w:rFonts w:ascii="Calibri" w:hAnsi="Calibri"/>
                <w:sz w:val="20"/>
              </w:rPr>
              <w:t>Miss Rate (Escaped)</w:t>
            </w:r>
          </w:p>
        </w:tc>
        <w:tc>
          <w:tcPr>
            <w:tcW w:type="dxa" w:w="4703"/>
            <w:shd w:val="clear" w:color="auto" w:fill="FFFFFF"/>
          </w:tcPr>
          <w:p>
            <w:pPr>
              <w:jc w:val="center"/>
            </w:pPr>
            <w:r>
              <w:rPr>
                <w:rFonts w:ascii="Calibri" w:hAnsi="Calibri"/>
                <w:sz w:val="20"/>
              </w:rPr>
              <w:t>0.0%</w:t>
            </w:r>
          </w:p>
        </w:tc>
      </w:tr>
      <w:tr>
        <w:tc>
          <w:tcPr>
            <w:tcW w:type="dxa" w:w="4703"/>
            <w:shd w:val="clear" w:color="auto" w:fill="DCE9FF"/>
          </w:tcPr>
          <w:p>
            <w:pPr>
              <w:jc w:val="center"/>
            </w:pPr>
            <w:r>
              <w:rPr>
                <w:rFonts w:ascii="Calibri" w:hAnsi="Calibri"/>
                <w:sz w:val="20"/>
              </w:rPr>
              <w:t>False Alarm Rate</w:t>
            </w:r>
          </w:p>
        </w:tc>
        <w:tc>
          <w:tcPr>
            <w:tcW w:type="dxa" w:w="4703"/>
            <w:shd w:val="clear" w:color="auto" w:fill="DCE9FF"/>
          </w:tcPr>
          <w:p>
            <w:pPr>
              <w:jc w:val="center"/>
            </w:pPr>
            <w:r>
              <w:rPr>
                <w:rFonts w:ascii="Calibri" w:hAnsi="Calibri"/>
                <w:sz w:val="20"/>
              </w:rPr>
              <w:t>6.0%</w:t>
            </w:r>
          </w:p>
        </w:tc>
      </w:tr>
      <w:tr>
        <w:tc>
          <w:tcPr>
            <w:tcW w:type="dxa" w:w="4703"/>
            <w:shd w:val="clear" w:color="auto" w:fill="FFFFFF"/>
          </w:tcPr>
          <w:p>
            <w:pPr>
              <w:jc w:val="center"/>
            </w:pPr>
            <w:r>
              <w:rPr>
                <w:rFonts w:ascii="Calibri" w:hAnsi="Calibri"/>
                <w:sz w:val="20"/>
              </w:rPr>
              <w:t>Trust Score Gap</w:t>
            </w:r>
          </w:p>
        </w:tc>
        <w:tc>
          <w:tcPr>
            <w:tcW w:type="dxa" w:w="4703"/>
            <w:shd w:val="clear" w:color="auto" w:fill="FFFFFF"/>
          </w:tcPr>
          <w:p>
            <w:pPr>
              <w:jc w:val="center"/>
            </w:pPr>
            <w:r>
              <w:rPr>
                <w:rFonts w:ascii="Calibri" w:hAnsi="Calibri"/>
                <w:sz w:val="20"/>
              </w:rPr>
              <w:t>0.6893</w:t>
            </w:r>
          </w:p>
        </w:tc>
      </w:tr>
      <w:tr>
        <w:tc>
          <w:tcPr>
            <w:tcW w:type="dxa" w:w="4703"/>
            <w:shd w:val="clear" w:color="auto" w:fill="DCE9FF"/>
          </w:tcPr>
          <w:p>
            <w:pPr>
              <w:jc w:val="center"/>
            </w:pPr>
            <w:r>
              <w:rPr>
                <w:rFonts w:ascii="Calibri" w:hAnsi="Calibri"/>
                <w:sz w:val="20"/>
              </w:rPr>
              <w:t>AUC-ROC</w:t>
            </w:r>
          </w:p>
        </w:tc>
        <w:tc>
          <w:tcPr>
            <w:tcW w:type="dxa" w:w="4703"/>
            <w:shd w:val="clear" w:color="auto" w:fill="DCE9FF"/>
          </w:tcPr>
          <w:p>
            <w:pPr>
              <w:jc w:val="center"/>
            </w:pPr>
            <w:r>
              <w:rPr>
                <w:rFonts w:ascii="Calibri" w:hAnsi="Calibri"/>
                <w:sz w:val="20"/>
              </w:rPr>
              <w:t>0.9660</w:t>
            </w:r>
          </w:p>
        </w:tc>
      </w:tr>
      <w:tr>
        <w:tc>
          <w:tcPr>
            <w:tcW w:type="dxa" w:w="4703"/>
            <w:shd w:val="clear" w:color="auto" w:fill="FFFFFF"/>
          </w:tcPr>
          <w:p>
            <w:pPr>
              <w:jc w:val="center"/>
            </w:pPr>
            <w:r>
              <w:rPr>
                <w:rFonts w:ascii="Calibri" w:hAnsi="Calibri"/>
                <w:sz w:val="20"/>
              </w:rPr>
              <w:t>F1-Score</w:t>
            </w:r>
          </w:p>
        </w:tc>
        <w:tc>
          <w:tcPr>
            <w:tcW w:type="dxa" w:w="4703"/>
            <w:shd w:val="clear" w:color="auto" w:fill="FFFFFF"/>
          </w:tcPr>
          <w:p>
            <w:pPr>
              <w:jc w:val="center"/>
            </w:pPr>
            <w:r>
              <w:rPr>
                <w:rFonts w:ascii="Calibri" w:hAnsi="Calibri"/>
                <w:sz w:val="20"/>
              </w:rPr>
              <w:t>0.9691</w:t>
            </w:r>
          </w:p>
        </w:tc>
      </w:tr>
    </w:tbl>
    <w:p/>
    <w:p>
      <w:pPr>
        <w:spacing w:after="40" w:before="40"/>
        <w:jc w:val="left"/>
      </w:pPr>
      <w:r>
        <w:rPr>
          <w:rFonts w:ascii="Calibri" w:hAnsi="Calibri"/>
          <w:b w:val="0"/>
          <w:i/>
          <w:color w:val="3C3C3C"/>
          <w:sz w:val="20"/>
        </w:rPr>
        <w:t>Decision distribution across 70 cases:  SAFE = 47  |  FLAGGED = 23  |  ABSTAIN = 0  (Abstain Rate: 0.0%)</w:t>
      </w:r>
    </w:p>
    <w:p>
      <w:r>
        <w:br w:type="page"/>
      </w:r>
    </w:p>
    <w:p>
      <w:pPr>
        <w:pStyle w:val="Heading1"/>
        <w:spacing w:before="240" w:after="80"/>
      </w:pPr>
      <w:r>
        <w:rPr>
          <w:rFonts w:ascii="Calibri" w:hAnsi="Calibri"/>
          <w:color w:val="003366"/>
          <w:sz w:val="36"/>
        </w:rPr>
        <w:t>2. 3-Class Decision Confusion Matrix</w:t>
      </w:r>
    </w:p>
    <w:p>
      <w:pPr>
        <w:pBdr>
          <w:bottom w:val="single" w:sz="4" w:space="1" w:color="A0B4CC"/>
        </w:pBdr>
        <w:spacing w:after="120"/>
      </w:pPr>
    </w:p>
    <w:p>
      <w:pPr>
        <w:spacing w:after="40" w:before="40"/>
        <w:jc w:val="left"/>
      </w:pPr>
      <w:r>
        <w:rPr>
          <w:rFonts w:ascii="Calibri" w:hAnsi="Calibri"/>
          <w:b w:val="0"/>
          <w:i w:val="0"/>
          <w:sz w:val="22"/>
        </w:rPr>
        <w:t>The 2×3 confusion matrix below shows how the system's SAFE / FLAGGED / ABSTAIN decisions align with the ground-truth labels (Supported = expected SAFE; Refuted = expected FLAGGED).</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54360"/>
            <w:vAlign w:val="center"/>
          </w:tcPr>
          <w:p>
            <w:pPr>
              <w:jc w:val="center"/>
            </w:pPr>
            <w:r>
              <w:rPr>
                <w:rFonts w:ascii="Calibri" w:hAnsi="Calibri"/>
                <w:b/>
                <w:color w:val="FFFFFF"/>
                <w:sz w:val="20"/>
              </w:rPr>
              <w:t>Ground Truth</w:t>
            </w:r>
          </w:p>
        </w:tc>
        <w:tc>
          <w:tcPr>
            <w:tcW w:type="dxa" w:w="2351"/>
            <w:shd w:val="clear" w:color="auto" w:fill="154360"/>
            <w:vAlign w:val="center"/>
          </w:tcPr>
          <w:p>
            <w:pPr>
              <w:jc w:val="center"/>
            </w:pPr>
            <w:r>
              <w:rPr>
                <w:rFonts w:ascii="Calibri" w:hAnsi="Calibri"/>
                <w:b/>
                <w:color w:val="FFFFFF"/>
                <w:sz w:val="20"/>
              </w:rPr>
              <w:t>Predicted: SAFE</w:t>
            </w:r>
          </w:p>
        </w:tc>
        <w:tc>
          <w:tcPr>
            <w:tcW w:type="dxa" w:w="2351"/>
            <w:shd w:val="clear" w:color="auto" w:fill="154360"/>
            <w:vAlign w:val="center"/>
          </w:tcPr>
          <w:p>
            <w:pPr>
              <w:jc w:val="center"/>
            </w:pPr>
            <w:r>
              <w:rPr>
                <w:rFonts w:ascii="Calibri" w:hAnsi="Calibri"/>
                <w:b/>
                <w:color w:val="FFFFFF"/>
                <w:sz w:val="20"/>
              </w:rPr>
              <w:t>Predicted: FLAGGED</w:t>
            </w:r>
          </w:p>
        </w:tc>
        <w:tc>
          <w:tcPr>
            <w:tcW w:type="dxa" w:w="2351"/>
            <w:shd w:val="clear" w:color="auto" w:fill="154360"/>
            <w:vAlign w:val="center"/>
          </w:tcPr>
          <w:p>
            <w:pPr>
              <w:jc w:val="center"/>
            </w:pPr>
            <w:r>
              <w:rPr>
                <w:rFonts w:ascii="Calibri" w:hAnsi="Calibri"/>
                <w:b/>
                <w:color w:val="FFFFFF"/>
                <w:sz w:val="20"/>
              </w:rPr>
              <w:t>Predicted: ABSTAIN</w:t>
            </w:r>
          </w:p>
        </w:tc>
      </w:tr>
      <w:tr>
        <w:tc>
          <w:tcPr>
            <w:tcW w:type="dxa" w:w="2351"/>
            <w:shd w:val="clear" w:color="auto" w:fill="D6EAF8"/>
          </w:tcPr>
          <w:p>
            <w:pPr>
              <w:jc w:val="center"/>
            </w:pPr>
            <w:r>
              <w:rPr>
                <w:rFonts w:ascii="Calibri" w:hAnsi="Calibri"/>
                <w:sz w:val="20"/>
              </w:rPr>
              <w:t>Expected SAFE</w:t>
              <w:br/>
              <w:t>(Supported, n=50)</w:t>
            </w:r>
          </w:p>
        </w:tc>
        <w:tc>
          <w:tcPr>
            <w:tcW w:type="dxa" w:w="2351"/>
            <w:shd w:val="clear" w:color="auto" w:fill="D6EAF8"/>
          </w:tcPr>
          <w:p>
            <w:pPr>
              <w:jc w:val="center"/>
            </w:pPr>
            <w:r>
              <w:rPr>
                <w:rFonts w:ascii="Calibri" w:hAnsi="Calibri"/>
                <w:sz w:val="20"/>
              </w:rPr>
              <w:t>47  (94%)</w:t>
            </w:r>
          </w:p>
        </w:tc>
        <w:tc>
          <w:tcPr>
            <w:tcW w:type="dxa" w:w="2351"/>
            <w:shd w:val="clear" w:color="auto" w:fill="D6EAF8"/>
          </w:tcPr>
          <w:p>
            <w:pPr>
              <w:jc w:val="center"/>
            </w:pPr>
            <w:r>
              <w:rPr>
                <w:rFonts w:ascii="Calibri" w:hAnsi="Calibri"/>
                <w:sz w:val="20"/>
              </w:rPr>
              <w:t>3  (6%)</w:t>
            </w:r>
          </w:p>
        </w:tc>
        <w:tc>
          <w:tcPr>
            <w:tcW w:type="dxa" w:w="2351"/>
            <w:shd w:val="clear" w:color="auto" w:fill="D6EAF8"/>
          </w:tcPr>
          <w:p>
            <w:pPr>
              <w:jc w:val="center"/>
            </w:pPr>
            <w:r>
              <w:rPr>
                <w:rFonts w:ascii="Calibri" w:hAnsi="Calibri"/>
                <w:sz w:val="20"/>
              </w:rPr>
              <w:t>0  (0%)</w:t>
            </w:r>
          </w:p>
        </w:tc>
      </w:tr>
      <w:tr>
        <w:tc>
          <w:tcPr>
            <w:tcW w:type="dxa" w:w="2351"/>
            <w:shd w:val="clear" w:color="auto" w:fill="FFFFFF"/>
          </w:tcPr>
          <w:p>
            <w:pPr>
              <w:jc w:val="center"/>
            </w:pPr>
            <w:r>
              <w:rPr>
                <w:rFonts w:ascii="Calibri" w:hAnsi="Calibri"/>
                <w:sz w:val="20"/>
              </w:rPr>
              <w:t>Expected FLAGGED</w:t>
              <w:br/>
              <w:t>(Refuted, n=20)</w:t>
            </w:r>
          </w:p>
        </w:tc>
        <w:tc>
          <w:tcPr>
            <w:tcW w:type="dxa" w:w="2351"/>
            <w:shd w:val="clear" w:color="auto" w:fill="FFFFFF"/>
          </w:tcPr>
          <w:p>
            <w:pPr>
              <w:jc w:val="center"/>
            </w:pPr>
            <w:r>
              <w:rPr>
                <w:rFonts w:ascii="Calibri" w:hAnsi="Calibri"/>
                <w:sz w:val="20"/>
              </w:rPr>
              <w:t>0  (0%)</w:t>
            </w:r>
          </w:p>
        </w:tc>
        <w:tc>
          <w:tcPr>
            <w:tcW w:type="dxa" w:w="2351"/>
            <w:shd w:val="clear" w:color="auto" w:fill="FFFFFF"/>
          </w:tcPr>
          <w:p>
            <w:pPr>
              <w:jc w:val="center"/>
            </w:pPr>
            <w:r>
              <w:rPr>
                <w:rFonts w:ascii="Calibri" w:hAnsi="Calibri"/>
                <w:sz w:val="20"/>
              </w:rPr>
              <w:t>20  (100%)</w:t>
            </w:r>
          </w:p>
        </w:tc>
        <w:tc>
          <w:tcPr>
            <w:tcW w:type="dxa" w:w="2351"/>
            <w:shd w:val="clear" w:color="auto" w:fill="FFFFFF"/>
          </w:tcPr>
          <w:p>
            <w:pPr>
              <w:jc w:val="center"/>
            </w:pPr>
            <w:r>
              <w:rPr>
                <w:rFonts w:ascii="Calibri" w:hAnsi="Calibri"/>
                <w:sz w:val="20"/>
              </w:rPr>
              <w:t>0  (0%)</w:t>
            </w:r>
          </w:p>
        </w:tc>
      </w:tr>
    </w:tbl>
    <w:p/>
    <w:p>
      <w:pPr>
        <w:pStyle w:val="Heading3"/>
        <w:spacing w:before="240" w:after="80"/>
      </w:pPr>
      <w:r>
        <w:rPr>
          <w:rFonts w:ascii="Calibri" w:hAnsi="Calibri"/>
          <w:color w:val="003366"/>
          <w:sz w:val="24"/>
        </w:rPr>
        <w:t>Interpretation</w:t>
      </w:r>
    </w:p>
    <w:p>
      <w:pPr>
        <w:spacing w:after="40" w:before="40"/>
        <w:ind w:left="283"/>
        <w:jc w:val="left"/>
      </w:pPr>
      <w:r>
        <w:rPr>
          <w:rFonts w:ascii="Calibri" w:hAnsi="Calibri"/>
          <w:b w:val="0"/>
          <w:i w:val="0"/>
          <w:sz w:val="22"/>
        </w:rPr>
        <w:t>• True Negatives (hallucinations correctly FLAGGED): 20</w:t>
      </w:r>
    </w:p>
    <w:p>
      <w:pPr>
        <w:spacing w:after="40" w:before="40"/>
        <w:ind w:left="283"/>
        <w:jc w:val="left"/>
      </w:pPr>
      <w:r>
        <w:rPr>
          <w:rFonts w:ascii="Calibri" w:hAnsi="Calibri"/>
          <w:b w:val="0"/>
          <w:i w:val="0"/>
          <w:sz w:val="22"/>
        </w:rPr>
        <w:t>• False Positives (factual wrongly FLAGGED): 3</w:t>
      </w:r>
    </w:p>
    <w:p>
      <w:pPr>
        <w:spacing w:after="40" w:before="40"/>
        <w:ind w:left="283"/>
        <w:jc w:val="left"/>
      </w:pPr>
      <w:r>
        <w:rPr>
          <w:rFonts w:ascii="Calibri" w:hAnsi="Calibri"/>
          <w:b w:val="0"/>
          <w:i w:val="0"/>
          <w:sz w:val="22"/>
        </w:rPr>
        <w:t>• False Negatives (hallucinations missed, returned as SAFE): 0</w:t>
      </w:r>
    </w:p>
    <w:p>
      <w:pPr>
        <w:spacing w:after="40" w:before="40"/>
        <w:ind w:left="283"/>
        <w:jc w:val="left"/>
      </w:pPr>
      <w:r>
        <w:rPr>
          <w:rFonts w:ascii="Calibri" w:hAnsi="Calibri"/>
          <w:b w:val="0"/>
          <w:i w:val="0"/>
          <w:sz w:val="22"/>
        </w:rPr>
        <w:t>• True Positives (factual correctly SAFE): 47</w:t>
      </w:r>
    </w:p>
    <w:p>
      <w:pPr>
        <w:spacing w:after="40" w:before="40"/>
        <w:ind w:left="283"/>
        <w:jc w:val="left"/>
      </w:pPr>
      <w:r>
        <w:rPr>
          <w:rFonts w:ascii="Calibri" w:hAnsi="Calibri"/>
          <w:b w:val="0"/>
          <w:i w:val="0"/>
          <w:sz w:val="22"/>
        </w:rPr>
        <w:t>• ABSTAIN on Supported: 0</w:t>
      </w:r>
    </w:p>
    <w:p>
      <w:pPr>
        <w:spacing w:after="40" w:before="40"/>
        <w:ind w:left="283"/>
        <w:jc w:val="left"/>
      </w:pPr>
      <w:r>
        <w:rPr>
          <w:rFonts w:ascii="Calibri" w:hAnsi="Calibri"/>
          <w:b w:val="0"/>
          <w:i w:val="0"/>
          <w:sz w:val="22"/>
        </w:rPr>
        <w:t>• ABSTAIN on Refuted:   0</w:t>
      </w:r>
    </w:p>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3class_confusion_matrix.png"/>
                    <pic:cNvPicPr/>
                  </pic:nvPicPr>
                  <pic:blipFill>
                    <a:blip r:embed="rId9"/>
                    <a:stretch>
                      <a:fillRect/>
                    </a:stretch>
                  </pic:blipFill>
                  <pic:spPr>
                    <a:xfrm>
                      <a:off x="0" y="0"/>
                      <a:ext cx="5486400" cy="3429000"/>
                    </a:xfrm>
                    <a:prstGeom prst="rect"/>
                  </pic:spPr>
                </pic:pic>
              </a:graphicData>
            </a:graphic>
          </wp:inline>
        </w:drawing>
      </w:r>
    </w:p>
    <w:p>
      <w:pPr>
        <w:jc w:val="center"/>
      </w:pPr>
      <w:r>
        <w:rPr>
          <w:i/>
          <w:color w:val="646464"/>
          <w:sz w:val="18"/>
        </w:rPr>
        <w:t>Figure 1. 3-Class Decision Confusion Matrix</w:t>
      </w:r>
    </w:p>
    <w:p>
      <w:r>
        <w:br w:type="page"/>
      </w:r>
    </w:p>
    <w:p>
      <w:pPr>
        <w:pStyle w:val="Heading1"/>
        <w:spacing w:before="240" w:after="80"/>
      </w:pPr>
      <w:r>
        <w:rPr>
          <w:rFonts w:ascii="Calibri" w:hAnsi="Calibri"/>
          <w:color w:val="003366"/>
          <w:sz w:val="36"/>
        </w:rPr>
        <w:t>3. Binary Classification Metrics</w:t>
      </w:r>
    </w:p>
    <w:p>
      <w:pPr>
        <w:pBdr>
          <w:bottom w:val="single" w:sz="4" w:space="1" w:color="A0B4CC"/>
        </w:pBdr>
        <w:spacing w:after="12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5276"/>
            <w:vAlign w:val="center"/>
          </w:tcPr>
          <w:p>
            <w:pPr>
              <w:jc w:val="center"/>
            </w:pPr>
            <w:r>
              <w:rPr>
                <w:rFonts w:ascii="Calibri" w:hAnsi="Calibri"/>
                <w:b/>
                <w:color w:val="FFFFFF"/>
                <w:sz w:val="20"/>
              </w:rPr>
              <w:t>Metric</w:t>
            </w:r>
          </w:p>
        </w:tc>
        <w:tc>
          <w:tcPr>
            <w:tcW w:type="dxa" w:w="3135"/>
            <w:shd w:val="clear" w:color="auto" w:fill="1A5276"/>
            <w:vAlign w:val="center"/>
          </w:tcPr>
          <w:p>
            <w:pPr>
              <w:jc w:val="center"/>
            </w:pPr>
            <w:r>
              <w:rPr>
                <w:rFonts w:ascii="Calibri" w:hAnsi="Calibri"/>
                <w:b/>
                <w:color w:val="FFFFFF"/>
                <w:sz w:val="20"/>
              </w:rPr>
              <w:t>Value</w:t>
            </w:r>
          </w:p>
        </w:tc>
        <w:tc>
          <w:tcPr>
            <w:tcW w:type="dxa" w:w="3135"/>
            <w:shd w:val="clear" w:color="auto" w:fill="1A5276"/>
            <w:vAlign w:val="center"/>
          </w:tcPr>
          <w:p>
            <w:pPr>
              <w:jc w:val="center"/>
            </w:pPr>
            <w:r>
              <w:rPr>
                <w:rFonts w:ascii="Calibri" w:hAnsi="Calibri"/>
                <w:b/>
                <w:color w:val="FFFFFF"/>
                <w:sz w:val="20"/>
              </w:rPr>
              <w:t>Description</w:t>
            </w:r>
          </w:p>
        </w:tc>
      </w:tr>
      <w:tr>
        <w:tc>
          <w:tcPr>
            <w:tcW w:type="dxa" w:w="3135"/>
            <w:shd w:val="clear" w:color="auto" w:fill="D6EAF8"/>
          </w:tcPr>
          <w:p>
            <w:pPr>
              <w:jc w:val="center"/>
            </w:pPr>
            <w:r>
              <w:rPr>
                <w:rFonts w:ascii="Calibri" w:hAnsi="Calibri"/>
                <w:sz w:val="20"/>
              </w:rPr>
              <w:t>True Positives (TP)</w:t>
            </w:r>
          </w:p>
        </w:tc>
        <w:tc>
          <w:tcPr>
            <w:tcW w:type="dxa" w:w="3135"/>
            <w:shd w:val="clear" w:color="auto" w:fill="D6EAF8"/>
          </w:tcPr>
          <w:p>
            <w:pPr>
              <w:jc w:val="center"/>
            </w:pPr>
            <w:r>
              <w:rPr>
                <w:rFonts w:ascii="Calibri" w:hAnsi="Calibri"/>
                <w:sz w:val="20"/>
              </w:rPr>
              <w:t>47</w:t>
            </w:r>
          </w:p>
        </w:tc>
        <w:tc>
          <w:tcPr>
            <w:tcW w:type="dxa" w:w="3135"/>
            <w:shd w:val="clear" w:color="auto" w:fill="D6EAF8"/>
          </w:tcPr>
          <w:p>
            <w:pPr>
              <w:jc w:val="center"/>
            </w:pPr>
            <w:r>
              <w:rPr>
                <w:rFonts w:ascii="Calibri" w:hAnsi="Calibri"/>
                <w:sz w:val="20"/>
              </w:rPr>
              <w:t>Factual claims correctly returned as SAFE</w:t>
            </w:r>
          </w:p>
        </w:tc>
      </w:tr>
      <w:tr>
        <w:tc>
          <w:tcPr>
            <w:tcW w:type="dxa" w:w="3135"/>
            <w:shd w:val="clear" w:color="auto" w:fill="FFFFFF"/>
          </w:tcPr>
          <w:p>
            <w:pPr>
              <w:jc w:val="center"/>
            </w:pPr>
            <w:r>
              <w:rPr>
                <w:rFonts w:ascii="Calibri" w:hAnsi="Calibri"/>
                <w:sz w:val="20"/>
              </w:rPr>
              <w:t>False Negatives (FN)</w:t>
            </w:r>
          </w:p>
        </w:tc>
        <w:tc>
          <w:tcPr>
            <w:tcW w:type="dxa" w:w="3135"/>
            <w:shd w:val="clear" w:color="auto" w:fill="FFFFFF"/>
          </w:tcPr>
          <w:p>
            <w:pPr>
              <w:jc w:val="center"/>
            </w:pPr>
            <w:r>
              <w:rPr>
                <w:rFonts w:ascii="Calibri" w:hAnsi="Calibri"/>
                <w:sz w:val="20"/>
              </w:rPr>
              <w:t>3</w:t>
            </w:r>
          </w:p>
        </w:tc>
        <w:tc>
          <w:tcPr>
            <w:tcW w:type="dxa" w:w="3135"/>
            <w:shd w:val="clear" w:color="auto" w:fill="FFFFFF"/>
          </w:tcPr>
          <w:p>
            <w:pPr>
              <w:jc w:val="center"/>
            </w:pPr>
            <w:r>
              <w:rPr>
                <w:rFonts w:ascii="Calibri" w:hAnsi="Calibri"/>
                <w:sz w:val="20"/>
              </w:rPr>
              <w:t>Factual claims incorrectly returned as non-SAFE</w:t>
            </w:r>
          </w:p>
        </w:tc>
      </w:tr>
      <w:tr>
        <w:tc>
          <w:tcPr>
            <w:tcW w:type="dxa" w:w="3135"/>
            <w:shd w:val="clear" w:color="auto" w:fill="D6EAF8"/>
          </w:tcPr>
          <w:p>
            <w:pPr>
              <w:jc w:val="center"/>
            </w:pPr>
            <w:r>
              <w:rPr>
                <w:rFonts w:ascii="Calibri" w:hAnsi="Calibri"/>
                <w:sz w:val="20"/>
              </w:rPr>
              <w:t>False Positives (FP)</w:t>
            </w:r>
          </w:p>
        </w:tc>
        <w:tc>
          <w:tcPr>
            <w:tcW w:type="dxa" w:w="3135"/>
            <w:shd w:val="clear" w:color="auto" w:fill="D6EAF8"/>
          </w:tcPr>
          <w:p>
            <w:pPr>
              <w:jc w:val="center"/>
            </w:pPr>
            <w:r>
              <w:rPr>
                <w:rFonts w:ascii="Calibri" w:hAnsi="Calibri"/>
                <w:sz w:val="20"/>
              </w:rPr>
              <w:t>0</w:t>
            </w:r>
          </w:p>
        </w:tc>
        <w:tc>
          <w:tcPr>
            <w:tcW w:type="dxa" w:w="3135"/>
            <w:shd w:val="clear" w:color="auto" w:fill="D6EAF8"/>
          </w:tcPr>
          <w:p>
            <w:pPr>
              <w:jc w:val="center"/>
            </w:pPr>
            <w:r>
              <w:rPr>
                <w:rFonts w:ascii="Calibri" w:hAnsi="Calibri"/>
                <w:sz w:val="20"/>
              </w:rPr>
              <w:t>Hallucinations incorrectly returned as SAFE</w:t>
            </w:r>
          </w:p>
        </w:tc>
      </w:tr>
      <w:tr>
        <w:tc>
          <w:tcPr>
            <w:tcW w:type="dxa" w:w="3135"/>
            <w:shd w:val="clear" w:color="auto" w:fill="FFFFFF"/>
          </w:tcPr>
          <w:p>
            <w:pPr>
              <w:jc w:val="center"/>
            </w:pPr>
            <w:r>
              <w:rPr>
                <w:rFonts w:ascii="Calibri" w:hAnsi="Calibri"/>
                <w:sz w:val="20"/>
              </w:rPr>
              <w:t>True Negatives (TN)</w:t>
            </w:r>
          </w:p>
        </w:tc>
        <w:tc>
          <w:tcPr>
            <w:tcW w:type="dxa" w:w="3135"/>
            <w:shd w:val="clear" w:color="auto" w:fill="FFFFFF"/>
          </w:tcPr>
          <w:p>
            <w:pPr>
              <w:jc w:val="center"/>
            </w:pPr>
            <w:r>
              <w:rPr>
                <w:rFonts w:ascii="Calibri" w:hAnsi="Calibri"/>
                <w:sz w:val="20"/>
              </w:rPr>
              <w:t>20</w:t>
            </w:r>
          </w:p>
        </w:tc>
        <w:tc>
          <w:tcPr>
            <w:tcW w:type="dxa" w:w="3135"/>
            <w:shd w:val="clear" w:color="auto" w:fill="FFFFFF"/>
          </w:tcPr>
          <w:p>
            <w:pPr>
              <w:jc w:val="center"/>
            </w:pPr>
            <w:r>
              <w:rPr>
                <w:rFonts w:ascii="Calibri" w:hAnsi="Calibri"/>
                <w:sz w:val="20"/>
              </w:rPr>
              <w:t>Hallucinations correctly caught as FLAGGED/ABSTAIN</w:t>
            </w:r>
          </w:p>
        </w:tc>
      </w:tr>
      <w:tr>
        <w:tc>
          <w:tcPr>
            <w:tcW w:type="dxa" w:w="3135"/>
            <w:shd w:val="clear" w:color="auto" w:fill="D6EAF8"/>
          </w:tcPr>
          <w:p>
            <w:pPr>
              <w:jc w:val="center"/>
            </w:pPr>
            <w:r>
              <w:rPr>
                <w:rFonts w:ascii="Calibri" w:hAnsi="Calibri"/>
                <w:sz w:val="20"/>
              </w:rPr>
              <w:t>Accuracy</w:t>
            </w:r>
          </w:p>
        </w:tc>
        <w:tc>
          <w:tcPr>
            <w:tcW w:type="dxa" w:w="3135"/>
            <w:shd w:val="clear" w:color="auto" w:fill="D6EAF8"/>
          </w:tcPr>
          <w:p>
            <w:pPr>
              <w:jc w:val="center"/>
            </w:pPr>
            <w:r>
              <w:rPr>
                <w:rFonts w:ascii="Calibri" w:hAnsi="Calibri"/>
                <w:sz w:val="20"/>
              </w:rPr>
              <w:t>95.71%</w:t>
            </w:r>
          </w:p>
        </w:tc>
        <w:tc>
          <w:tcPr>
            <w:tcW w:type="dxa" w:w="3135"/>
            <w:shd w:val="clear" w:color="auto" w:fill="D6EAF8"/>
          </w:tcPr>
          <w:p>
            <w:pPr>
              <w:jc w:val="center"/>
            </w:pPr>
            <w:r>
              <w:rPr>
                <w:rFonts w:ascii="Calibri" w:hAnsi="Calibri"/>
                <w:sz w:val="20"/>
              </w:rPr>
              <w:t>Overall correct predictions / total</w:t>
            </w:r>
          </w:p>
        </w:tc>
      </w:tr>
      <w:tr>
        <w:tc>
          <w:tcPr>
            <w:tcW w:type="dxa" w:w="3135"/>
            <w:shd w:val="clear" w:color="auto" w:fill="FFFFFF"/>
          </w:tcPr>
          <w:p>
            <w:pPr>
              <w:jc w:val="center"/>
            </w:pPr>
            <w:r>
              <w:rPr>
                <w:rFonts w:ascii="Calibri" w:hAnsi="Calibri"/>
                <w:sz w:val="20"/>
              </w:rPr>
              <w:t>Precision</w:t>
            </w:r>
          </w:p>
        </w:tc>
        <w:tc>
          <w:tcPr>
            <w:tcW w:type="dxa" w:w="3135"/>
            <w:shd w:val="clear" w:color="auto" w:fill="FFFFFF"/>
          </w:tcPr>
          <w:p>
            <w:pPr>
              <w:jc w:val="center"/>
            </w:pPr>
            <w:r>
              <w:rPr>
                <w:rFonts w:ascii="Calibri" w:hAnsi="Calibri"/>
                <w:sz w:val="20"/>
              </w:rPr>
              <w:t>100.00%</w:t>
            </w:r>
          </w:p>
        </w:tc>
        <w:tc>
          <w:tcPr>
            <w:tcW w:type="dxa" w:w="3135"/>
            <w:shd w:val="clear" w:color="auto" w:fill="FFFFFF"/>
          </w:tcPr>
          <w:p>
            <w:pPr>
              <w:jc w:val="center"/>
            </w:pPr>
            <w:r>
              <w:rPr>
                <w:rFonts w:ascii="Calibri" w:hAnsi="Calibri"/>
                <w:sz w:val="20"/>
              </w:rPr>
              <w:t>When SAFE, how often truly Supported?</w:t>
            </w:r>
          </w:p>
        </w:tc>
      </w:tr>
      <w:tr>
        <w:tc>
          <w:tcPr>
            <w:tcW w:type="dxa" w:w="3135"/>
            <w:shd w:val="clear" w:color="auto" w:fill="D6EAF8"/>
          </w:tcPr>
          <w:p>
            <w:pPr>
              <w:jc w:val="center"/>
            </w:pPr>
            <w:r>
              <w:rPr>
                <w:rFonts w:ascii="Calibri" w:hAnsi="Calibri"/>
                <w:sz w:val="20"/>
              </w:rPr>
              <w:t>Recall (TPR/Sensitivity)</w:t>
            </w:r>
          </w:p>
        </w:tc>
        <w:tc>
          <w:tcPr>
            <w:tcW w:type="dxa" w:w="3135"/>
            <w:shd w:val="clear" w:color="auto" w:fill="D6EAF8"/>
          </w:tcPr>
          <w:p>
            <w:pPr>
              <w:jc w:val="center"/>
            </w:pPr>
            <w:r>
              <w:rPr>
                <w:rFonts w:ascii="Calibri" w:hAnsi="Calibri"/>
                <w:sz w:val="20"/>
              </w:rPr>
              <w:t>94.00%</w:t>
            </w:r>
          </w:p>
        </w:tc>
        <w:tc>
          <w:tcPr>
            <w:tcW w:type="dxa" w:w="3135"/>
            <w:shd w:val="clear" w:color="auto" w:fill="D6EAF8"/>
          </w:tcPr>
          <w:p>
            <w:pPr>
              <w:jc w:val="center"/>
            </w:pPr>
            <w:r>
              <w:rPr>
                <w:rFonts w:ascii="Calibri" w:hAnsi="Calibri"/>
                <w:sz w:val="20"/>
              </w:rPr>
              <w:t>Of all Supported, how many correctly SAFE?</w:t>
            </w:r>
          </w:p>
        </w:tc>
      </w:tr>
      <w:tr>
        <w:tc>
          <w:tcPr>
            <w:tcW w:type="dxa" w:w="3135"/>
            <w:shd w:val="clear" w:color="auto" w:fill="FFFFFF"/>
          </w:tcPr>
          <w:p>
            <w:pPr>
              <w:jc w:val="center"/>
            </w:pPr>
            <w:r>
              <w:rPr>
                <w:rFonts w:ascii="Calibri" w:hAnsi="Calibri"/>
                <w:sz w:val="20"/>
              </w:rPr>
              <w:t>Specificity (TNR)</w:t>
            </w:r>
          </w:p>
        </w:tc>
        <w:tc>
          <w:tcPr>
            <w:tcW w:type="dxa" w:w="3135"/>
            <w:shd w:val="clear" w:color="auto" w:fill="FFFFFF"/>
          </w:tcPr>
          <w:p>
            <w:pPr>
              <w:jc w:val="center"/>
            </w:pPr>
            <w:r>
              <w:rPr>
                <w:rFonts w:ascii="Calibri" w:hAnsi="Calibri"/>
                <w:sz w:val="20"/>
              </w:rPr>
              <w:t>100.00%</w:t>
            </w:r>
          </w:p>
        </w:tc>
        <w:tc>
          <w:tcPr>
            <w:tcW w:type="dxa" w:w="3135"/>
            <w:shd w:val="clear" w:color="auto" w:fill="FFFFFF"/>
          </w:tcPr>
          <w:p>
            <w:pPr>
              <w:jc w:val="center"/>
            </w:pPr>
            <w:r>
              <w:rPr>
                <w:rFonts w:ascii="Calibri" w:hAnsi="Calibri"/>
                <w:sz w:val="20"/>
              </w:rPr>
              <w:t>Of all Refuted, how many correctly caught?</w:t>
            </w:r>
          </w:p>
        </w:tc>
      </w:tr>
      <w:tr>
        <w:tc>
          <w:tcPr>
            <w:tcW w:type="dxa" w:w="3135"/>
            <w:shd w:val="clear" w:color="auto" w:fill="D6EAF8"/>
          </w:tcPr>
          <w:p>
            <w:pPr>
              <w:jc w:val="center"/>
            </w:pPr>
            <w:r>
              <w:rPr>
                <w:rFonts w:ascii="Calibri" w:hAnsi="Calibri"/>
                <w:sz w:val="20"/>
              </w:rPr>
              <w:t>F1-Score</w:t>
            </w:r>
          </w:p>
        </w:tc>
        <w:tc>
          <w:tcPr>
            <w:tcW w:type="dxa" w:w="3135"/>
            <w:shd w:val="clear" w:color="auto" w:fill="D6EAF8"/>
          </w:tcPr>
          <w:p>
            <w:pPr>
              <w:jc w:val="center"/>
            </w:pPr>
            <w:r>
              <w:rPr>
                <w:rFonts w:ascii="Calibri" w:hAnsi="Calibri"/>
                <w:sz w:val="20"/>
              </w:rPr>
              <w:t>0.9691</w:t>
            </w:r>
          </w:p>
        </w:tc>
        <w:tc>
          <w:tcPr>
            <w:tcW w:type="dxa" w:w="3135"/>
            <w:shd w:val="clear" w:color="auto" w:fill="D6EAF8"/>
          </w:tcPr>
          <w:p>
            <w:pPr>
              <w:jc w:val="center"/>
            </w:pPr>
            <w:r>
              <w:rPr>
                <w:rFonts w:ascii="Calibri" w:hAnsi="Calibri"/>
                <w:sz w:val="20"/>
              </w:rPr>
              <w:t>Harmonic mean of Precision &amp; Recall</w:t>
            </w:r>
          </w:p>
        </w:tc>
      </w:tr>
      <w:tr>
        <w:tc>
          <w:tcPr>
            <w:tcW w:type="dxa" w:w="3135"/>
            <w:shd w:val="clear" w:color="auto" w:fill="FFFFFF"/>
          </w:tcPr>
          <w:p>
            <w:pPr>
              <w:jc w:val="center"/>
            </w:pPr>
            <w:r>
              <w:rPr>
                <w:rFonts w:ascii="Calibri" w:hAnsi="Calibri"/>
                <w:sz w:val="20"/>
              </w:rPr>
              <w:t>AUC-ROC</w:t>
            </w:r>
          </w:p>
        </w:tc>
        <w:tc>
          <w:tcPr>
            <w:tcW w:type="dxa" w:w="3135"/>
            <w:shd w:val="clear" w:color="auto" w:fill="FFFFFF"/>
          </w:tcPr>
          <w:p>
            <w:pPr>
              <w:jc w:val="center"/>
            </w:pPr>
            <w:r>
              <w:rPr>
                <w:rFonts w:ascii="Calibri" w:hAnsi="Calibri"/>
                <w:sz w:val="20"/>
              </w:rPr>
              <w:t>0.9660</w:t>
            </w:r>
          </w:p>
        </w:tc>
        <w:tc>
          <w:tcPr>
            <w:tcW w:type="dxa" w:w="3135"/>
            <w:shd w:val="clear" w:color="auto" w:fill="FFFFFF"/>
          </w:tcPr>
          <w:p>
            <w:pPr>
              <w:jc w:val="center"/>
            </w:pPr>
            <w:r>
              <w:rPr>
                <w:rFonts w:ascii="Calibri" w:hAnsi="Calibri"/>
                <w:sz w:val="20"/>
              </w:rPr>
              <w:t>Area Under the ROC Curve</w:t>
            </w:r>
          </w:p>
        </w:tc>
      </w:tr>
      <w:tr>
        <w:tc>
          <w:tcPr>
            <w:tcW w:type="dxa" w:w="3135"/>
            <w:shd w:val="clear" w:color="auto" w:fill="D6EAF8"/>
          </w:tcPr>
          <w:p>
            <w:pPr>
              <w:jc w:val="center"/>
            </w:pPr>
            <w:r>
              <w:rPr>
                <w:rFonts w:ascii="Calibri" w:hAnsi="Calibri"/>
                <w:sz w:val="20"/>
              </w:rPr>
              <w:t>Optimal Threshold</w:t>
            </w:r>
          </w:p>
        </w:tc>
        <w:tc>
          <w:tcPr>
            <w:tcW w:type="dxa" w:w="3135"/>
            <w:shd w:val="clear" w:color="auto" w:fill="D6EAF8"/>
          </w:tcPr>
          <w:p>
            <w:pPr>
              <w:jc w:val="center"/>
            </w:pPr>
            <w:r>
              <w:rPr>
                <w:rFonts w:ascii="Calibri" w:hAnsi="Calibri"/>
                <w:sz w:val="20"/>
              </w:rPr>
              <w:t>0.0000</w:t>
            </w:r>
          </w:p>
        </w:tc>
        <w:tc>
          <w:tcPr>
            <w:tcW w:type="dxa" w:w="3135"/>
            <w:shd w:val="clear" w:color="auto" w:fill="D6EAF8"/>
          </w:tcPr>
          <w:p>
            <w:pPr>
              <w:jc w:val="center"/>
            </w:pPr>
            <w:r>
              <w:rPr>
                <w:rFonts w:ascii="Calibri" w:hAnsi="Calibri"/>
                <w:sz w:val="20"/>
              </w:rPr>
              <w:t>Best trust-score threshold (Youden's J)</w:t>
            </w:r>
          </w:p>
        </w:tc>
      </w:tr>
      <w:tr>
        <w:tc>
          <w:tcPr>
            <w:tcW w:type="dxa" w:w="3135"/>
            <w:shd w:val="clear" w:color="auto" w:fill="FFFFFF"/>
          </w:tcPr>
          <w:p>
            <w:pPr>
              <w:jc w:val="center"/>
            </w:pPr>
            <w:r>
              <w:rPr>
                <w:rFonts w:ascii="Calibri" w:hAnsi="Calibri"/>
                <w:sz w:val="20"/>
              </w:rPr>
              <w:t>Brier Score</w:t>
            </w:r>
          </w:p>
        </w:tc>
        <w:tc>
          <w:tcPr>
            <w:tcW w:type="dxa" w:w="3135"/>
            <w:shd w:val="clear" w:color="auto" w:fill="FFFFFF"/>
          </w:tcPr>
          <w:p>
            <w:pPr>
              <w:jc w:val="center"/>
            </w:pPr>
            <w:r>
              <w:rPr>
                <w:rFonts w:ascii="Calibri" w:hAnsi="Calibri"/>
                <w:sz w:val="20"/>
              </w:rPr>
              <w:t>0.0452</w:t>
            </w:r>
          </w:p>
        </w:tc>
        <w:tc>
          <w:tcPr>
            <w:tcW w:type="dxa" w:w="3135"/>
            <w:shd w:val="clear" w:color="auto" w:fill="FFFFFF"/>
          </w:tcPr>
          <w:p>
            <w:pPr>
              <w:jc w:val="center"/>
            </w:pPr>
            <w:r>
              <w:rPr>
                <w:rFonts w:ascii="Calibri" w:hAnsi="Calibri"/>
                <w:sz w:val="20"/>
              </w:rPr>
              <w:t>Calibration loss (lower = better)</w:t>
            </w:r>
          </w:p>
        </w:tc>
      </w:tr>
      <w:tr>
        <w:tc>
          <w:tcPr>
            <w:tcW w:type="dxa" w:w="3135"/>
            <w:shd w:val="clear" w:color="auto" w:fill="D6EAF8"/>
          </w:tcPr>
          <w:p>
            <w:pPr>
              <w:jc w:val="center"/>
            </w:pPr>
            <w:r>
              <w:rPr>
                <w:rFonts w:ascii="Calibri" w:hAnsi="Calibri"/>
                <w:sz w:val="20"/>
              </w:rPr>
              <w:t>Log-Loss</w:t>
            </w:r>
          </w:p>
        </w:tc>
        <w:tc>
          <w:tcPr>
            <w:tcW w:type="dxa" w:w="3135"/>
            <w:shd w:val="clear" w:color="auto" w:fill="D6EAF8"/>
          </w:tcPr>
          <w:p>
            <w:pPr>
              <w:jc w:val="center"/>
            </w:pPr>
            <w:r>
              <w:rPr>
                <w:rFonts w:ascii="Calibri" w:hAnsi="Calibri"/>
                <w:sz w:val="20"/>
              </w:rPr>
              <w:t>0.1865</w:t>
            </w:r>
          </w:p>
        </w:tc>
        <w:tc>
          <w:tcPr>
            <w:tcW w:type="dxa" w:w="3135"/>
            <w:shd w:val="clear" w:color="auto" w:fill="D6EAF8"/>
          </w:tcPr>
          <w:p>
            <w:pPr>
              <w:jc w:val="center"/>
            </w:pPr>
            <w:r>
              <w:rPr>
                <w:rFonts w:ascii="Calibri" w:hAnsi="Calibri"/>
                <w:sz w:val="20"/>
              </w:rPr>
              <w:t>Probabilistic loss</w:t>
            </w:r>
          </w:p>
        </w:tc>
      </w:tr>
      <w:tr>
        <w:tc>
          <w:tcPr>
            <w:tcW w:type="dxa" w:w="3135"/>
            <w:shd w:val="clear" w:color="auto" w:fill="FFFFFF"/>
          </w:tcPr>
          <w:p>
            <w:pPr>
              <w:jc w:val="center"/>
            </w:pPr>
            <w:r>
              <w:rPr>
                <w:rFonts w:ascii="Calibri" w:hAnsi="Calibri"/>
                <w:sz w:val="20"/>
              </w:rPr>
              <w:t>ECE</w:t>
            </w:r>
          </w:p>
        </w:tc>
        <w:tc>
          <w:tcPr>
            <w:tcW w:type="dxa" w:w="3135"/>
            <w:shd w:val="clear" w:color="auto" w:fill="FFFFFF"/>
          </w:tcPr>
          <w:p>
            <w:pPr>
              <w:jc w:val="center"/>
            </w:pPr>
            <w:r>
              <w:rPr>
                <w:rFonts w:ascii="Calibri" w:hAnsi="Calibri"/>
                <w:sz w:val="20"/>
              </w:rPr>
              <w:t>0.0845</w:t>
            </w:r>
          </w:p>
        </w:tc>
        <w:tc>
          <w:tcPr>
            <w:tcW w:type="dxa" w:w="3135"/>
            <w:shd w:val="clear" w:color="auto" w:fill="FFFFFF"/>
          </w:tcPr>
          <w:p>
            <w:pPr>
              <w:jc w:val="center"/>
            </w:pPr>
            <w:r>
              <w:rPr>
                <w:rFonts w:ascii="Calibri" w:hAnsi="Calibri"/>
                <w:sz w:val="20"/>
              </w:rPr>
              <w:t>Expected Calibration Error (lower = better)</w:t>
            </w:r>
          </w:p>
        </w:tc>
      </w:tr>
    </w:tbl>
    <w:p/>
    <w:p>
      <w:r>
        <w:drawing>
          <wp:inline xmlns:a="http://schemas.openxmlformats.org/drawingml/2006/main" xmlns:pic="http://schemas.openxmlformats.org/drawingml/2006/picture">
            <wp:extent cx="5486400" cy="4642338"/>
            <wp:docPr id="2" name="Picture 2"/>
            <wp:cNvGraphicFramePr>
              <a:graphicFrameLocks noChangeAspect="1"/>
            </wp:cNvGraphicFramePr>
            <a:graphic>
              <a:graphicData uri="http://schemas.openxmlformats.org/drawingml/2006/picture">
                <pic:pic>
                  <pic:nvPicPr>
                    <pic:cNvPr id="0" name="02_binary_confusion_matrix.png"/>
                    <pic:cNvPicPr/>
                  </pic:nvPicPr>
                  <pic:blipFill>
                    <a:blip r:embed="rId10"/>
                    <a:stretch>
                      <a:fillRect/>
                    </a:stretch>
                  </pic:blipFill>
                  <pic:spPr>
                    <a:xfrm>
                      <a:off x="0" y="0"/>
                      <a:ext cx="5486400" cy="4642338"/>
                    </a:xfrm>
                    <a:prstGeom prst="rect"/>
                  </pic:spPr>
                </pic:pic>
              </a:graphicData>
            </a:graphic>
          </wp:inline>
        </w:drawing>
      </w:r>
    </w:p>
    <w:p>
      <w:pPr>
        <w:jc w:val="center"/>
      </w:pPr>
      <w:r>
        <w:rPr>
          <w:i/>
          <w:color w:val="646464"/>
          <w:sz w:val="18"/>
        </w:rPr>
        <w:t>Figure 2. Binary Confusion Matrix</w:t>
      </w:r>
    </w:p>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04_metrics_dashboard.png"/>
                    <pic:cNvPicPr/>
                  </pic:nvPicPr>
                  <pic:blipFill>
                    <a:blip r:embed="rId11"/>
                    <a:stretch>
                      <a:fillRect/>
                    </a:stretch>
                  </pic:blipFill>
                  <pic:spPr>
                    <a:xfrm>
                      <a:off x="0" y="0"/>
                      <a:ext cx="5486400" cy="2743200"/>
                    </a:xfrm>
                    <a:prstGeom prst="rect"/>
                  </pic:spPr>
                </pic:pic>
              </a:graphicData>
            </a:graphic>
          </wp:inline>
        </w:drawing>
      </w:r>
    </w:p>
    <w:p>
      <w:pPr>
        <w:jc w:val="center"/>
      </w:pPr>
      <w:r>
        <w:rPr>
          <w:i/>
          <w:color w:val="646464"/>
          <w:sz w:val="18"/>
        </w:rPr>
        <w:t>Figure 3. Performance Metrics Dashboard</w:t>
      </w:r>
    </w:p>
    <w:p/>
    <w:p>
      <w:r>
        <w:drawing>
          <wp:inline xmlns:a="http://schemas.openxmlformats.org/drawingml/2006/main" xmlns:pic="http://schemas.openxmlformats.org/drawingml/2006/picture">
            <wp:extent cx="5486400" cy="4702629"/>
            <wp:docPr id="4" name="Picture 4"/>
            <wp:cNvGraphicFramePr>
              <a:graphicFrameLocks noChangeAspect="1"/>
            </wp:cNvGraphicFramePr>
            <a:graphic>
              <a:graphicData uri="http://schemas.openxmlformats.org/drawingml/2006/picture">
                <pic:pic>
                  <pic:nvPicPr>
                    <pic:cNvPr id="0" name="05_roc_curve.png"/>
                    <pic:cNvPicPr/>
                  </pic:nvPicPr>
                  <pic:blipFill>
                    <a:blip r:embed="rId12"/>
                    <a:stretch>
                      <a:fillRect/>
                    </a:stretch>
                  </pic:blipFill>
                  <pic:spPr>
                    <a:xfrm>
                      <a:off x="0" y="0"/>
                      <a:ext cx="5486400" cy="4702629"/>
                    </a:xfrm>
                    <a:prstGeom prst="rect"/>
                  </pic:spPr>
                </pic:pic>
              </a:graphicData>
            </a:graphic>
          </wp:inline>
        </w:drawing>
      </w:r>
    </w:p>
    <w:p>
      <w:pPr>
        <w:jc w:val="center"/>
      </w:pPr>
      <w:r>
        <w:rPr>
          <w:i/>
          <w:color w:val="646464"/>
          <w:sz w:val="18"/>
        </w:rPr>
        <w:t>Figure 4. ROC Curve</w:t>
      </w:r>
    </w:p>
    <w:p>
      <w:r>
        <w:br w:type="page"/>
      </w:r>
    </w:p>
    <w:p>
      <w:pPr>
        <w:pStyle w:val="Heading1"/>
        <w:spacing w:before="240" w:after="80"/>
      </w:pPr>
      <w:r>
        <w:rPr>
          <w:rFonts w:ascii="Calibri" w:hAnsi="Calibri"/>
          <w:color w:val="003366"/>
          <w:sz w:val="36"/>
        </w:rPr>
        <w:t>4. Hallucination Detection Metrics</w:t>
      </w:r>
    </w:p>
    <w:p>
      <w:pPr>
        <w:pBdr>
          <w:bottom w:val="single" w:sz="4" w:space="1" w:color="A0B4CC"/>
        </w:pBdr>
        <w:spacing w:after="120"/>
      </w:pPr>
    </w:p>
    <w:p>
      <w:pPr>
        <w:spacing w:after="40" w:before="40"/>
        <w:jc w:val="left"/>
      </w:pPr>
      <w:r>
        <w:rPr>
          <w:rFonts w:ascii="Calibri" w:hAnsi="Calibri"/>
          <w:b w:val="0"/>
          <w:i w:val="0"/>
          <w:sz w:val="22"/>
        </w:rPr>
        <w:t>This section analyses the system's ability to detect hallucinated legal claims. A hallucination is a claim that is NOT grounded in the IT Act 2000 knowledge base. Both FLAGGED and ABSTAIN decisions count as 'caught' for detection purposes.</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6E2C00"/>
            <w:vAlign w:val="center"/>
          </w:tcPr>
          <w:p>
            <w:pPr>
              <w:jc w:val="center"/>
            </w:pPr>
            <w:r>
              <w:rPr>
                <w:rFonts w:ascii="Calibri" w:hAnsi="Calibri"/>
                <w:b/>
                <w:color w:val="FFFFFF"/>
                <w:sz w:val="20"/>
              </w:rPr>
              <w:t>Metric</w:t>
            </w:r>
          </w:p>
        </w:tc>
        <w:tc>
          <w:tcPr>
            <w:tcW w:type="dxa" w:w="3135"/>
            <w:shd w:val="clear" w:color="auto" w:fill="6E2C00"/>
            <w:vAlign w:val="center"/>
          </w:tcPr>
          <w:p>
            <w:pPr>
              <w:jc w:val="center"/>
            </w:pPr>
            <w:r>
              <w:rPr>
                <w:rFonts w:ascii="Calibri" w:hAnsi="Calibri"/>
                <w:b/>
                <w:color w:val="FFFFFF"/>
                <w:sz w:val="20"/>
              </w:rPr>
              <w:t>Value</w:t>
            </w:r>
          </w:p>
        </w:tc>
        <w:tc>
          <w:tcPr>
            <w:tcW w:type="dxa" w:w="3135"/>
            <w:shd w:val="clear" w:color="auto" w:fill="6E2C00"/>
            <w:vAlign w:val="center"/>
          </w:tcPr>
          <w:p>
            <w:pPr>
              <w:jc w:val="center"/>
            </w:pPr>
            <w:r>
              <w:rPr>
                <w:rFonts w:ascii="Calibri" w:hAnsi="Calibri"/>
                <w:b/>
                <w:color w:val="FFFFFF"/>
                <w:sz w:val="20"/>
              </w:rPr>
              <w:t>Description</w:t>
            </w:r>
          </w:p>
        </w:tc>
      </w:tr>
      <w:tr>
        <w:tc>
          <w:tcPr>
            <w:tcW w:type="dxa" w:w="3135"/>
            <w:shd w:val="clear" w:color="auto" w:fill="FAD7A0"/>
          </w:tcPr>
          <w:p>
            <w:pPr>
              <w:jc w:val="center"/>
            </w:pPr>
            <w:r>
              <w:rPr>
                <w:rFonts w:ascii="Calibri" w:hAnsi="Calibri"/>
                <w:sz w:val="20"/>
              </w:rPr>
              <w:t>Total Hallucinations</w:t>
            </w:r>
          </w:p>
        </w:tc>
        <w:tc>
          <w:tcPr>
            <w:tcW w:type="dxa" w:w="3135"/>
            <w:shd w:val="clear" w:color="auto" w:fill="FAD7A0"/>
          </w:tcPr>
          <w:p>
            <w:pPr>
              <w:jc w:val="center"/>
            </w:pPr>
            <w:r>
              <w:rPr>
                <w:rFonts w:ascii="Calibri" w:hAnsi="Calibri"/>
                <w:sz w:val="20"/>
              </w:rPr>
              <w:t>20</w:t>
            </w:r>
          </w:p>
        </w:tc>
        <w:tc>
          <w:tcPr>
            <w:tcW w:type="dxa" w:w="3135"/>
            <w:shd w:val="clear" w:color="auto" w:fill="FAD7A0"/>
          </w:tcPr>
          <w:p>
            <w:pPr>
              <w:jc w:val="center"/>
            </w:pPr>
            <w:r>
              <w:rPr>
                <w:rFonts w:ascii="Calibri" w:hAnsi="Calibri"/>
                <w:sz w:val="20"/>
              </w:rPr>
              <w:t>Cases 51–70 in dataset</w:t>
            </w:r>
          </w:p>
        </w:tc>
      </w:tr>
      <w:tr>
        <w:tc>
          <w:tcPr>
            <w:tcW w:type="dxa" w:w="3135"/>
            <w:shd w:val="clear" w:color="auto" w:fill="FFFFFF"/>
          </w:tcPr>
          <w:p>
            <w:pPr>
              <w:jc w:val="center"/>
            </w:pPr>
            <w:r>
              <w:rPr>
                <w:rFonts w:ascii="Calibri" w:hAnsi="Calibri"/>
                <w:sz w:val="20"/>
              </w:rPr>
              <w:t>Detection Rate</w:t>
            </w:r>
          </w:p>
        </w:tc>
        <w:tc>
          <w:tcPr>
            <w:tcW w:type="dxa" w:w="3135"/>
            <w:shd w:val="clear" w:color="auto" w:fill="FFFFFF"/>
          </w:tcPr>
          <w:p>
            <w:pPr>
              <w:jc w:val="center"/>
            </w:pPr>
            <w:r>
              <w:rPr>
                <w:rFonts w:ascii="Calibri" w:hAnsi="Calibri"/>
                <w:sz w:val="20"/>
              </w:rPr>
              <w:t>100.0%</w:t>
            </w:r>
          </w:p>
        </w:tc>
        <w:tc>
          <w:tcPr>
            <w:tcW w:type="dxa" w:w="3135"/>
            <w:shd w:val="clear" w:color="auto" w:fill="FFFFFF"/>
          </w:tcPr>
          <w:p>
            <w:pPr>
              <w:jc w:val="center"/>
            </w:pPr>
            <w:r>
              <w:rPr>
                <w:rFonts w:ascii="Calibri" w:hAnsi="Calibri"/>
                <w:sz w:val="20"/>
              </w:rPr>
              <w:t>Hallucinations caught (FLAGGED or ABSTAIN)</w:t>
            </w:r>
          </w:p>
        </w:tc>
      </w:tr>
      <w:tr>
        <w:tc>
          <w:tcPr>
            <w:tcW w:type="dxa" w:w="3135"/>
            <w:shd w:val="clear" w:color="auto" w:fill="FAD7A0"/>
          </w:tcPr>
          <w:p>
            <w:pPr>
              <w:jc w:val="center"/>
            </w:pPr>
            <w:r>
              <w:rPr>
                <w:rFonts w:ascii="Calibri" w:hAnsi="Calibri"/>
                <w:sz w:val="20"/>
              </w:rPr>
              <w:t>Miss Rate</w:t>
            </w:r>
          </w:p>
        </w:tc>
        <w:tc>
          <w:tcPr>
            <w:tcW w:type="dxa" w:w="3135"/>
            <w:shd w:val="clear" w:color="auto" w:fill="FAD7A0"/>
          </w:tcPr>
          <w:p>
            <w:pPr>
              <w:jc w:val="center"/>
            </w:pPr>
            <w:r>
              <w:rPr>
                <w:rFonts w:ascii="Calibri" w:hAnsi="Calibri"/>
                <w:sz w:val="20"/>
              </w:rPr>
              <w:t>0.0%</w:t>
            </w:r>
          </w:p>
        </w:tc>
        <w:tc>
          <w:tcPr>
            <w:tcW w:type="dxa" w:w="3135"/>
            <w:shd w:val="clear" w:color="auto" w:fill="FAD7A0"/>
          </w:tcPr>
          <w:p>
            <w:pPr>
              <w:jc w:val="center"/>
            </w:pPr>
            <w:r>
              <w:rPr>
                <w:rFonts w:ascii="Calibri" w:hAnsi="Calibri"/>
                <w:sz w:val="20"/>
              </w:rPr>
              <w:t>Hallucinations that slipped as SAFE</w:t>
            </w:r>
          </w:p>
        </w:tc>
      </w:tr>
      <w:tr>
        <w:tc>
          <w:tcPr>
            <w:tcW w:type="dxa" w:w="3135"/>
            <w:shd w:val="clear" w:color="auto" w:fill="FFFFFF"/>
          </w:tcPr>
          <w:p>
            <w:pPr>
              <w:jc w:val="center"/>
            </w:pPr>
            <w:r>
              <w:rPr>
                <w:rFonts w:ascii="Calibri" w:hAnsi="Calibri"/>
                <w:sz w:val="20"/>
              </w:rPr>
              <w:t>Caught (count)</w:t>
            </w:r>
          </w:p>
        </w:tc>
        <w:tc>
          <w:tcPr>
            <w:tcW w:type="dxa" w:w="3135"/>
            <w:shd w:val="clear" w:color="auto" w:fill="FFFFFF"/>
          </w:tcPr>
          <w:p>
            <w:pPr>
              <w:jc w:val="center"/>
            </w:pPr>
            <w:r>
              <w:rPr>
                <w:rFonts w:ascii="Calibri" w:hAnsi="Calibri"/>
                <w:sz w:val="20"/>
              </w:rPr>
              <w:t>20</w:t>
            </w:r>
          </w:p>
        </w:tc>
        <w:tc>
          <w:tcPr>
            <w:tcW w:type="dxa" w:w="3135"/>
            <w:shd w:val="clear" w:color="auto" w:fill="FFFFFF"/>
          </w:tcPr>
          <w:p>
            <w:pPr>
              <w:jc w:val="center"/>
            </w:pPr>
            <w:r>
              <w:rPr>
                <w:rFonts w:ascii="Calibri" w:hAnsi="Calibri"/>
                <w:sz w:val="20"/>
              </w:rPr>
              <w:t>Hallucinations correctly flagged</w:t>
            </w:r>
          </w:p>
        </w:tc>
      </w:tr>
      <w:tr>
        <w:tc>
          <w:tcPr>
            <w:tcW w:type="dxa" w:w="3135"/>
            <w:shd w:val="clear" w:color="auto" w:fill="FAD7A0"/>
          </w:tcPr>
          <w:p>
            <w:pPr>
              <w:jc w:val="center"/>
            </w:pPr>
            <w:r>
              <w:rPr>
                <w:rFonts w:ascii="Calibri" w:hAnsi="Calibri"/>
                <w:sz w:val="20"/>
              </w:rPr>
              <w:t>Missed (count)</w:t>
            </w:r>
          </w:p>
        </w:tc>
        <w:tc>
          <w:tcPr>
            <w:tcW w:type="dxa" w:w="3135"/>
            <w:shd w:val="clear" w:color="auto" w:fill="FAD7A0"/>
          </w:tcPr>
          <w:p>
            <w:pPr>
              <w:jc w:val="center"/>
            </w:pPr>
            <w:r>
              <w:rPr>
                <w:rFonts w:ascii="Calibri" w:hAnsi="Calibri"/>
                <w:sz w:val="20"/>
              </w:rPr>
              <w:t>0</w:t>
            </w:r>
          </w:p>
        </w:tc>
        <w:tc>
          <w:tcPr>
            <w:tcW w:type="dxa" w:w="3135"/>
            <w:shd w:val="clear" w:color="auto" w:fill="FAD7A0"/>
          </w:tcPr>
          <w:p>
            <w:pPr>
              <w:jc w:val="center"/>
            </w:pPr>
            <w:r>
              <w:rPr>
                <w:rFonts w:ascii="Calibri" w:hAnsi="Calibri"/>
                <w:sz w:val="20"/>
              </w:rPr>
              <w:t>Hallucinations incorrectly marked SAFE</w:t>
            </w:r>
          </w:p>
        </w:tc>
      </w:tr>
      <w:tr>
        <w:tc>
          <w:tcPr>
            <w:tcW w:type="dxa" w:w="3135"/>
            <w:shd w:val="clear" w:color="auto" w:fill="FFFFFF"/>
          </w:tcPr>
          <w:p>
            <w:pPr>
              <w:jc w:val="center"/>
            </w:pPr>
            <w:r>
              <w:rPr>
                <w:rFonts w:ascii="Calibri" w:hAnsi="Calibri"/>
                <w:sz w:val="20"/>
              </w:rPr>
              <w:t>Precision</w:t>
            </w:r>
          </w:p>
        </w:tc>
        <w:tc>
          <w:tcPr>
            <w:tcW w:type="dxa" w:w="3135"/>
            <w:shd w:val="clear" w:color="auto" w:fill="FFFFFF"/>
          </w:tcPr>
          <w:p>
            <w:pPr>
              <w:jc w:val="center"/>
            </w:pPr>
            <w:r>
              <w:rPr>
                <w:rFonts w:ascii="Calibri" w:hAnsi="Calibri"/>
                <w:sz w:val="20"/>
              </w:rPr>
              <w:t>87.0%</w:t>
            </w:r>
          </w:p>
        </w:tc>
        <w:tc>
          <w:tcPr>
            <w:tcW w:type="dxa" w:w="3135"/>
            <w:shd w:val="clear" w:color="auto" w:fill="FFFFFF"/>
          </w:tcPr>
          <w:p>
            <w:pPr>
              <w:jc w:val="center"/>
            </w:pPr>
            <w:r>
              <w:rPr>
                <w:rFonts w:ascii="Calibri" w:hAnsi="Calibri"/>
                <w:sz w:val="20"/>
              </w:rPr>
              <w:t>Of FLAGGED+ABSTAIN, how many are real hallucinations?</w:t>
            </w:r>
          </w:p>
        </w:tc>
      </w:tr>
      <w:tr>
        <w:tc>
          <w:tcPr>
            <w:tcW w:type="dxa" w:w="3135"/>
            <w:shd w:val="clear" w:color="auto" w:fill="FAD7A0"/>
          </w:tcPr>
          <w:p>
            <w:pPr>
              <w:jc w:val="center"/>
            </w:pPr>
            <w:r>
              <w:rPr>
                <w:rFonts w:ascii="Calibri" w:hAnsi="Calibri"/>
                <w:sz w:val="20"/>
              </w:rPr>
              <w:t>F1 (Halluc.)</w:t>
            </w:r>
          </w:p>
        </w:tc>
        <w:tc>
          <w:tcPr>
            <w:tcW w:type="dxa" w:w="3135"/>
            <w:shd w:val="clear" w:color="auto" w:fill="FAD7A0"/>
          </w:tcPr>
          <w:p>
            <w:pPr>
              <w:jc w:val="center"/>
            </w:pPr>
            <w:r>
              <w:rPr>
                <w:rFonts w:ascii="Calibri" w:hAnsi="Calibri"/>
                <w:sz w:val="20"/>
              </w:rPr>
              <w:t>0.9302</w:t>
            </w:r>
          </w:p>
        </w:tc>
        <w:tc>
          <w:tcPr>
            <w:tcW w:type="dxa" w:w="3135"/>
            <w:shd w:val="clear" w:color="auto" w:fill="FAD7A0"/>
          </w:tcPr>
          <w:p>
            <w:pPr>
              <w:jc w:val="center"/>
            </w:pPr>
            <w:r>
              <w:rPr>
                <w:rFonts w:ascii="Calibri" w:hAnsi="Calibri"/>
                <w:sz w:val="20"/>
              </w:rPr>
              <w:t>F1 for hallucination class</w:t>
            </w:r>
          </w:p>
        </w:tc>
      </w:tr>
      <w:tr>
        <w:tc>
          <w:tcPr>
            <w:tcW w:type="dxa" w:w="3135"/>
            <w:shd w:val="clear" w:color="auto" w:fill="FFFFFF"/>
          </w:tcPr>
          <w:p>
            <w:pPr>
              <w:jc w:val="center"/>
            </w:pPr>
            <w:r>
              <w:rPr>
                <w:rFonts w:ascii="Calibri" w:hAnsi="Calibri"/>
                <w:sz w:val="20"/>
              </w:rPr>
              <w:t>False Alarm Rate</w:t>
            </w:r>
          </w:p>
        </w:tc>
        <w:tc>
          <w:tcPr>
            <w:tcW w:type="dxa" w:w="3135"/>
            <w:shd w:val="clear" w:color="auto" w:fill="FFFFFF"/>
          </w:tcPr>
          <w:p>
            <w:pPr>
              <w:jc w:val="center"/>
            </w:pPr>
            <w:r>
              <w:rPr>
                <w:rFonts w:ascii="Calibri" w:hAnsi="Calibri"/>
                <w:sz w:val="20"/>
              </w:rPr>
              <w:t>6.0%</w:t>
            </w:r>
          </w:p>
        </w:tc>
        <w:tc>
          <w:tcPr>
            <w:tcW w:type="dxa" w:w="3135"/>
            <w:shd w:val="clear" w:color="auto" w:fill="FFFFFF"/>
          </w:tcPr>
          <w:p>
            <w:pPr>
              <w:jc w:val="center"/>
            </w:pPr>
            <w:r>
              <w:rPr>
                <w:rFonts w:ascii="Calibri" w:hAnsi="Calibri"/>
                <w:sz w:val="20"/>
              </w:rPr>
              <w:t>Factual claims wrongly flagged</w:t>
            </w:r>
          </w:p>
        </w:tc>
      </w:tr>
      <w:tr>
        <w:tc>
          <w:tcPr>
            <w:tcW w:type="dxa" w:w="3135"/>
            <w:shd w:val="clear" w:color="auto" w:fill="FAD7A0"/>
          </w:tcPr>
          <w:p>
            <w:pPr>
              <w:jc w:val="center"/>
            </w:pPr>
            <w:r>
              <w:rPr>
                <w:rFonts w:ascii="Calibri" w:hAnsi="Calibri"/>
                <w:sz w:val="20"/>
              </w:rPr>
              <w:t>False Alarms (count)</w:t>
            </w:r>
          </w:p>
        </w:tc>
        <w:tc>
          <w:tcPr>
            <w:tcW w:type="dxa" w:w="3135"/>
            <w:shd w:val="clear" w:color="auto" w:fill="FAD7A0"/>
          </w:tcPr>
          <w:p>
            <w:pPr>
              <w:jc w:val="center"/>
            </w:pPr>
            <w:r>
              <w:rPr>
                <w:rFonts w:ascii="Calibri" w:hAnsi="Calibri"/>
                <w:sz w:val="20"/>
              </w:rPr>
              <w:t>3</w:t>
            </w:r>
          </w:p>
        </w:tc>
        <w:tc>
          <w:tcPr>
            <w:tcW w:type="dxa" w:w="3135"/>
            <w:shd w:val="clear" w:color="auto" w:fill="FAD7A0"/>
          </w:tcPr>
          <w:p>
            <w:pPr>
              <w:jc w:val="center"/>
            </w:pPr>
            <w:r>
              <w:rPr>
                <w:rFonts w:ascii="Calibri" w:hAnsi="Calibri"/>
                <w:sz w:val="20"/>
              </w:rPr>
              <w:t>Factual claims marked FLAGGED/ABSTAIN</w:t>
            </w:r>
          </w:p>
        </w:tc>
      </w:tr>
      <w:tr>
        <w:tc>
          <w:tcPr>
            <w:tcW w:type="dxa" w:w="3135"/>
            <w:shd w:val="clear" w:color="auto" w:fill="FFFFFF"/>
          </w:tcPr>
          <w:p>
            <w:pPr>
              <w:jc w:val="center"/>
            </w:pPr>
            <w:r>
              <w:rPr>
                <w:rFonts w:ascii="Calibri" w:hAnsi="Calibri"/>
                <w:sz w:val="20"/>
              </w:rPr>
              <w:t>Factual Retention</w:t>
            </w:r>
          </w:p>
        </w:tc>
        <w:tc>
          <w:tcPr>
            <w:tcW w:type="dxa" w:w="3135"/>
            <w:shd w:val="clear" w:color="auto" w:fill="FFFFFF"/>
          </w:tcPr>
          <w:p>
            <w:pPr>
              <w:jc w:val="center"/>
            </w:pPr>
            <w:r>
              <w:rPr>
                <w:rFonts w:ascii="Calibri" w:hAnsi="Calibri"/>
                <w:sz w:val="20"/>
              </w:rPr>
              <w:t>94.0%</w:t>
            </w:r>
          </w:p>
        </w:tc>
        <w:tc>
          <w:tcPr>
            <w:tcW w:type="dxa" w:w="3135"/>
            <w:shd w:val="clear" w:color="auto" w:fill="FFFFFF"/>
          </w:tcPr>
          <w:p>
            <w:pPr>
              <w:jc w:val="center"/>
            </w:pPr>
            <w:r>
              <w:rPr>
                <w:rFonts w:ascii="Calibri" w:hAnsi="Calibri"/>
                <w:sz w:val="20"/>
              </w:rPr>
              <w:t>Factual claims correctly returned SAFE</w:t>
            </w:r>
          </w:p>
        </w:tc>
      </w:tr>
      <w:tr>
        <w:tc>
          <w:tcPr>
            <w:tcW w:type="dxa" w:w="3135"/>
            <w:shd w:val="clear" w:color="auto" w:fill="FAD7A0"/>
          </w:tcPr>
          <w:p>
            <w:pPr>
              <w:jc w:val="center"/>
            </w:pPr>
            <w:r>
              <w:rPr>
                <w:rFonts w:ascii="Calibri" w:hAnsi="Calibri"/>
                <w:sz w:val="20"/>
              </w:rPr>
              <w:t>Avg Trust – Factual</w:t>
            </w:r>
          </w:p>
        </w:tc>
        <w:tc>
          <w:tcPr>
            <w:tcW w:type="dxa" w:w="3135"/>
            <w:shd w:val="clear" w:color="auto" w:fill="FAD7A0"/>
          </w:tcPr>
          <w:p>
            <w:pPr>
              <w:jc w:val="center"/>
            </w:pPr>
            <w:r>
              <w:rPr>
                <w:rFonts w:ascii="Calibri" w:hAnsi="Calibri"/>
                <w:sz w:val="20"/>
              </w:rPr>
              <w:t>0.8942</w:t>
            </w:r>
          </w:p>
        </w:tc>
        <w:tc>
          <w:tcPr>
            <w:tcW w:type="dxa" w:w="3135"/>
            <w:shd w:val="clear" w:color="auto" w:fill="FAD7A0"/>
          </w:tcPr>
          <w:p>
            <w:pPr>
              <w:jc w:val="center"/>
            </w:pPr>
            <w:r>
              <w:rPr>
                <w:rFonts w:ascii="Calibri" w:hAnsi="Calibri"/>
                <w:sz w:val="20"/>
              </w:rPr>
              <w:t>Mean trust index for Supported claims</w:t>
            </w:r>
          </w:p>
        </w:tc>
      </w:tr>
      <w:tr>
        <w:tc>
          <w:tcPr>
            <w:tcW w:type="dxa" w:w="3135"/>
            <w:shd w:val="clear" w:color="auto" w:fill="FFFFFF"/>
          </w:tcPr>
          <w:p>
            <w:pPr>
              <w:jc w:val="center"/>
            </w:pPr>
            <w:r>
              <w:rPr>
                <w:rFonts w:ascii="Calibri" w:hAnsi="Calibri"/>
                <w:sz w:val="20"/>
              </w:rPr>
              <w:t>Avg Trust – Halluc.</w:t>
            </w:r>
          </w:p>
        </w:tc>
        <w:tc>
          <w:tcPr>
            <w:tcW w:type="dxa" w:w="3135"/>
            <w:shd w:val="clear" w:color="auto" w:fill="FFFFFF"/>
          </w:tcPr>
          <w:p>
            <w:pPr>
              <w:jc w:val="center"/>
            </w:pPr>
            <w:r>
              <w:rPr>
                <w:rFonts w:ascii="Calibri" w:hAnsi="Calibri"/>
                <w:sz w:val="20"/>
              </w:rPr>
              <w:t>0.2049</w:t>
            </w:r>
          </w:p>
        </w:tc>
        <w:tc>
          <w:tcPr>
            <w:tcW w:type="dxa" w:w="3135"/>
            <w:shd w:val="clear" w:color="auto" w:fill="FFFFFF"/>
          </w:tcPr>
          <w:p>
            <w:pPr>
              <w:jc w:val="center"/>
            </w:pPr>
            <w:r>
              <w:rPr>
                <w:rFonts w:ascii="Calibri" w:hAnsi="Calibri"/>
                <w:sz w:val="20"/>
              </w:rPr>
              <w:t>Mean trust index for Refuted claims</w:t>
            </w:r>
          </w:p>
        </w:tc>
      </w:tr>
      <w:tr>
        <w:tc>
          <w:tcPr>
            <w:tcW w:type="dxa" w:w="3135"/>
            <w:shd w:val="clear" w:color="auto" w:fill="FAD7A0"/>
          </w:tcPr>
          <w:p>
            <w:pPr>
              <w:jc w:val="center"/>
            </w:pPr>
            <w:r>
              <w:rPr>
                <w:rFonts w:ascii="Calibri" w:hAnsi="Calibri"/>
                <w:sz w:val="20"/>
              </w:rPr>
              <w:t>Trust Discrimination Gap</w:t>
            </w:r>
          </w:p>
        </w:tc>
        <w:tc>
          <w:tcPr>
            <w:tcW w:type="dxa" w:w="3135"/>
            <w:shd w:val="clear" w:color="auto" w:fill="FAD7A0"/>
          </w:tcPr>
          <w:p>
            <w:pPr>
              <w:jc w:val="center"/>
            </w:pPr>
            <w:r>
              <w:rPr>
                <w:rFonts w:ascii="Calibri" w:hAnsi="Calibri"/>
                <w:sz w:val="20"/>
              </w:rPr>
              <w:t>0.6893</w:t>
            </w:r>
          </w:p>
        </w:tc>
        <w:tc>
          <w:tcPr>
            <w:tcW w:type="dxa" w:w="3135"/>
            <w:shd w:val="clear" w:color="auto" w:fill="FAD7A0"/>
          </w:tcPr>
          <w:p>
            <w:pPr>
              <w:jc w:val="center"/>
            </w:pPr>
            <w:r>
              <w:rPr>
                <w:rFonts w:ascii="Calibri" w:hAnsi="Calibri"/>
                <w:sz w:val="20"/>
              </w:rPr>
              <w:t>Factual avg minus Halluc. avg (higher = better)</w:t>
            </w:r>
          </w:p>
        </w:tc>
      </w:tr>
    </w:tbl>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08_hallucination_summary.png"/>
                    <pic:cNvPicPr/>
                  </pic:nvPicPr>
                  <pic:blipFill>
                    <a:blip r:embed="rId13"/>
                    <a:stretch>
                      <a:fillRect/>
                    </a:stretch>
                  </pic:blipFill>
                  <pic:spPr>
                    <a:xfrm>
                      <a:off x="0" y="0"/>
                      <a:ext cx="5486400" cy="3918857"/>
                    </a:xfrm>
                    <a:prstGeom prst="rect"/>
                  </pic:spPr>
                </pic:pic>
              </a:graphicData>
            </a:graphic>
          </wp:inline>
        </w:drawing>
      </w:r>
    </w:p>
    <w:p>
      <w:pPr>
        <w:jc w:val="center"/>
      </w:pPr>
      <w:r>
        <w:rPr>
          <w:i/>
          <w:color w:val="646464"/>
          <w:sz w:val="18"/>
        </w:rPr>
        <w:t>Figure 5. Hallucination Detection Summary</w:t>
      </w:r>
    </w:p>
    <w:p/>
    <w:p>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11_trust_by_ground_truth.png"/>
                    <pic:cNvPicPr/>
                  </pic:nvPicPr>
                  <pic:blipFill>
                    <a:blip r:embed="rId14"/>
                    <a:stretch>
                      <a:fillRect/>
                    </a:stretch>
                  </pic:blipFill>
                  <pic:spPr>
                    <a:xfrm>
                      <a:off x="0" y="0"/>
                      <a:ext cx="5486400" cy="3918857"/>
                    </a:xfrm>
                    <a:prstGeom prst="rect"/>
                  </pic:spPr>
                </pic:pic>
              </a:graphicData>
            </a:graphic>
          </wp:inline>
        </w:drawing>
      </w:r>
    </w:p>
    <w:p>
      <w:pPr>
        <w:jc w:val="center"/>
      </w:pPr>
      <w:r>
        <w:rPr>
          <w:i/>
          <w:color w:val="646464"/>
          <w:sz w:val="18"/>
        </w:rPr>
        <w:t>Figure 6. Trust Score Distribution — Factual vs Hallucinated</w:t>
      </w:r>
    </w:p>
    <w:p/>
    <w:p>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06_confidence_by_decision.png"/>
                    <pic:cNvPicPr/>
                  </pic:nvPicPr>
                  <pic:blipFill>
                    <a:blip r:embed="rId15"/>
                    <a:stretch>
                      <a:fillRect/>
                    </a:stretch>
                  </pic:blipFill>
                  <pic:spPr>
                    <a:xfrm>
                      <a:off x="0" y="0"/>
                      <a:ext cx="5486400" cy="3429000"/>
                    </a:xfrm>
                    <a:prstGeom prst="rect"/>
                  </pic:spPr>
                </pic:pic>
              </a:graphicData>
            </a:graphic>
          </wp:inline>
        </w:drawing>
      </w:r>
    </w:p>
    <w:p>
      <w:pPr>
        <w:jc w:val="center"/>
      </w:pPr>
      <w:r>
        <w:rPr>
          <w:i/>
          <w:color w:val="646464"/>
          <w:sz w:val="18"/>
        </w:rPr>
        <w:t>Figure 7. Confidence Distribution by Decision Class</w:t>
      </w:r>
    </w:p>
    <w:p>
      <w:r>
        <w:br w:type="page"/>
      </w:r>
    </w:p>
    <w:p>
      <w:pPr>
        <w:pStyle w:val="Heading1"/>
        <w:spacing w:before="240" w:after="80"/>
      </w:pPr>
      <w:r>
        <w:rPr>
          <w:rFonts w:ascii="Calibri" w:hAnsi="Calibri"/>
          <w:color w:val="003366"/>
          <w:sz w:val="36"/>
        </w:rPr>
        <w:t>5. 3-Class Accuracy &amp; ABSTAIN Analysis</w:t>
      </w:r>
    </w:p>
    <w:p>
      <w:pPr>
        <w:pBdr>
          <w:bottom w:val="single" w:sz="4" w:space="1" w:color="A0B4CC"/>
        </w:pBdr>
        <w:spacing w:after="12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4F72"/>
            <w:vAlign w:val="center"/>
          </w:tcPr>
          <w:p>
            <w:pPr>
              <w:jc w:val="center"/>
            </w:pPr>
            <w:r>
              <w:rPr>
                <w:rFonts w:ascii="Calibri" w:hAnsi="Calibri"/>
                <w:b/>
                <w:color w:val="FFFFFF"/>
                <w:sz w:val="20"/>
              </w:rPr>
              <w:t>Metric</w:t>
            </w:r>
          </w:p>
        </w:tc>
        <w:tc>
          <w:tcPr>
            <w:tcW w:type="dxa" w:w="3135"/>
            <w:shd w:val="clear" w:color="auto" w:fill="1B4F72"/>
            <w:vAlign w:val="center"/>
          </w:tcPr>
          <w:p>
            <w:pPr>
              <w:jc w:val="center"/>
            </w:pPr>
            <w:r>
              <w:rPr>
                <w:rFonts w:ascii="Calibri" w:hAnsi="Calibri"/>
                <w:b/>
                <w:color w:val="FFFFFF"/>
                <w:sz w:val="20"/>
              </w:rPr>
              <w:t>Count / Value</w:t>
            </w:r>
          </w:p>
        </w:tc>
        <w:tc>
          <w:tcPr>
            <w:tcW w:type="dxa" w:w="3135"/>
            <w:shd w:val="clear" w:color="auto" w:fill="1B4F72"/>
            <w:vAlign w:val="center"/>
          </w:tcPr>
          <w:p>
            <w:pPr>
              <w:jc w:val="center"/>
            </w:pPr>
            <w:r>
              <w:rPr>
                <w:rFonts w:ascii="Calibri" w:hAnsi="Calibri"/>
                <w:b/>
                <w:color w:val="FFFFFF"/>
                <w:sz w:val="20"/>
              </w:rPr>
              <w:t>Notes</w:t>
            </w:r>
          </w:p>
        </w:tc>
      </w:tr>
      <w:tr>
        <w:tc>
          <w:tcPr>
            <w:tcW w:type="dxa" w:w="3135"/>
            <w:shd w:val="clear" w:color="auto" w:fill="D6EAF8"/>
          </w:tcPr>
          <w:p>
            <w:pPr>
              <w:jc w:val="center"/>
            </w:pPr>
            <w:r>
              <w:rPr>
                <w:rFonts w:ascii="Calibri" w:hAnsi="Calibri"/>
                <w:sz w:val="20"/>
              </w:rPr>
              <w:t>SAFE decisions</w:t>
            </w:r>
          </w:p>
        </w:tc>
        <w:tc>
          <w:tcPr>
            <w:tcW w:type="dxa" w:w="3135"/>
            <w:shd w:val="clear" w:color="auto" w:fill="D6EAF8"/>
          </w:tcPr>
          <w:p>
            <w:pPr>
              <w:jc w:val="center"/>
            </w:pPr>
            <w:r>
              <w:rPr>
                <w:rFonts w:ascii="Calibri" w:hAnsi="Calibri"/>
                <w:sz w:val="20"/>
              </w:rPr>
              <w:t>47</w:t>
            </w:r>
          </w:p>
        </w:tc>
        <w:tc>
          <w:tcPr>
            <w:tcW w:type="dxa" w:w="3135"/>
            <w:shd w:val="clear" w:color="auto" w:fill="D6EAF8"/>
          </w:tcPr>
          <w:p>
            <w:pPr>
              <w:jc w:val="center"/>
            </w:pPr>
            <w:r>
              <w:rPr>
                <w:rFonts w:ascii="Calibri" w:hAnsi="Calibri"/>
                <w:sz w:val="20"/>
              </w:rPr>
              <w:t>67.1%</w:t>
            </w:r>
          </w:p>
        </w:tc>
      </w:tr>
      <w:tr>
        <w:tc>
          <w:tcPr>
            <w:tcW w:type="dxa" w:w="3135"/>
            <w:shd w:val="clear" w:color="auto" w:fill="FFFFFF"/>
          </w:tcPr>
          <w:p>
            <w:pPr>
              <w:jc w:val="center"/>
            </w:pPr>
            <w:r>
              <w:rPr>
                <w:rFonts w:ascii="Calibri" w:hAnsi="Calibri"/>
                <w:sz w:val="20"/>
              </w:rPr>
              <w:t>FLAGGED decisions</w:t>
            </w:r>
          </w:p>
        </w:tc>
        <w:tc>
          <w:tcPr>
            <w:tcW w:type="dxa" w:w="3135"/>
            <w:shd w:val="clear" w:color="auto" w:fill="FFFFFF"/>
          </w:tcPr>
          <w:p>
            <w:pPr>
              <w:jc w:val="center"/>
            </w:pPr>
            <w:r>
              <w:rPr>
                <w:rFonts w:ascii="Calibri" w:hAnsi="Calibri"/>
                <w:sz w:val="20"/>
              </w:rPr>
              <w:t>23</w:t>
            </w:r>
          </w:p>
        </w:tc>
        <w:tc>
          <w:tcPr>
            <w:tcW w:type="dxa" w:w="3135"/>
            <w:shd w:val="clear" w:color="auto" w:fill="FFFFFF"/>
          </w:tcPr>
          <w:p>
            <w:pPr>
              <w:jc w:val="center"/>
            </w:pPr>
            <w:r>
              <w:rPr>
                <w:rFonts w:ascii="Calibri" w:hAnsi="Calibri"/>
                <w:sz w:val="20"/>
              </w:rPr>
              <w:t>32.9%</w:t>
            </w:r>
          </w:p>
        </w:tc>
      </w:tr>
      <w:tr>
        <w:tc>
          <w:tcPr>
            <w:tcW w:type="dxa" w:w="3135"/>
            <w:shd w:val="clear" w:color="auto" w:fill="D6EAF8"/>
          </w:tcPr>
          <w:p>
            <w:pPr>
              <w:jc w:val="center"/>
            </w:pPr>
            <w:r>
              <w:rPr>
                <w:rFonts w:ascii="Calibri" w:hAnsi="Calibri"/>
                <w:sz w:val="20"/>
              </w:rPr>
              <w:t>ABSTAIN decisions</w:t>
            </w:r>
          </w:p>
        </w:tc>
        <w:tc>
          <w:tcPr>
            <w:tcW w:type="dxa" w:w="3135"/>
            <w:shd w:val="clear" w:color="auto" w:fill="D6EAF8"/>
          </w:tcPr>
          <w:p>
            <w:pPr>
              <w:jc w:val="center"/>
            </w:pPr>
            <w:r>
              <w:rPr>
                <w:rFonts w:ascii="Calibri" w:hAnsi="Calibri"/>
                <w:sz w:val="20"/>
              </w:rPr>
              <w:t>0</w:t>
            </w:r>
          </w:p>
        </w:tc>
        <w:tc>
          <w:tcPr>
            <w:tcW w:type="dxa" w:w="3135"/>
            <w:shd w:val="clear" w:color="auto" w:fill="D6EAF8"/>
          </w:tcPr>
          <w:p>
            <w:pPr>
              <w:jc w:val="center"/>
            </w:pPr>
            <w:r>
              <w:rPr>
                <w:rFonts w:ascii="Calibri" w:hAnsi="Calibri"/>
                <w:sz w:val="20"/>
              </w:rPr>
              <w:t>0.0%</w:t>
            </w:r>
          </w:p>
        </w:tc>
      </w:tr>
      <w:tr>
        <w:tc>
          <w:tcPr>
            <w:tcW w:type="dxa" w:w="3135"/>
            <w:shd w:val="clear" w:color="auto" w:fill="FFFFFF"/>
          </w:tcPr>
          <w:p>
            <w:pPr>
              <w:jc w:val="center"/>
            </w:pPr>
            <w:r>
              <w:rPr>
                <w:rFonts w:ascii="Calibri" w:hAnsi="Calibri"/>
                <w:sz w:val="20"/>
              </w:rPr>
              <w:t>ABSTAIN on Supported (Type-I)</w:t>
            </w:r>
          </w:p>
        </w:tc>
        <w:tc>
          <w:tcPr>
            <w:tcW w:type="dxa" w:w="3135"/>
            <w:shd w:val="clear" w:color="auto" w:fill="FFFFFF"/>
          </w:tcPr>
          <w:p>
            <w:pPr>
              <w:jc w:val="center"/>
            </w:pPr>
            <w:r>
              <w:rPr>
                <w:rFonts w:ascii="Calibri" w:hAnsi="Calibri"/>
                <w:sz w:val="20"/>
              </w:rPr>
              <w:t>0</w:t>
            </w:r>
          </w:p>
        </w:tc>
        <w:tc>
          <w:tcPr>
            <w:tcW w:type="dxa" w:w="3135"/>
            <w:shd w:val="clear" w:color="auto" w:fill="FFFFFF"/>
          </w:tcPr>
          <w:p>
            <w:pPr>
              <w:jc w:val="center"/>
            </w:pPr>
            <w:r>
              <w:rPr>
                <w:rFonts w:ascii="Calibri" w:hAnsi="Calibri"/>
                <w:sz w:val="20"/>
              </w:rPr>
              <w:t>Uncertainty on factual claims</w:t>
            </w:r>
          </w:p>
        </w:tc>
      </w:tr>
      <w:tr>
        <w:tc>
          <w:tcPr>
            <w:tcW w:type="dxa" w:w="3135"/>
            <w:shd w:val="clear" w:color="auto" w:fill="D6EAF8"/>
          </w:tcPr>
          <w:p>
            <w:pPr>
              <w:jc w:val="center"/>
            </w:pPr>
            <w:r>
              <w:rPr>
                <w:rFonts w:ascii="Calibri" w:hAnsi="Calibri"/>
                <w:sz w:val="20"/>
              </w:rPr>
              <w:t>ABSTAIN on Refuted (Safe)</w:t>
            </w:r>
          </w:p>
        </w:tc>
        <w:tc>
          <w:tcPr>
            <w:tcW w:type="dxa" w:w="3135"/>
            <w:shd w:val="clear" w:color="auto" w:fill="D6EAF8"/>
          </w:tcPr>
          <w:p>
            <w:pPr>
              <w:jc w:val="center"/>
            </w:pPr>
            <w:r>
              <w:rPr>
                <w:rFonts w:ascii="Calibri" w:hAnsi="Calibri"/>
                <w:sz w:val="20"/>
              </w:rPr>
              <w:t>0</w:t>
            </w:r>
          </w:p>
        </w:tc>
        <w:tc>
          <w:tcPr>
            <w:tcW w:type="dxa" w:w="3135"/>
            <w:shd w:val="clear" w:color="auto" w:fill="D6EAF8"/>
          </w:tcPr>
          <w:p>
            <w:pPr>
              <w:jc w:val="center"/>
            </w:pPr>
            <w:r>
              <w:rPr>
                <w:rFonts w:ascii="Calibri" w:hAnsi="Calibri"/>
                <w:sz w:val="20"/>
              </w:rPr>
              <w:t>Uncertainty on hallucinated claims</w:t>
            </w:r>
          </w:p>
        </w:tc>
      </w:tr>
      <w:tr>
        <w:tc>
          <w:tcPr>
            <w:tcW w:type="dxa" w:w="3135"/>
            <w:shd w:val="clear" w:color="auto" w:fill="FFFFFF"/>
          </w:tcPr>
          <w:p>
            <w:pPr>
              <w:jc w:val="center"/>
            </w:pPr>
            <w:r>
              <w:rPr>
                <w:rFonts w:ascii="Calibri" w:hAnsi="Calibri"/>
                <w:sz w:val="20"/>
              </w:rPr>
              <w:t>3-Class Accuracy (all)</w:t>
            </w:r>
          </w:p>
        </w:tc>
        <w:tc>
          <w:tcPr>
            <w:tcW w:type="dxa" w:w="3135"/>
            <w:shd w:val="clear" w:color="auto" w:fill="FFFFFF"/>
          </w:tcPr>
          <w:p>
            <w:pPr>
              <w:jc w:val="center"/>
            </w:pPr>
            <w:r>
              <w:rPr>
                <w:rFonts w:ascii="Calibri" w:hAnsi="Calibri"/>
                <w:sz w:val="20"/>
              </w:rPr>
              <w:t>95.71%</w:t>
            </w:r>
          </w:p>
        </w:tc>
        <w:tc>
          <w:tcPr>
            <w:tcW w:type="dxa" w:w="3135"/>
            <w:shd w:val="clear" w:color="auto" w:fill="FFFFFF"/>
          </w:tcPr>
          <w:p>
            <w:pPr>
              <w:jc w:val="center"/>
            </w:pPr>
            <w:r>
              <w:rPr>
                <w:rFonts w:ascii="Calibri" w:hAnsi="Calibri"/>
                <w:sz w:val="20"/>
              </w:rPr>
              <w:t>ABSTAIN counted as wrong</w:t>
            </w:r>
          </w:p>
        </w:tc>
      </w:tr>
      <w:tr>
        <w:tc>
          <w:tcPr>
            <w:tcW w:type="dxa" w:w="3135"/>
            <w:shd w:val="clear" w:color="auto" w:fill="D6EAF8"/>
          </w:tcPr>
          <w:p>
            <w:pPr>
              <w:jc w:val="center"/>
            </w:pPr>
            <w:r>
              <w:rPr>
                <w:rFonts w:ascii="Calibri" w:hAnsi="Calibri"/>
                <w:sz w:val="20"/>
              </w:rPr>
              <w:t>Committed Accuracy</w:t>
            </w:r>
          </w:p>
        </w:tc>
        <w:tc>
          <w:tcPr>
            <w:tcW w:type="dxa" w:w="3135"/>
            <w:shd w:val="clear" w:color="auto" w:fill="D6EAF8"/>
          </w:tcPr>
          <w:p>
            <w:pPr>
              <w:jc w:val="center"/>
            </w:pPr>
            <w:r>
              <w:rPr>
                <w:rFonts w:ascii="Calibri" w:hAnsi="Calibri"/>
                <w:sz w:val="20"/>
              </w:rPr>
              <w:t>95.71%</w:t>
            </w:r>
          </w:p>
        </w:tc>
        <w:tc>
          <w:tcPr>
            <w:tcW w:type="dxa" w:w="3135"/>
            <w:shd w:val="clear" w:color="auto" w:fill="D6EAF8"/>
          </w:tcPr>
          <w:p>
            <w:pPr>
              <w:jc w:val="center"/>
            </w:pPr>
            <w:r>
              <w:rPr>
                <w:rFonts w:ascii="Calibri" w:hAnsi="Calibri"/>
                <w:sz w:val="20"/>
              </w:rPr>
              <w:t>Excluding ABSTAIN cases</w:t>
            </w:r>
          </w:p>
        </w:tc>
      </w:tr>
    </w:tbl>
    <w:p/>
    <w:p>
      <w:r>
        <w:drawing>
          <wp:inline xmlns:a="http://schemas.openxmlformats.org/drawingml/2006/main" xmlns:pic="http://schemas.openxmlformats.org/drawingml/2006/picture">
            <wp:extent cx="5486400" cy="2350213"/>
            <wp:docPr id="8" name="Picture 8"/>
            <wp:cNvGraphicFramePr>
              <a:graphicFrameLocks noChangeAspect="1"/>
            </wp:cNvGraphicFramePr>
            <a:graphic>
              <a:graphicData uri="http://schemas.openxmlformats.org/drawingml/2006/picture">
                <pic:pic>
                  <pic:nvPicPr>
                    <pic:cNvPr id="0" name="03_decision_distribution.png"/>
                    <pic:cNvPicPr/>
                  </pic:nvPicPr>
                  <pic:blipFill>
                    <a:blip r:embed="rId16"/>
                    <a:stretch>
                      <a:fillRect/>
                    </a:stretch>
                  </pic:blipFill>
                  <pic:spPr>
                    <a:xfrm>
                      <a:off x="0" y="0"/>
                      <a:ext cx="5486400" cy="2350213"/>
                    </a:xfrm>
                    <a:prstGeom prst="rect"/>
                  </pic:spPr>
                </pic:pic>
              </a:graphicData>
            </a:graphic>
          </wp:inline>
        </w:drawing>
      </w:r>
    </w:p>
    <w:p>
      <w:pPr>
        <w:jc w:val="center"/>
      </w:pPr>
      <w:r>
        <w:rPr>
          <w:i/>
          <w:color w:val="646464"/>
          <w:sz w:val="18"/>
        </w:rPr>
        <w:t>Figure 8. Decision Distribution — Overall &amp; By Category</w:t>
      </w:r>
    </w:p>
    <w:p/>
    <w:p>
      <w:r>
        <w:drawing>
          <wp:inline xmlns:a="http://schemas.openxmlformats.org/drawingml/2006/main" xmlns:pic="http://schemas.openxmlformats.org/drawingml/2006/picture">
            <wp:extent cx="5486400" cy="4220308"/>
            <wp:docPr id="9" name="Picture 9"/>
            <wp:cNvGraphicFramePr>
              <a:graphicFrameLocks noChangeAspect="1"/>
            </wp:cNvGraphicFramePr>
            <a:graphic>
              <a:graphicData uri="http://schemas.openxmlformats.org/drawingml/2006/picture">
                <pic:pic>
                  <pic:nvPicPr>
                    <pic:cNvPr id="0" name="09_abstain_analysis.png"/>
                    <pic:cNvPicPr/>
                  </pic:nvPicPr>
                  <pic:blipFill>
                    <a:blip r:embed="rId17"/>
                    <a:stretch>
                      <a:fillRect/>
                    </a:stretch>
                  </pic:blipFill>
                  <pic:spPr>
                    <a:xfrm>
                      <a:off x="0" y="0"/>
                      <a:ext cx="5486400" cy="4220308"/>
                    </a:xfrm>
                    <a:prstGeom prst="rect"/>
                  </pic:spPr>
                </pic:pic>
              </a:graphicData>
            </a:graphic>
          </wp:inline>
        </w:drawing>
      </w:r>
    </w:p>
    <w:p>
      <w:pPr>
        <w:jc w:val="center"/>
      </w:pPr>
      <w:r>
        <w:rPr>
          <w:i/>
          <w:color w:val="646464"/>
          <w:sz w:val="18"/>
        </w:rPr>
        <w:t>Figure 9. ABSTAIN Decision Analysis</w:t>
      </w:r>
    </w:p>
    <w:p>
      <w:r>
        <w:br w:type="page"/>
      </w:r>
    </w:p>
    <w:p>
      <w:pPr>
        <w:pStyle w:val="Heading1"/>
        <w:spacing w:before="240" w:after="80"/>
      </w:pPr>
      <w:r>
        <w:rPr>
          <w:rFonts w:ascii="Calibri" w:hAnsi="Calibri"/>
          <w:color w:val="003366"/>
          <w:sz w:val="36"/>
        </w:rPr>
        <w:t>6. Performance by Category</w:t>
      </w:r>
    </w:p>
    <w:p>
      <w:pPr>
        <w:pBdr>
          <w:bottom w:val="single" w:sz="4" w:space="1" w:color="A0B4CC"/>
        </w:pBdr>
        <w:spacing w:after="120"/>
      </w:pP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17A65"/>
            <w:vAlign w:val="center"/>
          </w:tcPr>
          <w:p>
            <w:pPr>
              <w:jc w:val="center"/>
            </w:pPr>
            <w:r>
              <w:rPr>
                <w:rFonts w:ascii="Calibri" w:hAnsi="Calibri"/>
                <w:b/>
                <w:color w:val="FFFFFF"/>
                <w:sz w:val="20"/>
              </w:rPr>
              <w:t>Category</w:t>
            </w:r>
          </w:p>
        </w:tc>
        <w:tc>
          <w:tcPr>
            <w:tcW w:type="dxa" w:w="1344"/>
            <w:shd w:val="clear" w:color="auto" w:fill="117A65"/>
            <w:vAlign w:val="center"/>
          </w:tcPr>
          <w:p>
            <w:pPr>
              <w:jc w:val="center"/>
            </w:pPr>
            <w:r>
              <w:rPr>
                <w:rFonts w:ascii="Calibri" w:hAnsi="Calibri"/>
                <w:b/>
                <w:color w:val="FFFFFF"/>
                <w:sz w:val="20"/>
              </w:rPr>
              <w:t>n</w:t>
            </w:r>
          </w:p>
        </w:tc>
        <w:tc>
          <w:tcPr>
            <w:tcW w:type="dxa" w:w="1344"/>
            <w:shd w:val="clear" w:color="auto" w:fill="117A65"/>
            <w:vAlign w:val="center"/>
          </w:tcPr>
          <w:p>
            <w:pPr>
              <w:jc w:val="center"/>
            </w:pPr>
            <w:r>
              <w:rPr>
                <w:rFonts w:ascii="Calibri" w:hAnsi="Calibri"/>
                <w:b/>
                <w:color w:val="FFFFFF"/>
                <w:sz w:val="20"/>
              </w:rPr>
              <w:t>Accuracy</w:t>
            </w:r>
          </w:p>
        </w:tc>
        <w:tc>
          <w:tcPr>
            <w:tcW w:type="dxa" w:w="1344"/>
            <w:shd w:val="clear" w:color="auto" w:fill="117A65"/>
            <w:vAlign w:val="center"/>
          </w:tcPr>
          <w:p>
            <w:pPr>
              <w:jc w:val="center"/>
            </w:pPr>
            <w:r>
              <w:rPr>
                <w:rFonts w:ascii="Calibri" w:hAnsi="Calibri"/>
                <w:b/>
                <w:color w:val="FFFFFF"/>
                <w:sz w:val="20"/>
              </w:rPr>
              <w:t>SAFE</w:t>
            </w:r>
          </w:p>
        </w:tc>
        <w:tc>
          <w:tcPr>
            <w:tcW w:type="dxa" w:w="1344"/>
            <w:shd w:val="clear" w:color="auto" w:fill="117A65"/>
            <w:vAlign w:val="center"/>
          </w:tcPr>
          <w:p>
            <w:pPr>
              <w:jc w:val="center"/>
            </w:pPr>
            <w:r>
              <w:rPr>
                <w:rFonts w:ascii="Calibri" w:hAnsi="Calibri"/>
                <w:b/>
                <w:color w:val="FFFFFF"/>
                <w:sz w:val="20"/>
              </w:rPr>
              <w:t>FLAGGED</w:t>
            </w:r>
          </w:p>
        </w:tc>
        <w:tc>
          <w:tcPr>
            <w:tcW w:type="dxa" w:w="1344"/>
            <w:shd w:val="clear" w:color="auto" w:fill="117A65"/>
            <w:vAlign w:val="center"/>
          </w:tcPr>
          <w:p>
            <w:pPr>
              <w:jc w:val="center"/>
            </w:pPr>
            <w:r>
              <w:rPr>
                <w:rFonts w:ascii="Calibri" w:hAnsi="Calibri"/>
                <w:b/>
                <w:color w:val="FFFFFF"/>
                <w:sz w:val="20"/>
              </w:rPr>
              <w:t>ABSTAIN</w:t>
            </w:r>
          </w:p>
        </w:tc>
        <w:tc>
          <w:tcPr>
            <w:tcW w:type="dxa" w:w="1344"/>
            <w:shd w:val="clear" w:color="auto" w:fill="117A65"/>
            <w:vAlign w:val="center"/>
          </w:tcPr>
          <w:p>
            <w:pPr>
              <w:jc w:val="center"/>
            </w:pPr>
            <w:r>
              <w:rPr>
                <w:rFonts w:ascii="Calibri" w:hAnsi="Calibri"/>
                <w:b/>
                <w:color w:val="FFFFFF"/>
                <w:sz w:val="20"/>
              </w:rPr>
              <w:t>Avg Trust</w:t>
            </w:r>
          </w:p>
        </w:tc>
      </w:tr>
      <w:tr>
        <w:tc>
          <w:tcPr>
            <w:tcW w:type="dxa" w:w="1344"/>
            <w:shd w:val="clear" w:color="auto" w:fill="D1F2EB"/>
          </w:tcPr>
          <w:p>
            <w:pPr>
              <w:jc w:val="center"/>
            </w:pPr>
            <w:r>
              <w:rPr>
                <w:rFonts w:ascii="Calibri" w:hAnsi="Calibri"/>
                <w:sz w:val="20"/>
              </w:rPr>
              <w:t>In-KB (Supported)</w:t>
            </w:r>
          </w:p>
        </w:tc>
        <w:tc>
          <w:tcPr>
            <w:tcW w:type="dxa" w:w="1344"/>
            <w:shd w:val="clear" w:color="auto" w:fill="D1F2EB"/>
          </w:tcPr>
          <w:p>
            <w:pPr>
              <w:jc w:val="center"/>
            </w:pPr>
            <w:r>
              <w:rPr>
                <w:rFonts w:ascii="Calibri" w:hAnsi="Calibri"/>
                <w:sz w:val="20"/>
              </w:rPr>
              <w:t>50</w:t>
            </w:r>
          </w:p>
        </w:tc>
        <w:tc>
          <w:tcPr>
            <w:tcW w:type="dxa" w:w="1344"/>
            <w:shd w:val="clear" w:color="auto" w:fill="D1F2EB"/>
          </w:tcPr>
          <w:p>
            <w:pPr>
              <w:jc w:val="center"/>
            </w:pPr>
            <w:r>
              <w:rPr>
                <w:rFonts w:ascii="Calibri" w:hAnsi="Calibri"/>
                <w:sz w:val="20"/>
              </w:rPr>
              <w:t>94.0%</w:t>
            </w:r>
          </w:p>
        </w:tc>
        <w:tc>
          <w:tcPr>
            <w:tcW w:type="dxa" w:w="1344"/>
            <w:shd w:val="clear" w:color="auto" w:fill="D1F2EB"/>
          </w:tcPr>
          <w:p>
            <w:pPr>
              <w:jc w:val="center"/>
            </w:pPr>
            <w:r>
              <w:rPr>
                <w:rFonts w:ascii="Calibri" w:hAnsi="Calibri"/>
                <w:sz w:val="20"/>
              </w:rPr>
              <w:t>47</w:t>
            </w:r>
          </w:p>
        </w:tc>
        <w:tc>
          <w:tcPr>
            <w:tcW w:type="dxa" w:w="1344"/>
            <w:shd w:val="clear" w:color="auto" w:fill="D1F2EB"/>
          </w:tcPr>
          <w:p>
            <w:pPr>
              <w:jc w:val="center"/>
            </w:pPr>
            <w:r>
              <w:rPr>
                <w:rFonts w:ascii="Calibri" w:hAnsi="Calibri"/>
                <w:sz w:val="20"/>
              </w:rPr>
              <w:t>3</w:t>
            </w:r>
          </w:p>
        </w:tc>
        <w:tc>
          <w:tcPr>
            <w:tcW w:type="dxa" w:w="1344"/>
            <w:shd w:val="clear" w:color="auto" w:fill="D1F2EB"/>
          </w:tcPr>
          <w:p>
            <w:pPr>
              <w:jc w:val="center"/>
            </w:pPr>
            <w:r>
              <w:rPr>
                <w:rFonts w:ascii="Calibri" w:hAnsi="Calibri"/>
                <w:sz w:val="20"/>
              </w:rPr>
              <w:t>0</w:t>
            </w:r>
          </w:p>
        </w:tc>
        <w:tc>
          <w:tcPr>
            <w:tcW w:type="dxa" w:w="1344"/>
            <w:shd w:val="clear" w:color="auto" w:fill="D1F2EB"/>
          </w:tcPr>
          <w:p>
            <w:pPr>
              <w:jc w:val="center"/>
            </w:pPr>
            <w:r>
              <w:rPr>
                <w:rFonts w:ascii="Calibri" w:hAnsi="Calibri"/>
                <w:sz w:val="20"/>
              </w:rPr>
              <w:t>0.894</w:t>
            </w:r>
          </w:p>
        </w:tc>
      </w:tr>
      <w:tr>
        <w:tc>
          <w:tcPr>
            <w:tcW w:type="dxa" w:w="1344"/>
            <w:shd w:val="clear" w:color="auto" w:fill="FFFFFF"/>
          </w:tcPr>
          <w:p>
            <w:pPr>
              <w:jc w:val="center"/>
            </w:pPr>
            <w:r>
              <w:rPr>
                <w:rFonts w:ascii="Calibri" w:hAnsi="Calibri"/>
                <w:sz w:val="20"/>
              </w:rPr>
              <w:t>Outside-KB (Refuted)</w:t>
            </w:r>
          </w:p>
        </w:tc>
        <w:tc>
          <w:tcPr>
            <w:tcW w:type="dxa" w:w="1344"/>
            <w:shd w:val="clear" w:color="auto" w:fill="FFFFFF"/>
          </w:tcPr>
          <w:p>
            <w:pPr>
              <w:jc w:val="center"/>
            </w:pPr>
            <w:r>
              <w:rPr>
                <w:rFonts w:ascii="Calibri" w:hAnsi="Calibri"/>
                <w:sz w:val="20"/>
              </w:rPr>
              <w:t>20</w:t>
            </w:r>
          </w:p>
        </w:tc>
        <w:tc>
          <w:tcPr>
            <w:tcW w:type="dxa" w:w="1344"/>
            <w:shd w:val="clear" w:color="auto" w:fill="FFFFFF"/>
          </w:tcPr>
          <w:p>
            <w:pPr>
              <w:jc w:val="center"/>
            </w:pPr>
            <w:r>
              <w:rPr>
                <w:rFonts w:ascii="Calibri" w:hAnsi="Calibri"/>
                <w:sz w:val="20"/>
              </w:rPr>
              <w:t>100.0%</w:t>
            </w:r>
          </w:p>
        </w:tc>
        <w:tc>
          <w:tcPr>
            <w:tcW w:type="dxa" w:w="1344"/>
            <w:shd w:val="clear" w:color="auto" w:fill="FFFFFF"/>
          </w:tcPr>
          <w:p>
            <w:pPr>
              <w:jc w:val="center"/>
            </w:pPr>
            <w:r>
              <w:rPr>
                <w:rFonts w:ascii="Calibri" w:hAnsi="Calibri"/>
                <w:sz w:val="20"/>
              </w:rPr>
              <w:t>0</w:t>
            </w:r>
          </w:p>
        </w:tc>
        <w:tc>
          <w:tcPr>
            <w:tcW w:type="dxa" w:w="1344"/>
            <w:shd w:val="clear" w:color="auto" w:fill="FFFFFF"/>
          </w:tcPr>
          <w:p>
            <w:pPr>
              <w:jc w:val="center"/>
            </w:pPr>
            <w:r>
              <w:rPr>
                <w:rFonts w:ascii="Calibri" w:hAnsi="Calibri"/>
                <w:sz w:val="20"/>
              </w:rPr>
              <w:t>20</w:t>
            </w:r>
          </w:p>
        </w:tc>
        <w:tc>
          <w:tcPr>
            <w:tcW w:type="dxa" w:w="1344"/>
            <w:shd w:val="clear" w:color="auto" w:fill="FFFFFF"/>
          </w:tcPr>
          <w:p>
            <w:pPr>
              <w:jc w:val="center"/>
            </w:pPr>
            <w:r>
              <w:rPr>
                <w:rFonts w:ascii="Calibri" w:hAnsi="Calibri"/>
                <w:sz w:val="20"/>
              </w:rPr>
              <w:t>0</w:t>
            </w:r>
          </w:p>
        </w:tc>
        <w:tc>
          <w:tcPr>
            <w:tcW w:type="dxa" w:w="1344"/>
            <w:shd w:val="clear" w:color="auto" w:fill="FFFFFF"/>
          </w:tcPr>
          <w:p>
            <w:pPr>
              <w:jc w:val="center"/>
            </w:pPr>
            <w:r>
              <w:rPr>
                <w:rFonts w:ascii="Calibri" w:hAnsi="Calibri"/>
                <w:sz w:val="20"/>
              </w:rPr>
              <w:t>0.205</w:t>
            </w:r>
          </w:p>
        </w:tc>
      </w:tr>
    </w:tbl>
    <w:p/>
    <w:p>
      <w:r>
        <w:drawing>
          <wp:inline xmlns:a="http://schemas.openxmlformats.org/drawingml/2006/main" xmlns:pic="http://schemas.openxmlformats.org/drawingml/2006/picture">
            <wp:extent cx="5486400" cy="3918857"/>
            <wp:docPr id="10" name="Picture 10"/>
            <wp:cNvGraphicFramePr>
              <a:graphicFrameLocks noChangeAspect="1"/>
            </wp:cNvGraphicFramePr>
            <a:graphic>
              <a:graphicData uri="http://schemas.openxmlformats.org/drawingml/2006/picture">
                <pic:pic>
                  <pic:nvPicPr>
                    <pic:cNvPr id="0" name="10_accuracy_by_category.png"/>
                    <pic:cNvPicPr/>
                  </pic:nvPicPr>
                  <pic:blipFill>
                    <a:blip r:embed="rId18"/>
                    <a:stretch>
                      <a:fillRect/>
                    </a:stretch>
                  </pic:blipFill>
                  <pic:spPr>
                    <a:xfrm>
                      <a:off x="0" y="0"/>
                      <a:ext cx="5486400" cy="3918857"/>
                    </a:xfrm>
                    <a:prstGeom prst="rect"/>
                  </pic:spPr>
                </pic:pic>
              </a:graphicData>
            </a:graphic>
          </wp:inline>
        </w:drawing>
      </w:r>
    </w:p>
    <w:p>
      <w:pPr>
        <w:jc w:val="center"/>
      </w:pPr>
      <w:r>
        <w:rPr>
          <w:i/>
          <w:color w:val="646464"/>
          <w:sz w:val="18"/>
        </w:rPr>
        <w:t>Figure 10. Accuracy &amp; Error Rate by Category</w:t>
      </w:r>
    </w:p>
    <w:p>
      <w:r>
        <w:br w:type="page"/>
      </w:r>
    </w:p>
    <w:p>
      <w:pPr>
        <w:pStyle w:val="Heading1"/>
        <w:spacing w:before="240" w:after="80"/>
      </w:pPr>
      <w:r>
        <w:rPr>
          <w:rFonts w:ascii="Calibri" w:hAnsi="Calibri"/>
          <w:color w:val="003366"/>
          <w:sz w:val="36"/>
        </w:rPr>
        <w:t>7. Faithfulness &amp; Source Attribution</w:t>
      </w:r>
    </w:p>
    <w:p>
      <w:pPr>
        <w:pBdr>
          <w:bottom w:val="single" w:sz="4" w:space="1" w:color="A0B4CC"/>
        </w:pBdr>
        <w:spacing w:after="12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7D3C98"/>
            <w:vAlign w:val="center"/>
          </w:tcPr>
          <w:p>
            <w:pPr>
              <w:jc w:val="center"/>
            </w:pPr>
            <w:r>
              <w:rPr>
                <w:rFonts w:ascii="Calibri" w:hAnsi="Calibri"/>
                <w:b/>
                <w:color w:val="FFFFFF"/>
                <w:sz w:val="20"/>
              </w:rPr>
              <w:t>Metric</w:t>
            </w:r>
          </w:p>
        </w:tc>
        <w:tc>
          <w:tcPr>
            <w:tcW w:type="dxa" w:w="3135"/>
            <w:shd w:val="clear" w:color="auto" w:fill="7D3C98"/>
            <w:vAlign w:val="center"/>
          </w:tcPr>
          <w:p>
            <w:pPr>
              <w:jc w:val="center"/>
            </w:pPr>
            <w:r>
              <w:rPr>
                <w:rFonts w:ascii="Calibri" w:hAnsi="Calibri"/>
                <w:b/>
                <w:color w:val="FFFFFF"/>
                <w:sz w:val="20"/>
              </w:rPr>
              <w:t>Value</w:t>
            </w:r>
          </w:p>
        </w:tc>
        <w:tc>
          <w:tcPr>
            <w:tcW w:type="dxa" w:w="3135"/>
            <w:shd w:val="clear" w:color="auto" w:fill="7D3C98"/>
            <w:vAlign w:val="center"/>
          </w:tcPr>
          <w:p>
            <w:pPr>
              <w:jc w:val="center"/>
            </w:pPr>
            <w:r>
              <w:rPr>
                <w:rFonts w:ascii="Calibri" w:hAnsi="Calibri"/>
                <w:b/>
                <w:color w:val="FFFFFF"/>
                <w:sz w:val="20"/>
              </w:rPr>
              <w:t>Description</w:t>
            </w:r>
          </w:p>
        </w:tc>
      </w:tr>
      <w:tr>
        <w:tc>
          <w:tcPr>
            <w:tcW w:type="dxa" w:w="3135"/>
            <w:shd w:val="clear" w:color="auto" w:fill="E8DAEF"/>
          </w:tcPr>
          <w:p>
            <w:pPr>
              <w:jc w:val="center"/>
            </w:pPr>
            <w:r>
              <w:rPr>
                <w:rFonts w:ascii="Calibri" w:hAnsi="Calibri"/>
                <w:sz w:val="20"/>
              </w:rPr>
              <w:t>Source Attribution Rate</w:t>
            </w:r>
          </w:p>
        </w:tc>
        <w:tc>
          <w:tcPr>
            <w:tcW w:type="dxa" w:w="3135"/>
            <w:shd w:val="clear" w:color="auto" w:fill="E8DAEF"/>
          </w:tcPr>
          <w:p>
            <w:pPr>
              <w:jc w:val="center"/>
            </w:pPr>
            <w:r>
              <w:rPr>
                <w:rFonts w:ascii="Calibri" w:hAnsi="Calibri"/>
                <w:sz w:val="20"/>
              </w:rPr>
              <w:t>67.1%</w:t>
            </w:r>
          </w:p>
        </w:tc>
        <w:tc>
          <w:tcPr>
            <w:tcW w:type="dxa" w:w="3135"/>
            <w:shd w:val="clear" w:color="auto" w:fill="E8DAEF"/>
          </w:tcPr>
          <w:p>
            <w:pPr>
              <w:jc w:val="center"/>
            </w:pPr>
            <w:r>
              <w:rPr>
                <w:rFonts w:ascii="Calibri" w:hAnsi="Calibri"/>
                <w:sz w:val="20"/>
              </w:rPr>
              <w:t>Percentage of predictions citing at least one KB source</w:t>
            </w:r>
          </w:p>
        </w:tc>
      </w:tr>
      <w:tr>
        <w:tc>
          <w:tcPr>
            <w:tcW w:type="dxa" w:w="3135"/>
            <w:shd w:val="clear" w:color="auto" w:fill="FFFFFF"/>
          </w:tcPr>
          <w:p>
            <w:pPr>
              <w:jc w:val="center"/>
            </w:pPr>
            <w:r>
              <w:rPr>
                <w:rFonts w:ascii="Calibri" w:hAnsi="Calibri"/>
                <w:sz w:val="20"/>
              </w:rPr>
              <w:t>Average Sources per Case</w:t>
            </w:r>
          </w:p>
        </w:tc>
        <w:tc>
          <w:tcPr>
            <w:tcW w:type="dxa" w:w="3135"/>
            <w:shd w:val="clear" w:color="auto" w:fill="FFFFFF"/>
          </w:tcPr>
          <w:p>
            <w:pPr>
              <w:jc w:val="center"/>
            </w:pPr>
            <w:r>
              <w:rPr>
                <w:rFonts w:ascii="Calibri" w:hAnsi="Calibri"/>
                <w:sz w:val="20"/>
              </w:rPr>
              <w:t>0.67</w:t>
            </w:r>
          </w:p>
        </w:tc>
        <w:tc>
          <w:tcPr>
            <w:tcW w:type="dxa" w:w="3135"/>
            <w:shd w:val="clear" w:color="auto" w:fill="FFFFFF"/>
          </w:tcPr>
          <w:p>
            <w:pPr>
              <w:jc w:val="center"/>
            </w:pPr>
            <w:r>
              <w:rPr>
                <w:rFonts w:ascii="Calibri" w:hAnsi="Calibri"/>
                <w:sz w:val="20"/>
              </w:rPr>
              <w:t>Mean number of KB sources cited</w:t>
            </w:r>
          </w:p>
        </w:tc>
      </w:tr>
      <w:tr>
        <w:tc>
          <w:tcPr>
            <w:tcW w:type="dxa" w:w="3135"/>
            <w:shd w:val="clear" w:color="auto" w:fill="E8DAEF"/>
          </w:tcPr>
          <w:p>
            <w:pPr>
              <w:jc w:val="center"/>
            </w:pPr>
            <w:r>
              <w:rPr>
                <w:rFonts w:ascii="Calibri" w:hAnsi="Calibri"/>
                <w:sz w:val="20"/>
              </w:rPr>
              <w:t>KB Coverage (In-KB cases)</w:t>
            </w:r>
          </w:p>
        </w:tc>
        <w:tc>
          <w:tcPr>
            <w:tcW w:type="dxa" w:w="3135"/>
            <w:shd w:val="clear" w:color="auto" w:fill="E8DAEF"/>
          </w:tcPr>
          <w:p>
            <w:pPr>
              <w:jc w:val="center"/>
            </w:pPr>
            <w:r>
              <w:rPr>
                <w:rFonts w:ascii="Calibri" w:hAnsi="Calibri"/>
                <w:sz w:val="20"/>
              </w:rPr>
              <w:t>94.0%</w:t>
            </w:r>
          </w:p>
        </w:tc>
        <w:tc>
          <w:tcPr>
            <w:tcW w:type="dxa" w:w="3135"/>
            <w:shd w:val="clear" w:color="auto" w:fill="E8DAEF"/>
          </w:tcPr>
          <w:p>
            <w:pPr>
              <w:jc w:val="center"/>
            </w:pPr>
            <w:r>
              <w:rPr>
                <w:rFonts w:ascii="Calibri" w:hAnsi="Calibri"/>
                <w:sz w:val="20"/>
              </w:rPr>
              <w:t>Supported cases with at least one KB source match</w:t>
            </w:r>
          </w:p>
        </w:tc>
      </w:tr>
    </w:tbl>
    <w:p>
      <w:r>
        <w:br w:type="page"/>
      </w:r>
    </w:p>
    <w:p>
      <w:pPr>
        <w:pStyle w:val="Heading1"/>
        <w:spacing w:before="240" w:after="80"/>
      </w:pPr>
      <w:r>
        <w:rPr>
          <w:rFonts w:ascii="Calibri" w:hAnsi="Calibri"/>
          <w:color w:val="003366"/>
          <w:sz w:val="36"/>
        </w:rPr>
        <w:t>8. Running Accuracy &amp; Trust Score Timeline</w:t>
      </w:r>
    </w:p>
    <w:p>
      <w:pPr>
        <w:pBdr>
          <w:bottom w:val="single" w:sz="4" w:space="1" w:color="A0B4CC"/>
        </w:pBdr>
        <w:spacing w:after="120"/>
      </w:pPr>
    </w:p>
    <w:p>
      <w:r>
        <w:drawing>
          <wp:inline xmlns:a="http://schemas.openxmlformats.org/drawingml/2006/main" xmlns:pic="http://schemas.openxmlformats.org/drawingml/2006/picture">
            <wp:extent cx="5486400" cy="3048000"/>
            <wp:docPr id="11" name="Picture 11"/>
            <wp:cNvGraphicFramePr>
              <a:graphicFrameLocks noChangeAspect="1"/>
            </wp:cNvGraphicFramePr>
            <a:graphic>
              <a:graphicData uri="http://schemas.openxmlformats.org/drawingml/2006/picture">
                <pic:pic>
                  <pic:nvPicPr>
                    <pic:cNvPr id="0" name="12_running_accuracy.png"/>
                    <pic:cNvPicPr/>
                  </pic:nvPicPr>
                  <pic:blipFill>
                    <a:blip r:embed="rId19"/>
                    <a:stretch>
                      <a:fillRect/>
                    </a:stretch>
                  </pic:blipFill>
                  <pic:spPr>
                    <a:xfrm>
                      <a:off x="0" y="0"/>
                      <a:ext cx="5486400" cy="3048000"/>
                    </a:xfrm>
                    <a:prstGeom prst="rect"/>
                  </pic:spPr>
                </pic:pic>
              </a:graphicData>
            </a:graphic>
          </wp:inline>
        </w:drawing>
      </w:r>
    </w:p>
    <w:p>
      <w:pPr>
        <w:jc w:val="center"/>
      </w:pPr>
      <w:r>
        <w:rPr>
          <w:i/>
          <w:color w:val="646464"/>
          <w:sz w:val="18"/>
        </w:rPr>
        <w:t>Figure 11. Running Accuracy Over 70 Test Cases</w:t>
      </w:r>
    </w:p>
    <w:p/>
    <w:p>
      <w:r>
        <w:drawing>
          <wp:inline xmlns:a="http://schemas.openxmlformats.org/drawingml/2006/main" xmlns:pic="http://schemas.openxmlformats.org/drawingml/2006/picture">
            <wp:extent cx="5486400" cy="2286000"/>
            <wp:docPr id="12" name="Picture 12"/>
            <wp:cNvGraphicFramePr>
              <a:graphicFrameLocks noChangeAspect="1"/>
            </wp:cNvGraphicFramePr>
            <a:graphic>
              <a:graphicData uri="http://schemas.openxmlformats.org/drawingml/2006/picture">
                <pic:pic>
                  <pic:nvPicPr>
                    <pic:cNvPr id="0" name="07_trust_score_timeline.png"/>
                    <pic:cNvPicPr/>
                  </pic:nvPicPr>
                  <pic:blipFill>
                    <a:blip r:embed="rId20"/>
                    <a:stretch>
                      <a:fillRect/>
                    </a:stretch>
                  </pic:blipFill>
                  <pic:spPr>
                    <a:xfrm>
                      <a:off x="0" y="0"/>
                      <a:ext cx="5486400" cy="2286000"/>
                    </a:xfrm>
                    <a:prstGeom prst="rect"/>
                  </pic:spPr>
                </pic:pic>
              </a:graphicData>
            </a:graphic>
          </wp:inline>
        </w:drawing>
      </w:r>
    </w:p>
    <w:p>
      <w:pPr>
        <w:jc w:val="center"/>
      </w:pPr>
      <w:r>
        <w:rPr>
          <w:i/>
          <w:color w:val="646464"/>
          <w:sz w:val="18"/>
        </w:rPr>
        <w:t>Figure 12. Trust Score Per Case (coloured by decision)</w:t>
      </w:r>
    </w:p>
    <w:p>
      <w:r>
        <w:br w:type="page"/>
      </w:r>
    </w:p>
    <w:p>
      <w:pPr>
        <w:pStyle w:val="Heading1"/>
        <w:spacing w:before="240" w:after="80"/>
      </w:pPr>
      <w:r>
        <w:rPr>
          <w:rFonts w:ascii="Calibri" w:hAnsi="Calibri"/>
          <w:color w:val="003366"/>
          <w:sz w:val="36"/>
        </w:rPr>
        <w:t>9. Per-Prediction Results Table</w:t>
      </w:r>
    </w:p>
    <w:p>
      <w:pPr>
        <w:pBdr>
          <w:bottom w:val="single" w:sz="4" w:space="1" w:color="A0B4CC"/>
        </w:pBdr>
        <w:spacing w:after="120"/>
      </w:pPr>
    </w:p>
    <w:p>
      <w:pPr>
        <w:spacing w:after="40" w:before="40"/>
        <w:jc w:val="left"/>
      </w:pPr>
      <w:r>
        <w:rPr>
          <w:rFonts w:ascii="Calibri" w:hAnsi="Calibri"/>
          <w:b w:val="0"/>
          <w:i/>
          <w:sz w:val="20"/>
        </w:rPr>
        <w:t>Detailed results for all 70 test cases. Green = correct prediction, Red = incorrect.</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03366"/>
          </w:tcPr>
          <w:p>
            <w:pPr>
              <w:jc w:val="center"/>
            </w:pPr>
            <w:r>
              <w:rPr>
                <w:rFonts w:ascii="Calibri" w:hAnsi="Calibri"/>
                <w:b/>
                <w:color w:val="FFFFFF"/>
                <w:sz w:val="18"/>
              </w:rPr>
              <w:t>#</w:t>
            </w:r>
          </w:p>
        </w:tc>
        <w:tc>
          <w:tcPr>
            <w:tcW w:type="dxa" w:w="1568"/>
            <w:shd w:val="clear" w:color="auto" w:fill="003366"/>
          </w:tcPr>
          <w:p>
            <w:pPr>
              <w:jc w:val="center"/>
            </w:pPr>
            <w:r>
              <w:rPr>
                <w:rFonts w:ascii="Calibri" w:hAnsi="Calibri"/>
                <w:b/>
                <w:color w:val="FFFFFF"/>
                <w:sz w:val="18"/>
              </w:rPr>
              <w:t>Category</w:t>
            </w:r>
          </w:p>
        </w:tc>
        <w:tc>
          <w:tcPr>
            <w:tcW w:type="dxa" w:w="1568"/>
            <w:shd w:val="clear" w:color="auto" w:fill="003366"/>
          </w:tcPr>
          <w:p>
            <w:pPr>
              <w:jc w:val="center"/>
            </w:pPr>
            <w:r>
              <w:rPr>
                <w:rFonts w:ascii="Calibri" w:hAnsi="Calibri"/>
                <w:b/>
                <w:color w:val="FFFFFF"/>
                <w:sz w:val="18"/>
              </w:rPr>
              <w:t>Expected</w:t>
            </w:r>
          </w:p>
        </w:tc>
        <w:tc>
          <w:tcPr>
            <w:tcW w:type="dxa" w:w="1568"/>
            <w:shd w:val="clear" w:color="auto" w:fill="003366"/>
          </w:tcPr>
          <w:p>
            <w:pPr>
              <w:jc w:val="center"/>
            </w:pPr>
            <w:r>
              <w:rPr>
                <w:rFonts w:ascii="Calibri" w:hAnsi="Calibri"/>
                <w:b/>
                <w:color w:val="FFFFFF"/>
                <w:sz w:val="18"/>
              </w:rPr>
              <w:t>Decision</w:t>
            </w:r>
          </w:p>
        </w:tc>
        <w:tc>
          <w:tcPr>
            <w:tcW w:type="dxa" w:w="1568"/>
            <w:shd w:val="clear" w:color="auto" w:fill="003366"/>
          </w:tcPr>
          <w:p>
            <w:pPr>
              <w:jc w:val="center"/>
            </w:pPr>
            <w:r>
              <w:rPr>
                <w:rFonts w:ascii="Calibri" w:hAnsi="Calibri"/>
                <w:b/>
                <w:color w:val="FFFFFF"/>
                <w:sz w:val="18"/>
              </w:rPr>
              <w:t>Trust</w:t>
            </w:r>
          </w:p>
        </w:tc>
        <w:tc>
          <w:tcPr>
            <w:tcW w:type="dxa" w:w="1568"/>
            <w:shd w:val="clear" w:color="auto" w:fill="003366"/>
          </w:tcPr>
          <w:p>
            <w:pPr>
              <w:jc w:val="center"/>
            </w:pPr>
            <w:r>
              <w:rPr>
                <w:rFonts w:ascii="Calibri" w:hAnsi="Calibri"/>
                <w:b/>
                <w:color w:val="FFFFFF"/>
                <w:sz w:val="18"/>
              </w:rPr>
              <w:t>Correct?</w:t>
            </w:r>
          </w:p>
        </w:tc>
      </w:tr>
      <w:tr>
        <w:tc>
          <w:tcPr>
            <w:tcW w:type="dxa" w:w="1568"/>
            <w:shd w:val="clear" w:color="auto" w:fill="D5F5E3"/>
          </w:tcPr>
          <w:p>
            <w:pPr>
              <w:jc w:val="center"/>
            </w:pPr>
            <w:r>
              <w:rPr>
                <w:rFonts w:ascii="Calibri" w:hAnsi="Calibri"/>
                <w:sz w:val="18"/>
              </w:rPr>
              <w:t>1</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0.910</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0.908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0.964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0.936</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7</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0.881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8</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9</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0.933</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10</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0.926</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11</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0.936</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12</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0.959</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13</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0.931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14</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0.946</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15</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0.957</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16</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0.935</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17</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0.926</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18</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0.894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19</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0.931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20</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0.979</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21</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0.969</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22</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0.904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23</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0.972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24</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0.965</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25</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0.978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26</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0.914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27</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0.979</w:t>
            </w:r>
          </w:p>
        </w:tc>
        <w:tc>
          <w:tcPr>
            <w:tcW w:type="dxa" w:w="1568"/>
            <w:shd w:val="clear" w:color="auto" w:fill="D5F5E3"/>
          </w:tcPr>
          <w:p>
            <w:pPr>
              <w:jc w:val="center"/>
            </w:pPr>
            <w:r>
              <w:rPr>
                <w:rFonts w:ascii="Calibri" w:hAnsi="Calibri"/>
                <w:sz w:val="18"/>
              </w:rPr>
              <w:t>YES</w:t>
            </w:r>
          </w:p>
        </w:tc>
      </w:tr>
      <w:tr>
        <w:tc>
          <w:tcPr>
            <w:tcW w:type="dxa" w:w="1568"/>
            <w:shd w:val="clear" w:color="auto" w:fill="FADBD8"/>
          </w:tcPr>
          <w:p>
            <w:pPr>
              <w:jc w:val="center"/>
            </w:pPr>
            <w:r>
              <w:rPr>
                <w:rFonts w:ascii="Calibri" w:hAnsi="Calibri"/>
                <w:sz w:val="18"/>
              </w:rPr>
              <w:t>28</w:t>
            </w:r>
          </w:p>
        </w:tc>
        <w:tc>
          <w:tcPr>
            <w:tcW w:type="dxa" w:w="1568"/>
            <w:shd w:val="clear" w:color="auto" w:fill="FADBD8"/>
          </w:tcPr>
          <w:p>
            <w:pPr>
              <w:jc w:val="center"/>
            </w:pPr>
            <w:r>
              <w:rPr>
                <w:rFonts w:ascii="Calibri" w:hAnsi="Calibri"/>
                <w:sz w:val="18"/>
              </w:rPr>
              <w:t>in_kb</w:t>
            </w:r>
          </w:p>
        </w:tc>
        <w:tc>
          <w:tcPr>
            <w:tcW w:type="dxa" w:w="1568"/>
            <w:shd w:val="clear" w:color="auto" w:fill="FADBD8"/>
          </w:tcPr>
          <w:p>
            <w:pPr>
              <w:jc w:val="center"/>
            </w:pPr>
            <w:r>
              <w:rPr>
                <w:rFonts w:ascii="Calibri" w:hAnsi="Calibri"/>
                <w:sz w:val="18"/>
              </w:rPr>
              <w:t>Supported</w:t>
            </w:r>
          </w:p>
        </w:tc>
        <w:tc>
          <w:tcPr>
            <w:tcW w:type="dxa" w:w="1568"/>
            <w:shd w:val="clear" w:color="auto" w:fill="FADBD8"/>
          </w:tcPr>
          <w:p>
            <w:pPr>
              <w:jc w:val="center"/>
            </w:pPr>
            <w:r>
              <w:rPr>
                <w:rFonts w:ascii="Calibri" w:hAnsi="Calibri"/>
                <w:sz w:val="18"/>
              </w:rPr>
              <w:t>FLAGGED</w:t>
            </w:r>
          </w:p>
        </w:tc>
        <w:tc>
          <w:tcPr>
            <w:tcW w:type="dxa" w:w="1568"/>
            <w:shd w:val="clear" w:color="auto" w:fill="FADBD8"/>
          </w:tcPr>
          <w:p>
            <w:pPr>
              <w:jc w:val="center"/>
            </w:pPr>
            <w:r>
              <w:rPr>
                <w:rFonts w:ascii="Calibri" w:hAnsi="Calibri"/>
                <w:sz w:val="18"/>
              </w:rPr>
              <w:t>0.276</w:t>
            </w:r>
          </w:p>
        </w:tc>
        <w:tc>
          <w:tcPr>
            <w:tcW w:type="dxa" w:w="1568"/>
            <w:shd w:val="clear" w:color="auto" w:fill="FADBD8"/>
          </w:tcPr>
          <w:p>
            <w:pPr>
              <w:jc w:val="center"/>
            </w:pPr>
            <w:r>
              <w:rPr>
                <w:rFonts w:ascii="Calibri" w:hAnsi="Calibri"/>
                <w:sz w:val="18"/>
              </w:rPr>
              <w:t>NO</w:t>
            </w:r>
          </w:p>
        </w:tc>
      </w:tr>
      <w:tr>
        <w:tc>
          <w:tcPr>
            <w:tcW w:type="dxa" w:w="1568"/>
            <w:shd w:val="clear" w:color="auto" w:fill="D5F5E3"/>
          </w:tcPr>
          <w:p>
            <w:pPr>
              <w:jc w:val="center"/>
            </w:pPr>
            <w:r>
              <w:rPr>
                <w:rFonts w:ascii="Calibri" w:hAnsi="Calibri"/>
                <w:sz w:val="18"/>
              </w:rPr>
              <w:t>29</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30</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0.962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31</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0.929</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32</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0.979</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33</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0.978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34</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0.953</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35</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0.912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36</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0.914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37</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0.961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38</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0.898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39</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0.957</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40</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0.961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41</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0.930</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42</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0.960</w:t>
            </w:r>
          </w:p>
        </w:tc>
        <w:tc>
          <w:tcPr>
            <w:tcW w:type="dxa" w:w="1568"/>
            <w:shd w:val="clear" w:color="auto" w:fill="D5F5E3"/>
          </w:tcPr>
          <w:p>
            <w:pPr>
              <w:jc w:val="center"/>
            </w:pPr>
            <w:r>
              <w:rPr>
                <w:rFonts w:ascii="Calibri" w:hAnsi="Calibri"/>
                <w:sz w:val="18"/>
              </w:rPr>
              <w:t>YES</w:t>
            </w:r>
          </w:p>
        </w:tc>
      </w:tr>
      <w:tr>
        <w:tc>
          <w:tcPr>
            <w:tcW w:type="dxa" w:w="1568"/>
            <w:shd w:val="clear" w:color="auto" w:fill="FADBD8"/>
          </w:tcPr>
          <w:p>
            <w:pPr>
              <w:jc w:val="center"/>
            </w:pPr>
            <w:r>
              <w:rPr>
                <w:rFonts w:ascii="Calibri" w:hAnsi="Calibri"/>
                <w:sz w:val="18"/>
              </w:rPr>
              <w:t>43</w:t>
            </w:r>
          </w:p>
        </w:tc>
        <w:tc>
          <w:tcPr>
            <w:tcW w:type="dxa" w:w="1568"/>
            <w:shd w:val="clear" w:color="auto" w:fill="FADBD8"/>
          </w:tcPr>
          <w:p>
            <w:pPr>
              <w:jc w:val="center"/>
            </w:pPr>
            <w:r>
              <w:rPr>
                <w:rFonts w:ascii="Calibri" w:hAnsi="Calibri"/>
                <w:sz w:val="18"/>
              </w:rPr>
              <w:t>in_kb</w:t>
            </w:r>
          </w:p>
        </w:tc>
        <w:tc>
          <w:tcPr>
            <w:tcW w:type="dxa" w:w="1568"/>
            <w:shd w:val="clear" w:color="auto" w:fill="FADBD8"/>
          </w:tcPr>
          <w:p>
            <w:pPr>
              <w:jc w:val="center"/>
            </w:pPr>
            <w:r>
              <w:rPr>
                <w:rFonts w:ascii="Calibri" w:hAnsi="Calibri"/>
                <w:sz w:val="18"/>
              </w:rPr>
              <w:t>Supported</w:t>
            </w:r>
          </w:p>
        </w:tc>
        <w:tc>
          <w:tcPr>
            <w:tcW w:type="dxa" w:w="1568"/>
            <w:shd w:val="clear" w:color="auto" w:fill="FADBD8"/>
          </w:tcPr>
          <w:p>
            <w:pPr>
              <w:jc w:val="center"/>
            </w:pPr>
            <w:r>
              <w:rPr>
                <w:rFonts w:ascii="Calibri" w:hAnsi="Calibri"/>
                <w:sz w:val="18"/>
              </w:rPr>
              <w:t>FLAGGED</w:t>
            </w:r>
          </w:p>
        </w:tc>
        <w:tc>
          <w:tcPr>
            <w:tcW w:type="dxa" w:w="1568"/>
            <w:shd w:val="clear" w:color="auto" w:fill="FADBD8"/>
          </w:tcPr>
          <w:p>
            <w:pPr>
              <w:jc w:val="center"/>
            </w:pPr>
            <w:r>
              <w:rPr>
                <w:rFonts w:ascii="Calibri" w:hAnsi="Calibri"/>
                <w:sz w:val="18"/>
              </w:rPr>
              <w:t>0.156</w:t>
            </w:r>
          </w:p>
        </w:tc>
        <w:tc>
          <w:tcPr>
            <w:tcW w:type="dxa" w:w="1568"/>
            <w:shd w:val="clear" w:color="auto" w:fill="FADBD8"/>
          </w:tcPr>
          <w:p>
            <w:pPr>
              <w:jc w:val="center"/>
            </w:pPr>
            <w:r>
              <w:rPr>
                <w:rFonts w:ascii="Calibri" w:hAnsi="Calibri"/>
                <w:sz w:val="18"/>
              </w:rPr>
              <w:t>NO</w:t>
            </w:r>
          </w:p>
        </w:tc>
      </w:tr>
      <w:tr>
        <w:tc>
          <w:tcPr>
            <w:tcW w:type="dxa" w:w="1568"/>
            <w:shd w:val="clear" w:color="auto" w:fill="D5F5E3"/>
          </w:tcPr>
          <w:p>
            <w:pPr>
              <w:jc w:val="center"/>
            </w:pPr>
            <w:r>
              <w:rPr>
                <w:rFonts w:ascii="Calibri" w:hAnsi="Calibri"/>
                <w:sz w:val="18"/>
              </w:rPr>
              <w:t>44</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0.957</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45</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0.883</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46</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0.925</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47</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0.970</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48</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0.881</w:t>
            </w:r>
          </w:p>
        </w:tc>
        <w:tc>
          <w:tcPr>
            <w:tcW w:type="dxa" w:w="1568"/>
            <w:shd w:val="clear" w:color="auto" w:fill="D5F5E3"/>
          </w:tcPr>
          <w:p>
            <w:pPr>
              <w:jc w:val="center"/>
            </w:pPr>
            <w:r>
              <w:rPr>
                <w:rFonts w:ascii="Calibri" w:hAnsi="Calibri"/>
                <w:sz w:val="18"/>
              </w:rPr>
              <w:t>YES</w:t>
            </w:r>
          </w:p>
        </w:tc>
      </w:tr>
      <w:tr>
        <w:tc>
          <w:tcPr>
            <w:tcW w:type="dxa" w:w="1568"/>
            <w:shd w:val="clear" w:color="auto" w:fill="FADBD8"/>
          </w:tcPr>
          <w:p>
            <w:pPr>
              <w:jc w:val="center"/>
            </w:pPr>
            <w:r>
              <w:rPr>
                <w:rFonts w:ascii="Calibri" w:hAnsi="Calibri"/>
                <w:sz w:val="18"/>
              </w:rPr>
              <w:t>49</w:t>
            </w:r>
          </w:p>
        </w:tc>
        <w:tc>
          <w:tcPr>
            <w:tcW w:type="dxa" w:w="1568"/>
            <w:shd w:val="clear" w:color="auto" w:fill="FADBD8"/>
          </w:tcPr>
          <w:p>
            <w:pPr>
              <w:jc w:val="center"/>
            </w:pPr>
            <w:r>
              <w:rPr>
                <w:rFonts w:ascii="Calibri" w:hAnsi="Calibri"/>
                <w:sz w:val="18"/>
              </w:rPr>
              <w:t>in_kb</w:t>
            </w:r>
          </w:p>
        </w:tc>
        <w:tc>
          <w:tcPr>
            <w:tcW w:type="dxa" w:w="1568"/>
            <w:shd w:val="clear" w:color="auto" w:fill="FADBD8"/>
          </w:tcPr>
          <w:p>
            <w:pPr>
              <w:jc w:val="center"/>
            </w:pPr>
            <w:r>
              <w:rPr>
                <w:rFonts w:ascii="Calibri" w:hAnsi="Calibri"/>
                <w:sz w:val="18"/>
              </w:rPr>
              <w:t>Supported</w:t>
            </w:r>
          </w:p>
        </w:tc>
        <w:tc>
          <w:tcPr>
            <w:tcW w:type="dxa" w:w="1568"/>
            <w:shd w:val="clear" w:color="auto" w:fill="FADBD8"/>
          </w:tcPr>
          <w:p>
            <w:pPr>
              <w:jc w:val="center"/>
            </w:pPr>
            <w:r>
              <w:rPr>
                <w:rFonts w:ascii="Calibri" w:hAnsi="Calibri"/>
                <w:sz w:val="18"/>
              </w:rPr>
              <w:t>FLAGGED</w:t>
            </w:r>
          </w:p>
        </w:tc>
        <w:tc>
          <w:tcPr>
            <w:tcW w:type="dxa" w:w="1568"/>
            <w:shd w:val="clear" w:color="auto" w:fill="FADBD8"/>
          </w:tcPr>
          <w:p>
            <w:pPr>
              <w:jc w:val="center"/>
            </w:pPr>
            <w:r>
              <w:rPr>
                <w:rFonts w:ascii="Calibri" w:hAnsi="Calibri"/>
                <w:sz w:val="18"/>
              </w:rPr>
              <w:t>0.096</w:t>
            </w:r>
          </w:p>
        </w:tc>
        <w:tc>
          <w:tcPr>
            <w:tcW w:type="dxa" w:w="1568"/>
            <w:shd w:val="clear" w:color="auto" w:fill="FADBD8"/>
          </w:tcPr>
          <w:p>
            <w:pPr>
              <w:jc w:val="center"/>
            </w:pPr>
            <w:r>
              <w:rPr>
                <w:rFonts w:ascii="Calibri" w:hAnsi="Calibri"/>
                <w:sz w:val="18"/>
              </w:rPr>
              <w:t>NO</w:t>
            </w:r>
          </w:p>
        </w:tc>
      </w:tr>
      <w:tr>
        <w:tc>
          <w:tcPr>
            <w:tcW w:type="dxa" w:w="1568"/>
            <w:shd w:val="clear" w:color="auto" w:fill="D5F5E3"/>
          </w:tcPr>
          <w:p>
            <w:pPr>
              <w:jc w:val="center"/>
            </w:pPr>
            <w:r>
              <w:rPr>
                <w:rFonts w:ascii="Calibri" w:hAnsi="Calibri"/>
                <w:sz w:val="18"/>
              </w:rPr>
              <w:t>50</w:t>
            </w:r>
          </w:p>
        </w:tc>
        <w:tc>
          <w:tcPr>
            <w:tcW w:type="dxa" w:w="1568"/>
            <w:shd w:val="clear" w:color="auto" w:fill="D5F5E3"/>
          </w:tcPr>
          <w:p>
            <w:pPr>
              <w:jc w:val="center"/>
            </w:pPr>
            <w:r>
              <w:rPr>
                <w:rFonts w:ascii="Calibri" w:hAnsi="Calibri"/>
                <w:sz w:val="18"/>
              </w:rPr>
              <w:t>in_kb</w:t>
            </w:r>
          </w:p>
        </w:tc>
        <w:tc>
          <w:tcPr>
            <w:tcW w:type="dxa" w:w="1568"/>
            <w:shd w:val="clear" w:color="auto" w:fill="D5F5E3"/>
          </w:tcPr>
          <w:p>
            <w:pPr>
              <w:jc w:val="center"/>
            </w:pPr>
            <w:r>
              <w:rPr>
                <w:rFonts w:ascii="Calibri" w:hAnsi="Calibri"/>
                <w:sz w:val="18"/>
              </w:rPr>
              <w:t>Supported</w:t>
            </w:r>
          </w:p>
        </w:tc>
        <w:tc>
          <w:tcPr>
            <w:tcW w:type="dxa" w:w="1568"/>
            <w:shd w:val="clear" w:color="auto" w:fill="D5F5E3"/>
          </w:tcPr>
          <w:p>
            <w:pPr>
              <w:jc w:val="center"/>
            </w:pPr>
            <w:r>
              <w:rPr>
                <w:rFonts w:ascii="Calibri" w:hAnsi="Calibri"/>
                <w:sz w:val="18"/>
              </w:rPr>
              <w:t>SAFE</w:t>
            </w:r>
          </w:p>
        </w:tc>
        <w:tc>
          <w:tcPr>
            <w:tcW w:type="dxa" w:w="1568"/>
            <w:shd w:val="clear" w:color="auto" w:fill="D5F5E3"/>
          </w:tcPr>
          <w:p>
            <w:pPr>
              <w:jc w:val="center"/>
            </w:pPr>
            <w:r>
              <w:rPr>
                <w:rFonts w:ascii="Calibri" w:hAnsi="Calibri"/>
                <w:sz w:val="18"/>
              </w:rPr>
              <w:t>0.925</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51</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0.214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52</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0.148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53</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0.191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54</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0.223</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55</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0.142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56</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0.134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57</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0.241</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58</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0.276</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59</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0.088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60</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0.279</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61</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0.173</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62</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0.244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63</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0.082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64</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0.267</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65</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0.248</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66</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0.262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67</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0.173</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68</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0.224</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69</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0.242</w:t>
            </w:r>
          </w:p>
        </w:tc>
        <w:tc>
          <w:tcPr>
            <w:tcW w:type="dxa" w:w="1568"/>
            <w:shd w:val="clear" w:color="auto" w:fill="D5F5E3"/>
          </w:tcPr>
          <w:p>
            <w:pPr>
              <w:jc w:val="center"/>
            </w:pPr>
            <w:r>
              <w:rPr>
                <w:rFonts w:ascii="Calibri" w:hAnsi="Calibri"/>
                <w:sz w:val="18"/>
              </w:rPr>
              <w:t>YES</w:t>
            </w:r>
          </w:p>
        </w:tc>
      </w:tr>
      <w:tr>
        <w:tc>
          <w:tcPr>
            <w:tcW w:type="dxa" w:w="1568"/>
            <w:shd w:val="clear" w:color="auto" w:fill="D5F5E3"/>
          </w:tcPr>
          <w:p>
            <w:pPr>
              <w:jc w:val="center"/>
            </w:pPr>
            <w:r>
              <w:rPr>
                <w:rFonts w:ascii="Calibri" w:hAnsi="Calibri"/>
                <w:sz w:val="18"/>
              </w:rPr>
              <w:t>70</w:t>
            </w:r>
          </w:p>
        </w:tc>
        <w:tc>
          <w:tcPr>
            <w:tcW w:type="dxa" w:w="1568"/>
            <w:shd w:val="clear" w:color="auto" w:fill="D5F5E3"/>
          </w:tcPr>
          <w:p>
            <w:pPr>
              <w:jc w:val="center"/>
            </w:pPr>
            <w:r>
              <w:rPr>
                <w:rFonts w:ascii="Calibri" w:hAnsi="Calibri"/>
                <w:sz w:val="18"/>
              </w:rPr>
              <w:t>outside_kb</w:t>
            </w:r>
          </w:p>
        </w:tc>
        <w:tc>
          <w:tcPr>
            <w:tcW w:type="dxa" w:w="1568"/>
            <w:shd w:val="clear" w:color="auto" w:fill="D5F5E3"/>
          </w:tcPr>
          <w:p>
            <w:pPr>
              <w:jc w:val="center"/>
            </w:pPr>
            <w:r>
              <w:rPr>
                <w:rFonts w:ascii="Calibri" w:hAnsi="Calibri"/>
                <w:sz w:val="18"/>
              </w:rPr>
              <w:t>Refuted</w:t>
            </w:r>
          </w:p>
        </w:tc>
        <w:tc>
          <w:tcPr>
            <w:tcW w:type="dxa" w:w="1568"/>
            <w:shd w:val="clear" w:color="auto" w:fill="D5F5E3"/>
          </w:tcPr>
          <w:p>
            <w:pPr>
              <w:jc w:val="center"/>
            </w:pPr>
            <w:r>
              <w:rPr>
                <w:rFonts w:ascii="Calibri" w:hAnsi="Calibri"/>
                <w:sz w:val="18"/>
              </w:rPr>
              <w:t>FLAGGED</w:t>
            </w:r>
          </w:p>
        </w:tc>
        <w:tc>
          <w:tcPr>
            <w:tcW w:type="dxa" w:w="1568"/>
            <w:shd w:val="clear" w:color="auto" w:fill="D5F5E3"/>
          </w:tcPr>
          <w:p>
            <w:pPr>
              <w:jc w:val="center"/>
            </w:pPr>
            <w:r>
              <w:rPr>
                <w:rFonts w:ascii="Calibri" w:hAnsi="Calibri"/>
                <w:sz w:val="18"/>
              </w:rPr>
              <w:t>0.246</w:t>
            </w:r>
          </w:p>
        </w:tc>
        <w:tc>
          <w:tcPr>
            <w:tcW w:type="dxa" w:w="1568"/>
            <w:shd w:val="clear" w:color="auto" w:fill="D5F5E3"/>
          </w:tcPr>
          <w:p>
            <w:pPr>
              <w:jc w:val="center"/>
            </w:pPr>
            <w:r>
              <w:rPr>
                <w:rFonts w:ascii="Calibri" w:hAnsi="Calibri"/>
                <w:sz w:val="18"/>
              </w:rPr>
              <w:t>YES</w:t>
            </w:r>
          </w:p>
        </w:tc>
      </w:tr>
    </w:tbl>
    <w:p>
      <w:r>
        <w:br w:type="page"/>
      </w:r>
    </w:p>
    <w:p>
      <w:pPr>
        <w:pStyle w:val="Heading1"/>
        <w:spacing w:before="240" w:after="80"/>
      </w:pPr>
      <w:r>
        <w:rPr>
          <w:rFonts w:ascii="Calibri" w:hAnsi="Calibri"/>
          <w:color w:val="003366"/>
          <w:sz w:val="36"/>
        </w:rPr>
        <w:t>10. Conclusions &amp; Recommendations</w:t>
      </w:r>
    </w:p>
    <w:p>
      <w:pPr>
        <w:pBdr>
          <w:bottom w:val="single" w:sz="4" w:space="1" w:color="A0B4CC"/>
        </w:pBdr>
        <w:spacing w:after="120"/>
      </w:pPr>
    </w:p>
    <w:p>
      <w:pPr>
        <w:pStyle w:val="Heading2"/>
        <w:spacing w:before="240" w:after="80"/>
      </w:pPr>
      <w:r>
        <w:rPr>
          <w:rFonts w:ascii="Calibri" w:hAnsi="Calibri"/>
          <w:color w:val="003366"/>
          <w:sz w:val="28"/>
        </w:rPr>
        <w:t>10.1 Key Findings</w:t>
      </w:r>
    </w:p>
    <w:p>
      <w:pPr>
        <w:pStyle w:val="ListBullet"/>
        <w:spacing w:after="60"/>
      </w:pPr>
      <w:r>
        <w:rPr>
          <w:rFonts w:ascii="Calibri" w:hAnsi="Calibri"/>
          <w:sz w:val="22"/>
        </w:rPr>
        <w:t>Overall binary accuracy of 95.71% across 70 IT Act 2000 test cases.</w:t>
      </w:r>
    </w:p>
    <w:p>
      <w:pPr>
        <w:pStyle w:val="ListBullet"/>
        <w:spacing w:after="60"/>
      </w:pPr>
      <w:r>
        <w:rPr>
          <w:rFonts w:ascii="Calibri" w:hAnsi="Calibri"/>
          <w:sz w:val="22"/>
        </w:rPr>
        <w:t>Hallucination detection rate of 100.0% — the system successfully catches hallucinated claims.</w:t>
      </w:r>
    </w:p>
    <w:p>
      <w:pPr>
        <w:pStyle w:val="ListBullet"/>
        <w:spacing w:after="60"/>
      </w:pPr>
      <w:r>
        <w:rPr>
          <w:rFonts w:ascii="Calibri" w:hAnsi="Calibri"/>
          <w:sz w:val="22"/>
        </w:rPr>
        <w:t>Zero miss rate (0.0%) — no hallucinations were incorrectly returned as SAFE.</w:t>
      </w:r>
    </w:p>
    <w:p>
      <w:pPr>
        <w:pStyle w:val="ListBullet"/>
        <w:spacing w:after="60"/>
      </w:pPr>
      <w:r>
        <w:rPr>
          <w:rFonts w:ascii="Calibri" w:hAnsi="Calibri"/>
          <w:sz w:val="22"/>
        </w:rPr>
        <w:t>Low false alarm rate of 6.0% — factual claims are rarely wrongly flagged.</w:t>
      </w:r>
    </w:p>
    <w:p>
      <w:pPr>
        <w:pStyle w:val="ListBullet"/>
        <w:spacing w:after="60"/>
      </w:pPr>
      <w:r>
        <w:rPr>
          <w:rFonts w:ascii="Calibri" w:hAnsi="Calibri"/>
          <w:sz w:val="22"/>
        </w:rPr>
        <w:t>Excellent trust score discrimination gap of 0.6893 (factual avg=0.894 vs hallucinated avg=0.205), confirming the system distinguishes factual and hallucinated claims reliably.</w:t>
      </w:r>
    </w:p>
    <w:p>
      <w:pPr>
        <w:pStyle w:val="ListBullet"/>
        <w:spacing w:after="60"/>
      </w:pPr>
      <w:r>
        <w:rPr>
          <w:rFonts w:ascii="Calibri" w:hAnsi="Calibri"/>
          <w:sz w:val="22"/>
        </w:rPr>
        <w:t>The system currently has an ABSTAIN rate of 0.0%, meaning it always commits to a decision.</w:t>
      </w:r>
    </w:p>
    <w:p/>
    <w:p>
      <w:pPr>
        <w:pStyle w:val="Heading2"/>
        <w:spacing w:before="240" w:after="80"/>
      </w:pPr>
      <w:r>
        <w:rPr>
          <w:rFonts w:ascii="Calibri" w:hAnsi="Calibri"/>
          <w:color w:val="003366"/>
          <w:sz w:val="28"/>
        </w:rPr>
        <w:t>10.2 Recommendations</w:t>
      </w:r>
    </w:p>
    <w:p>
      <w:pPr>
        <w:pStyle w:val="ListBullet"/>
        <w:spacing w:after="60"/>
      </w:pPr>
      <w:r>
        <w:rPr>
          <w:rFonts w:ascii="Calibri" w:hAnsi="Calibri"/>
          <w:sz w:val="22"/>
        </w:rPr>
        <w:t>Investigate the 3 false-positive cases (factual claims flagged) to identify knowledge-base gaps.</w:t>
      </w:r>
    </w:p>
    <w:p>
      <w:pPr>
        <w:pStyle w:val="ListBullet"/>
        <w:spacing w:after="60"/>
      </w:pPr>
      <w:r>
        <w:rPr>
          <w:rFonts w:ascii="Calibri" w:hAnsi="Calibri"/>
          <w:sz w:val="22"/>
        </w:rPr>
        <w:t>Consider introducing an ABSTAIN threshold for edge cases where model confidence is borderline.</w:t>
      </w:r>
    </w:p>
    <w:p>
      <w:pPr>
        <w:pStyle w:val="ListBullet"/>
        <w:spacing w:after="60"/>
      </w:pPr>
      <w:r>
        <w:rPr>
          <w:rFonts w:ascii="Calibri" w:hAnsi="Calibri"/>
          <w:sz w:val="22"/>
        </w:rPr>
        <w:t>Expand the test dataset beyond 70 cases for more statistically robust evaluation.</w:t>
      </w:r>
    </w:p>
    <w:p>
      <w:pPr>
        <w:pStyle w:val="ListBullet"/>
        <w:spacing w:after="60"/>
      </w:pPr>
      <w:r>
        <w:rPr>
          <w:rFonts w:ascii="Calibri" w:hAnsi="Calibri"/>
          <w:sz w:val="22"/>
        </w:rPr>
        <w:t>Periodically re-evaluate as the IT Act KB is updated with new legal precedents.</w:t>
      </w:r>
    </w:p>
    <w:p>
      <w:pPr>
        <w:pStyle w:val="ListBullet"/>
        <w:spacing w:after="60"/>
      </w:pPr>
      <w:r>
        <w:rPr>
          <w:rFonts w:ascii="Calibri" w:hAnsi="Calibri"/>
          <w:sz w:val="22"/>
        </w:rPr>
        <w:t>Deploy confidence calibration techniques (temperature scaling) to further reduce Brier Score and ECE.</w:t>
      </w:r>
    </w:p>
    <w:p/>
    <w:p>
      <w:pPr>
        <w:pBdr>
          <w:bottom w:val="single" w:sz="4" w:space="1" w:color="A0B4CC"/>
        </w:pBdr>
        <w:spacing w:after="120"/>
      </w:pPr>
    </w:p>
    <w:p>
      <w:pPr>
        <w:jc w:val="center"/>
      </w:pPr>
      <w:r>
        <w:rPr>
          <w:i/>
          <w:color w:val="787878"/>
          <w:sz w:val="18"/>
        </w:rPr>
        <w:t>LexGuard Evaluation Report  •  IT Act 2000  •  Generated 12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