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黑体" w:hAnsi="黑体" w:eastAsia="黑体"/>
          <w:b/>
          <w:i w:val="0"/>
          <w:color w:val="1A365D"/>
          <w:sz w:val="30"/>
        </w:rPr>
        <w:t>2026年第十四届全国大学生数字媒体科技作品及创意竞赛</w:t>
      </w:r>
    </w:p>
    <w:p>
      <w:pPr>
        <w:spacing w:before="80" w:after="80"/>
        <w:jc w:val="center"/>
      </w:pPr>
      <w:r>
        <w:rPr>
          <w:rFonts w:ascii="黑体" w:hAnsi="黑体" w:eastAsia="黑体"/>
          <w:b/>
          <w:i w:val="0"/>
          <w:color w:val="1A365D"/>
          <w:sz w:val="40"/>
        </w:rPr>
        <w:t>人工智能工具使用情况说明</w:t>
      </w:r>
    </w:p>
    <w:p>
      <w:pPr>
        <w:spacing w:before="0" w:after="280"/>
        <w:jc w:val="center"/>
      </w:pPr>
      <w:r>
        <w:rPr>
          <w:rFonts w:ascii="宋体" w:hAnsi="宋体" w:eastAsia="宋体"/>
          <w:b w:val="0"/>
          <w:i w:val="0"/>
          <w:color w:val="64748B"/>
          <w:sz w:val="22"/>
        </w:rPr>
        <w:t>（参赛团队填报参考模板）</w:t>
      </w:r>
    </w:p>
    <w:p>
      <w:pPr>
        <w:keepNext/>
        <w:spacing w:before="320" w:after="120"/>
      </w:pPr>
      <w:r>
        <w:rPr>
          <w:rFonts w:ascii="黑体" w:hAnsi="黑体" w:eastAsia="黑体"/>
          <w:b/>
          <w:i w:val="0"/>
          <w:color w:val="1A365D"/>
          <w:sz w:val="26"/>
        </w:rPr>
        <w:t>填写说明</w:t>
      </w:r>
    </w:p>
    <w:p>
      <w:pPr>
        <w:spacing w:after="100" w:line="300" w:lineRule="auto"/>
      </w:pPr>
      <w:r>
        <w:rPr>
          <w:rFonts w:ascii="宋体" w:hAnsi="宋体" w:eastAsia="宋体"/>
          <w:b w:val="0"/>
          <w:i w:val="0"/>
          <w:color w:val="1E293B"/>
          <w:sz w:val="21"/>
        </w:rPr>
        <w:t>本模板用于说明人工智能工具在参赛作品创作、设计、开发、制作及成果形成过程中的实际作用，重点体现学生自主完成的核心工作和原创贡献。</w:t>
      </w:r>
    </w:p>
    <w:p>
      <w:pPr>
        <w:spacing w:after="100" w:line="300" w:lineRule="auto"/>
      </w:pPr>
      <w:r>
        <w:rPr>
          <w:rFonts w:ascii="宋体" w:hAnsi="宋体" w:eastAsia="宋体"/>
          <w:b w:val="0"/>
          <w:i w:val="0"/>
          <w:color w:val="1E293B"/>
          <w:sz w:val="21"/>
        </w:rPr>
        <w:t>1. 参赛团队应在报名系统中如实填报是否使用AI。未使用AI的，按系统要求选择“未使用”，原则上无需另行提交本模板；已使用AI的，应如实说明主要工具、使用环节、人工处理及学生原创贡献。</w:t>
      </w:r>
    </w:p>
    <w:p>
      <w:pPr>
        <w:spacing w:after="100" w:line="300" w:lineRule="auto"/>
      </w:pPr>
      <w:r>
        <w:rPr>
          <w:rFonts w:ascii="宋体" w:hAnsi="宋体" w:eastAsia="宋体"/>
          <w:b w:val="0"/>
          <w:i w:val="0"/>
          <w:color w:val="1E293B"/>
          <w:sz w:val="21"/>
        </w:rPr>
        <w:t>2. 报名系统已完整填写的内容，不重复编制相同材料。确需补充说明，或专项赛有明确要求的，可按本模板填写，并根据材料提交规范纳入参赛打包文件。</w:t>
      </w:r>
    </w:p>
    <w:p>
      <w:pPr>
        <w:spacing w:after="100" w:line="300" w:lineRule="auto"/>
      </w:pPr>
      <w:r>
        <w:rPr>
          <w:rFonts w:ascii="宋体" w:hAnsi="宋体" w:eastAsia="宋体"/>
          <w:b w:val="0"/>
          <w:i w:val="0"/>
          <w:color w:val="1E293B"/>
          <w:sz w:val="21"/>
        </w:rPr>
        <w:t>3. 模板为参考格式，可按作品实际情况删减不适用内容，不要求填写全部栏目，也不要求提交全部提示词或完整对话记录。</w:t>
      </w:r>
    </w:p>
    <w:p>
      <w:pPr>
        <w:spacing w:after="100" w:line="300" w:lineRule="auto"/>
      </w:pPr>
      <w:r>
        <w:rPr>
          <w:rFonts w:ascii="宋体" w:hAnsi="宋体" w:eastAsia="宋体"/>
          <w:b w:val="0"/>
          <w:i w:val="0"/>
          <w:color w:val="1E293B"/>
          <w:sz w:val="21"/>
        </w:rPr>
        <w:t>4. 提交专家评审的本说明原则上按赛事匿名化要求处理，不填写参赛学校、团队成员和指导教师等可识别身份的信息。身份审核材料由报名系统另行管理。</w:t>
      </w:r>
    </w:p>
    <w:p>
      <w:pPr>
        <w:keepNext/>
        <w:spacing w:before="320" w:after="120"/>
      </w:pPr>
      <w:r>
        <w:rPr>
          <w:rFonts w:ascii="黑体" w:hAnsi="黑体" w:eastAsia="黑体"/>
          <w:b/>
          <w:i w:val="0"/>
          <w:color w:val="1A365D"/>
          <w:sz w:val="26"/>
        </w:rPr>
        <w:t>一、作品基本信息与AI使用状态</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514"/>
        <w:gridCol w:w="4514"/>
      </w:tblGrid>
      <w:tr>
        <w:trPr>
          <w:cantSplit/>
        </w:trPr>
        <w:tc>
          <w:tcPr>
            <w:tcW w:type="dxa" w:w="2592"/>
            <w:vAlign w:val="center"/>
            <w:shd w:fill="F1F5F9"/>
            <w:tcMar>
              <w:top w:w="100" w:type="dxa"/>
              <w:bottom w:w="100" w:type="dxa"/>
              <w:left w:w="140" w:type="dxa"/>
              <w:right w:w="140" w:type="dxa"/>
            </w:tcMar>
          </w:tcPr>
          <w:p>
            <w:pPr>
              <w:spacing w:before="40" w:after="40"/>
            </w:pPr>
            <w:r>
              <w:rPr>
                <w:rFonts w:ascii="黑体" w:hAnsi="黑体" w:eastAsia="黑体"/>
                <w:b/>
                <w:i w:val="0"/>
                <w:color w:val="1A365D"/>
                <w:sz w:val="20"/>
              </w:rPr>
              <w:t>项目</w:t>
            </w:r>
          </w:p>
        </w:tc>
        <w:tc>
          <w:tcPr>
            <w:tcW w:type="dxa" w:w="6437"/>
            <w:vAlign w:val="center"/>
            <w:shd w:fill="F1F5F9"/>
            <w:tcMar>
              <w:top w:w="100" w:type="dxa"/>
              <w:bottom w:w="100" w:type="dxa"/>
              <w:left w:w="140" w:type="dxa"/>
              <w:right w:w="140" w:type="dxa"/>
            </w:tcMar>
          </w:tcPr>
          <w:p>
            <w:pPr>
              <w:spacing w:before="40" w:after="40"/>
            </w:pPr>
            <w:r>
              <w:rPr>
                <w:rFonts w:ascii="黑体" w:hAnsi="黑体" w:eastAsia="黑体"/>
                <w:b/>
                <w:i w:val="0"/>
                <w:color w:val="1A365D"/>
                <w:sz w:val="20"/>
              </w:rPr>
              <w:t>填写内容</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20"/>
              </w:rPr>
              <w:t>作品名称</w:t>
            </w:r>
          </w:p>
        </w:tc>
        <w:tc>
          <w:tcPr>
            <w:tcW w:type="dxa" w:w="6437"/>
            <w:vAlign w:val="center"/>
            <w:shd w:fill="F8FAFC"/>
            <w:tcMar>
              <w:top w:w="100" w:type="dxa"/>
              <w:bottom w:w="100" w:type="dxa"/>
              <w:left w:w="140" w:type="dxa"/>
              <w:right w:w="140" w:type="dxa"/>
            </w:tcMar>
          </w:tcPr>
          <w:p>
            <w:pPr>
              <w:spacing w:before="40" w:after="40"/>
            </w:pPr>
            <w:r>
              <w:rPr>
                <w:rFonts w:ascii="宋体" w:hAnsi="宋体" w:eastAsia="宋体"/>
                <w:b w:val="0"/>
                <w:i w:val="0"/>
                <w:color w:val="1E293B"/>
                <w:sz w:val="20"/>
              </w:rPr>
              <w:t>《潜影》（Latent Image）—— 奥瑞尔庄园 · 一九二六</w:t>
            </w:r>
          </w:p>
        </w:tc>
      </w:tr>
      <w:tr>
        <w:trPr>
          <w:cantSplit/>
        </w:trPr>
        <w:tc>
          <w:tcPr>
            <w:tcW w:type="dxa" w:w="2592"/>
            <w:vAlign w:val="center"/>
            <w:shd w:fill="FFFFFF"/>
            <w:tcMar>
              <w:top w:w="100" w:type="dxa"/>
              <w:bottom w:w="100" w:type="dxa"/>
              <w:left w:w="140" w:type="dxa"/>
              <w:right w:w="140" w:type="dxa"/>
            </w:tcMar>
          </w:tcPr>
          <w:p>
            <w:pPr>
              <w:spacing w:before="40" w:after="40"/>
            </w:pPr>
            <w:r>
              <w:rPr>
                <w:rFonts w:ascii="黑体" w:hAnsi="黑体" w:eastAsia="黑体"/>
                <w:b/>
                <w:i w:val="0"/>
                <w:color w:val="1E293B"/>
                <w:sz w:val="20"/>
              </w:rPr>
              <w:t>作品编号（如有）</w:t>
            </w:r>
          </w:p>
        </w:tc>
        <w:tc>
          <w:tcPr>
            <w:tcW w:type="dxa" w:w="643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20"/>
              </w:rPr>
              <w:t>（以大赛报名系统最终生成编号为准）</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20"/>
              </w:rPr>
              <w:t>参赛赛道／赛项</w:t>
            </w:r>
          </w:p>
        </w:tc>
        <w:tc>
          <w:tcPr>
            <w:tcW w:type="dxa" w:w="6437"/>
            <w:vAlign w:val="center"/>
            <w:shd w:fill="F8FAFC"/>
            <w:tcMar>
              <w:top w:w="100" w:type="dxa"/>
              <w:bottom w:w="100" w:type="dxa"/>
              <w:left w:w="140" w:type="dxa"/>
              <w:right w:w="140" w:type="dxa"/>
            </w:tcMar>
          </w:tcPr>
          <w:p>
            <w:pPr>
              <w:spacing w:before="40" w:after="40"/>
            </w:pPr>
            <w:r>
              <w:rPr>
                <w:rFonts w:ascii="宋体" w:hAnsi="宋体" w:eastAsia="宋体"/>
                <w:b w:val="0"/>
                <w:i w:val="0"/>
                <w:color w:val="1E293B"/>
                <w:sz w:val="20"/>
              </w:rPr>
              <w:t>虚拟现实(VR/AR/MR/XR)与游戏类赛项</w:t>
            </w:r>
          </w:p>
        </w:tc>
      </w:tr>
      <w:tr>
        <w:trPr>
          <w:cantSplit/>
        </w:trPr>
        <w:tc>
          <w:tcPr>
            <w:tcW w:type="dxa" w:w="2592"/>
            <w:vAlign w:val="center"/>
            <w:shd w:fill="FFFFFF"/>
            <w:tcMar>
              <w:top w:w="100" w:type="dxa"/>
              <w:bottom w:w="100" w:type="dxa"/>
              <w:left w:w="140" w:type="dxa"/>
              <w:right w:w="140" w:type="dxa"/>
            </w:tcMar>
          </w:tcPr>
          <w:p>
            <w:pPr>
              <w:spacing w:before="40" w:after="40"/>
            </w:pPr>
            <w:r>
              <w:rPr>
                <w:rFonts w:ascii="黑体" w:hAnsi="黑体" w:eastAsia="黑体"/>
                <w:b/>
                <w:i w:val="0"/>
                <w:color w:val="1E293B"/>
                <w:sz w:val="20"/>
              </w:rPr>
              <w:t>AI使用情况</w:t>
            </w:r>
          </w:p>
        </w:tc>
        <w:tc>
          <w:tcPr>
            <w:tcW w:type="dxa" w:w="643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20"/>
              </w:rPr>
              <w:t>□ 未使用　☑ 已使用</w:t>
            </w:r>
          </w:p>
        </w:tc>
      </w:tr>
    </w:tbl>
    <w:p>
      <w:pPr>
        <w:spacing w:after="80"/>
      </w:pPr>
    </w:p>
    <w:tbl>
      <w:tblPr>
        <w:tblW w:type="auto" w:w="0"/>
        <w:jc w:val="center"/>
        <w:tblLook w:firstColumn="1" w:firstRow="1" w:lastColumn="0" w:lastRow="0" w:noHBand="0" w:noVBand="1" w:val="04A0"/>
        <w:tblBorders>
          <w:top w:val="none"/>
          <w:bottom w:val="none"/>
          <w:left w:val="single" w:sz="18" w:space="0" w:color="0284C7"/>
          <w:right w:val="none"/>
          <w:insideH w:val="none"/>
          <w:insideV w:val="none"/>
        </w:tblBorders>
      </w:tblPr>
      <w:tblGrid>
        <w:gridCol w:w="9029"/>
      </w:tblGrid>
      <w:tr>
        <w:tc>
          <w:tcPr>
            <w:tcW w:type="dxa" w:w="9029"/>
            <w:shd w:fill="F8FAFC"/>
            <w:tcMar>
              <w:top w:w="120" w:type="dxa"/>
              <w:bottom w:w="120" w:type="dxa"/>
              <w:left w:w="180" w:type="dxa"/>
              <w:right w:w="180" w:type="dxa"/>
            </w:tcMar>
          </w:tcPr>
          <w:p>
            <w:pPr>
              <w:spacing w:before="60" w:after="60" w:line="288" w:lineRule="auto"/>
            </w:pPr>
            <w:r>
              <w:rPr>
                <w:rFonts w:ascii="黑体" w:hAnsi="黑体" w:eastAsia="黑体"/>
                <w:b/>
                <w:i w:val="0"/>
                <w:color w:val="0284C7"/>
                <w:sz w:val="19"/>
              </w:rPr>
              <w:t>【特别提示】：</w:t>
            </w:r>
            <w:r>
              <w:rPr>
                <w:rFonts w:ascii="宋体" w:hAnsi="宋体" w:eastAsia="宋体"/>
                <w:b w:val="0"/>
                <w:i w:val="0"/>
                <w:color w:val="1E293B"/>
                <w:sz w:val="19"/>
              </w:rPr>
              <w:t>选择“未使用”的，以报名系统填报为准；以下内容仅供已使用AI且需要补充说明的团队填写。</w:t>
            </w:r>
          </w:p>
        </w:tc>
      </w:tr>
    </w:tbl>
    <w:p>
      <w:pPr>
        <w:spacing w:before="0" w:after="80"/>
      </w:pPr>
    </w:p>
    <w:p>
      <w:pPr>
        <w:keepNext/>
        <w:spacing w:before="320" w:after="120"/>
      </w:pPr>
      <w:r>
        <w:rPr>
          <w:rFonts w:ascii="黑体" w:hAnsi="黑体" w:eastAsia="黑体"/>
          <w:b/>
          <w:i w:val="0"/>
          <w:color w:val="1A365D"/>
          <w:sz w:val="26"/>
        </w:rPr>
        <w:t>二、主要AI工具及使用情况</w:t>
      </w:r>
    </w:p>
    <w:p>
      <w:pPr>
        <w:spacing w:after="100" w:line="300" w:lineRule="auto"/>
      </w:pPr>
      <w:r>
        <w:rPr>
          <w:rFonts w:ascii="宋体" w:hAnsi="宋体" w:eastAsia="宋体"/>
          <w:b w:val="0"/>
          <w:i w:val="0"/>
          <w:color w:val="1E293B"/>
          <w:sz w:val="21"/>
        </w:rPr>
        <w:t>仅填写对作品形成具有实际影响的主要工具或模型；一般性资料查询及与最终作品形成无直接关联的日常使用，无需逐项罗列。</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257"/>
        <w:gridCol w:w="2257"/>
        <w:gridCol w:w="2257"/>
        <w:gridCol w:w="2257"/>
      </w:tblGrid>
      <w:tr>
        <w:trPr>
          <w:cantSplit/>
        </w:trPr>
        <w:tc>
          <w:tcPr>
            <w:tcW w:type="dxa" w:w="2016"/>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工具／模型</w:t>
            </w:r>
          </w:p>
        </w:tc>
        <w:tc>
          <w:tcPr>
            <w:tcW w:type="dxa" w:w="1728"/>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使用环节</w:t>
            </w:r>
          </w:p>
        </w:tc>
        <w:tc>
          <w:tcPr>
            <w:tcW w:type="dxa" w:w="2693"/>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AI主要用途或产出</w:t>
            </w:r>
          </w:p>
        </w:tc>
        <w:tc>
          <w:tcPr>
            <w:tcW w:type="dxa" w:w="2592"/>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学生后续处理</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Claude Code</w:t>
              <w:br/>
              <w:t>(Claude-Opus-5-5 /</w:t>
              <w:br/>
              <w:t>Claude-Sonnet-5-5)</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程序开发与</w:t>
              <w:br/>
              <w:t>系统架构设计</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协助编写 Godot 4.7 引擎底层驱动代码、CSV 数据驱动叙事播放器（Director/Actions）、状态机以及自动化质量体检工具链（内容交叉校验、大地图连通性探测、碰撞体检等）。</w:t>
            </w:r>
          </w:p>
        </w:tc>
        <w:tc>
          <w:tcPr>
            <w:tcW w:type="dxa" w:w="2592"/>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学生自主设计游戏底层架构与叙事数据流；逐行审查、重构与优化 AI 生成的代码；在 Godot 编辑器内手工完成 16 个房间场景的节点组装与挂载；手工排查并修复场景切换时的内存泄漏问题。</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OpenAI Codex</w:t>
              <w:br/>
              <w:t>(GPT-6.1-sol /</w:t>
              <w:br/>
              <w:t>GPT-6-astra /</w:t>
              <w:br/>
              <w:t>内置生图)</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前期概念美术设计与</w:t>
              <w:br/>
              <w:t>多工作树代码审计</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依据学生编写的结构化空间任务书批量生成场景平面陈设规划建议与多角度概念效果图；协助执行 Git 多工作树（worktrees）代码差异审计与冲突合并分析。</w:t>
            </w:r>
          </w:p>
        </w:tc>
        <w:tc>
          <w:tcPr>
            <w:tcW w:type="dxa" w:w="2592"/>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搭建自研 HTML 叠图审查工具，进行透视与年代合规筛查；剔除不符元素后，由学生在 Blender 中依严谨尺寸手工进行 3D 白模起形、碰撞体制作与防穿模优化。</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Google Antigravity</w:t>
              <w:br/>
              <w:t>(Gemini 系列模型)</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交互细节调试、</w:t>
              <w:br/>
              <w:t>材质着色器适配与</w:t>
              <w:br/>
              <w:t>文案润色</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协助排查 3D 走廊长地毯 UV 拉伸算法并提供专用着色器编写方案；提供手柄/键盘双端疾跑交互映射建议；辅助角色对白语气与词汇润色。</w:t>
            </w:r>
          </w:p>
        </w:tc>
        <w:tc>
          <w:tcPr>
            <w:tcW w:type="dxa" w:w="2592"/>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在 Godot 中重新调整材质属性与光影烘焙；真机反复校准加速度手感；对全篇台词进行文学化终审与视界校准，严格限制在角色受限视角内，确保叙事反转伏笔成立。</w:t>
            </w:r>
          </w:p>
        </w:tc>
      </w:tr>
    </w:tbl>
    <w:p>
      <w:pPr>
        <w:spacing w:after="80"/>
      </w:pPr>
    </w:p>
    <w:p>
      <w:pPr>
        <w:keepNext/>
        <w:spacing w:before="320" w:after="120"/>
      </w:pPr>
      <w:r>
        <w:rPr>
          <w:rFonts w:ascii="黑体" w:hAnsi="黑体" w:eastAsia="黑体"/>
          <w:b/>
          <w:i w:val="0"/>
          <w:color w:val="1A365D"/>
          <w:sz w:val="26"/>
        </w:rPr>
        <w:t>三、代表性AI使用过程</w:t>
      </w:r>
    </w:p>
    <w:p>
      <w:pPr>
        <w:spacing w:after="100" w:line="300" w:lineRule="auto"/>
      </w:pPr>
      <w:r>
        <w:rPr>
          <w:rFonts w:ascii="宋体" w:hAnsi="宋体" w:eastAsia="宋体"/>
          <w:b w:val="0"/>
          <w:i w:val="0"/>
          <w:color w:val="1E293B"/>
          <w:sz w:val="21"/>
        </w:rPr>
        <w:t>结合实际选择 3 个对最终成果影响较大的环节，详细说明“使用目的—主要输入—AI输出—人工处理—最终应用”：</w:t>
      </w:r>
    </w:p>
    <w:p>
      <w:pPr>
        <w:keepNext/>
        <w:spacing w:before="240" w:after="80"/>
      </w:pPr>
      <w:r>
        <w:rPr>
          <w:rFonts w:ascii="黑体" w:hAnsi="黑体" w:eastAsia="黑体"/>
          <w:b/>
          <w:i w:val="0"/>
          <w:color w:val="1E293B"/>
          <w:sz w:val="23"/>
        </w:rPr>
        <w:t>环节一：数据驱动的叙事分镜系统与 CI/CD 自动化体检链路构建（程序工程）</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514"/>
        <w:gridCol w:w="4514"/>
      </w:tblGrid>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使用环节及目的</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解决悬疑推理游戏中海量分支剧本、镜头运镜与复杂状态机的高耦合难题，实现“分镜即数据”并建立高可靠性自动化测试闭环。</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主要工具／模型</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Claude Code (Claude-Opus-5-5 / Claude-Sonnet-5-5)</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主要输入或素材来源</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学生独立编纂的暗房主线大纲、推论因果拓扑图（d1—d6）、分镜数据规范（story CSV 表头与白名单动作规则）。</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AI主要输出</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Godot 导演调度模块（director.gd）、白名单动作解释器（actions.gd）及自动化测试套件（validate_content.gd、probe_walk.gd、autoplay.gd）。</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学生筛选、修改或再创作</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学生自主设计游戏状态流转与双结局判定机制；剔除过于抽象的代码层，增加无头（Headless）双分支结局校验逻辑，手动修复场景切换卸载时的资源未释放问题。</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最终成果中的应用位置</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游戏底层核心运行框架（godot/core/ 目录）与开发质量验证工具库（godot/tools/），驱动全流程 8 个章节的稳定运行。</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可核验材料（如有）</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自动化体检报告《检查报告.md》（0 错误运行记录）、一键测试脚本《检查内容.command》。详见后文【过程材料一】。</w:t>
            </w:r>
          </w:p>
        </w:tc>
      </w:tr>
    </w:tbl>
    <w:p>
      <w:pPr>
        <w:spacing w:after="80"/>
      </w:pPr>
    </w:p>
    <w:p>
      <w:pPr>
        <w:keepNext/>
        <w:spacing w:before="240" w:after="80"/>
      </w:pPr>
      <w:r>
        <w:rPr>
          <w:rFonts w:ascii="黑体" w:hAnsi="黑体" w:eastAsia="黑体"/>
          <w:b/>
          <w:i w:val="0"/>
          <w:color w:val="1E293B"/>
          <w:sz w:val="23"/>
        </w:rPr>
        <w:t>环节二：2D概念效果图生成至 3D 空间资产的落地转化（美术与场景）</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514"/>
        <w:gridCol w:w="4514"/>
      </w:tblGrid>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使用环节及目的</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为 1926 年庄园各房间（客房、餐厅、温室、暗房、无限循环回廊）探索视觉调性，辅助 3D 关卡的空间尺度定型。</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主要工具／模型</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OpenAI Codex (GPT-6.1-sol / 内置 imagegen)</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主要输入或素材来源</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学生编写的标准空间设计任务书（如 T-041 卧室、T-043 回廊），包含房间轴线、门窗开向、家具尺度约束及调查线索摆放点。</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AI主要输出</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多视角室内光影概念图、初始陈设意向图。</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学生筛选、修改或再创作</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自研轻量级 HTML 审查看板（corridor_生图审查-v2.html），人工逐张进行 8% 几何公差与线索可见性比对；在 Blender 中完全由学生依真实尺寸手工进行 3D 白模起形、修整楼梯净高与防穿模碰撞体，并导出 GLB 至 Godot。</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最终成果中的应用位置</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作为游戏内 3D 场景空间布局的原型依据，部分概念图经人工二次处理（做旧、调色、胶片颗粒化）后应用于游戏内证据板检视物证与宣传物料中。</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可核验材料（如有）</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T-043 回廊生图审查看板（corridor_生图审查-v2.html）、Blender 建模工程文件（ded_corridor.blend）。详见后文【过程材料二】。</w:t>
            </w:r>
          </w:p>
        </w:tc>
      </w:tr>
    </w:tbl>
    <w:p>
      <w:pPr>
        <w:spacing w:after="80"/>
      </w:pPr>
    </w:p>
    <w:p>
      <w:pPr>
        <w:keepNext/>
        <w:spacing w:before="240" w:after="80"/>
      </w:pPr>
      <w:r>
        <w:rPr>
          <w:rFonts w:ascii="黑体" w:hAnsi="黑体" w:eastAsia="黑体"/>
          <w:b/>
          <w:i w:val="0"/>
          <w:color w:val="1E293B"/>
          <w:sz w:val="23"/>
        </w:rPr>
        <w:t>环节三：关卡细部交互体验、材质拉伸修复与角色对白文学化校准（综合交互与视界）</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514"/>
        <w:gridCol w:w="4514"/>
      </w:tblGrid>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使用环节及目的</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解决多工作树合并时出现的交互穿帮（如闭眼入梦黑白照片被眼睑遮罩阻挡、长地毯 UV 拉伸畸变）及剧本文案文学感不足的问题。</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主要工具／模型</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Google Antigravity (Gemini 系列)</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主要输入或素材来源</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出现拉伸的长地毯 3D 模型与材质代码、转场眼睑遮罩着色器、剧情全篇对白草稿。</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AI主要输出</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专用材质计算方案建议、遮罩渲染层级调整逻辑、符合受限视角的台词修润草案。</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学生筛选、修改或再创作</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人工将台词逐句校准至“侦探认知受限”框架下，删除任何可能提前泄露核心反转的表达；在 Godot 编辑器中重新绘制地毯 UV 并手调长廊环境光；真机测试手柄与键盘疾跑手感并固化按键映射。</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最终成果中的应用位置</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全流程剧情对话系统、第五章循环回廊地毯视觉表现、第四章地下梦境演出系统及全局 3C 操作。</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E293B"/>
                <w:sz w:val="19"/>
              </w:rPr>
              <w:t>可核验材料（如有）</w:t>
            </w:r>
          </w:p>
        </w:tc>
        <w:tc>
          <w:tcPr>
            <w:tcW w:type="dxa" w:w="6437"/>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9"/>
              </w:rPr>
              <w:t>Git 提交记录（feat(inspection)、fix(ui): 闭眼完成转入黑屏后移除眼睑遮罩、画面：一二楼走廊长地毯专用材质与贴图适配）。详见后文【过程材料三】。</w:t>
            </w:r>
          </w:p>
        </w:tc>
      </w:tr>
    </w:tbl>
    <w:p>
      <w:pPr>
        <w:spacing w:after="80"/>
      </w:pPr>
    </w:p>
    <w:tbl>
      <w:tblPr>
        <w:tblW w:type="auto" w:w="0"/>
        <w:jc w:val="center"/>
        <w:tblLook w:firstColumn="1" w:firstRow="1" w:lastColumn="0" w:lastRow="0" w:noHBand="0" w:noVBand="1" w:val="04A0"/>
        <w:tblBorders>
          <w:top w:val="none"/>
          <w:bottom w:val="none"/>
          <w:left w:val="single" w:sz="18" w:space="0" w:color="0284C7"/>
          <w:right w:val="none"/>
          <w:insideH w:val="none"/>
          <w:insideV w:val="none"/>
        </w:tblBorders>
      </w:tblPr>
      <w:tblGrid>
        <w:gridCol w:w="9029"/>
      </w:tblGrid>
      <w:tr>
        <w:tc>
          <w:tcPr>
            <w:tcW w:type="dxa" w:w="9029"/>
            <w:shd w:fill="F8FAFC"/>
            <w:tcMar>
              <w:top w:w="120" w:type="dxa"/>
              <w:bottom w:w="120" w:type="dxa"/>
              <w:left w:w="180" w:type="dxa"/>
              <w:right w:w="180" w:type="dxa"/>
            </w:tcMar>
          </w:tcPr>
          <w:p>
            <w:pPr>
              <w:spacing w:before="60" w:after="60" w:line="288" w:lineRule="auto"/>
            </w:pPr>
            <w:r>
              <w:rPr>
                <w:rFonts w:ascii="黑体" w:hAnsi="黑体" w:eastAsia="黑体"/>
                <w:b/>
                <w:i w:val="0"/>
                <w:color w:val="0284C7"/>
                <w:sz w:val="19"/>
              </w:rPr>
              <w:t>【特别提示】：</w:t>
            </w:r>
            <w:r>
              <w:rPr>
                <w:rFonts w:ascii="宋体" w:hAnsi="宋体" w:eastAsia="宋体"/>
                <w:b w:val="0"/>
                <w:i w:val="0"/>
                <w:color w:val="1E293B"/>
                <w:sz w:val="19"/>
              </w:rPr>
              <w:t>如涉及图像、音视频、程序代码、数据分析、模型训练或智能体工作流，可据实描述关键方法和人工干预，无需机械套用统一技术流程。</w:t>
            </w:r>
          </w:p>
        </w:tc>
      </w:tr>
    </w:tbl>
    <w:p>
      <w:pPr>
        <w:spacing w:before="0" w:after="80"/>
      </w:pPr>
    </w:p>
    <w:p>
      <w:pPr>
        <w:keepNext/>
        <w:spacing w:before="320" w:after="120"/>
      </w:pPr>
      <w:r>
        <w:rPr>
          <w:rFonts w:ascii="黑体" w:hAnsi="黑体" w:eastAsia="黑体"/>
          <w:b/>
          <w:i w:val="0"/>
          <w:color w:val="1A365D"/>
          <w:sz w:val="26"/>
        </w:rPr>
        <w:t>四、最终成果中的AI生成或辅助内容</w:t>
      </w:r>
    </w:p>
    <w:p>
      <w:pPr>
        <w:spacing w:after="100" w:line="300" w:lineRule="auto"/>
      </w:pPr>
      <w:r>
        <w:rPr>
          <w:rFonts w:ascii="宋体" w:hAnsi="宋体" w:eastAsia="宋体"/>
          <w:b w:val="0"/>
          <w:i w:val="0"/>
          <w:color w:val="1E293B"/>
          <w:sz w:val="21"/>
        </w:rPr>
        <w:t>如最终成果直接或部分保留AI生成或辅助生成内容，填写下表；未保留的，填写“无”。“最终使用位置”应填写具体页面、模块、场景或成果名称。</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257"/>
        <w:gridCol w:w="2257"/>
        <w:gridCol w:w="2257"/>
        <w:gridCol w:w="2257"/>
      </w:tblGrid>
      <w:tr>
        <w:trPr>
          <w:cantSplit/>
        </w:trPr>
        <w:tc>
          <w:tcPr>
            <w:tcW w:type="dxa" w:w="1872"/>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内容／成果</w:t>
            </w:r>
          </w:p>
        </w:tc>
        <w:tc>
          <w:tcPr>
            <w:tcW w:type="dxa" w:w="2304"/>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AI生成或辅助部分</w:t>
            </w:r>
          </w:p>
        </w:tc>
        <w:tc>
          <w:tcPr>
            <w:tcW w:type="dxa" w:w="2693"/>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学生修改与整合</w:t>
            </w:r>
          </w:p>
        </w:tc>
        <w:tc>
          <w:tcPr>
            <w:tcW w:type="dxa" w:w="2160"/>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最终使用位置</w:t>
            </w:r>
          </w:p>
        </w:tc>
      </w:tr>
      <w:tr>
        <w:trPr>
          <w:cantSplit/>
        </w:trPr>
        <w:tc>
          <w:tcPr>
            <w:tcW w:type="dxa" w:w="1872"/>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程序代码</w:t>
            </w:r>
          </w:p>
        </w:tc>
        <w:tc>
          <w:tcPr>
            <w:tcW w:type="dxa" w:w="2304"/>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基础语法逻辑框架、CSV 数据解析器、自动化测试命令行脚本骨架。</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100% 经过人工审查与重构；自主编写核心状态机、视角跟随、自定义交互射线判定与性能优化。</w:t>
            </w:r>
          </w:p>
        </w:tc>
        <w:tc>
          <w:tcPr>
            <w:tcW w:type="dxa" w:w="2160"/>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游戏核心运行脚本库（godot/core/、godot/world/、godot/tools/）。</w:t>
            </w:r>
          </w:p>
        </w:tc>
      </w:tr>
      <w:tr>
        <w:trPr>
          <w:cantSplit/>
        </w:trPr>
        <w:tc>
          <w:tcPr>
            <w:tcW w:type="dxa" w:w="1872"/>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平面视觉素材</w:t>
            </w:r>
          </w:p>
        </w:tc>
        <w:tc>
          <w:tcPr>
            <w:tcW w:type="dxa" w:w="2304"/>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部分用于探索氛围的概念设计图、暗房显影照片草稿。</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人工进行构图筛选、色彩分级（Color Grading）、添加 1926 年代银盐照片胶片噪点与物理暗角，剔除多余噪物。</w:t>
            </w:r>
          </w:p>
        </w:tc>
        <w:tc>
          <w:tcPr>
            <w:tcW w:type="dxa" w:w="2160"/>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游戏内证据板检视界面、暗房显影最终底片、宣传展示物料。</w:t>
            </w:r>
          </w:p>
        </w:tc>
      </w:tr>
      <w:tr>
        <w:trPr>
          <w:cantSplit/>
        </w:trPr>
        <w:tc>
          <w:tcPr>
            <w:tcW w:type="dxa" w:w="1872"/>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剧情与台词</w:t>
            </w:r>
          </w:p>
        </w:tc>
        <w:tc>
          <w:tcPr>
            <w:tcW w:type="dxa" w:w="2304"/>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提供部分环境描写词汇建议、台词同义文学化候选句式。</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核心剧情设定、反转逻辑、悬疑伏笔链与解谜因果完全由学生确立；对全部台词进行严格的人工风格统筹与角色受限视角校正。</w:t>
            </w:r>
          </w:p>
        </w:tc>
        <w:tc>
          <w:tcPr>
            <w:tcW w:type="dxa" w:w="2160"/>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游戏故事驱动数据表（godot/content/story/*.csv）。</w:t>
            </w:r>
          </w:p>
        </w:tc>
      </w:tr>
      <w:tr>
        <w:trPr>
          <w:cantSplit/>
        </w:trPr>
        <w:tc>
          <w:tcPr>
            <w:tcW w:type="dxa" w:w="1872"/>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三维空间与关卡</w:t>
            </w:r>
          </w:p>
        </w:tc>
        <w:tc>
          <w:tcPr>
            <w:tcW w:type="dxa" w:w="2304"/>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无（AI 仅产出前期平面概念参考图）。</w:t>
            </w:r>
          </w:p>
        </w:tc>
        <w:tc>
          <w:tcPr>
            <w:tcW w:type="dxa" w:w="2693"/>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场景空间布局、Blender 3D 模型网格建模、碰撞体积规划、灯光天光搭建与运镜机位布设全部由学生自主完成。</w:t>
            </w:r>
          </w:p>
        </w:tc>
        <w:tc>
          <w:tcPr>
            <w:tcW w:type="dxa" w:w="2160"/>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全部 8 个正式游戏关卡场景（godot/levels/*.tscn）。</w:t>
            </w:r>
          </w:p>
        </w:tc>
      </w:tr>
    </w:tbl>
    <w:p>
      <w:pPr>
        <w:spacing w:after="80"/>
      </w:pPr>
    </w:p>
    <w:tbl>
      <w:tblPr>
        <w:tblW w:type="auto" w:w="0"/>
        <w:jc w:val="center"/>
        <w:tblLook w:firstColumn="1" w:firstRow="1" w:lastColumn="0" w:lastRow="0" w:noHBand="0" w:noVBand="1" w:val="04A0"/>
        <w:tblBorders>
          <w:top w:val="none"/>
          <w:bottom w:val="none"/>
          <w:left w:val="single" w:sz="18" w:space="0" w:color="0284C7"/>
          <w:right w:val="none"/>
          <w:insideH w:val="none"/>
          <w:insideV w:val="none"/>
        </w:tblBorders>
      </w:tblPr>
      <w:tblGrid>
        <w:gridCol w:w="9029"/>
      </w:tblGrid>
      <w:tr>
        <w:tc>
          <w:tcPr>
            <w:tcW w:type="dxa" w:w="9029"/>
            <w:shd w:fill="F8FAFC"/>
            <w:tcMar>
              <w:top w:w="120" w:type="dxa"/>
              <w:bottom w:w="120" w:type="dxa"/>
              <w:left w:w="180" w:type="dxa"/>
              <w:right w:w="180" w:type="dxa"/>
            </w:tcMar>
          </w:tcPr>
          <w:p>
            <w:pPr>
              <w:spacing w:before="60" w:after="60" w:line="288" w:lineRule="auto"/>
            </w:pPr>
            <w:r>
              <w:rPr>
                <w:rFonts w:ascii="黑体" w:hAnsi="黑体" w:eastAsia="黑体"/>
                <w:b/>
                <w:i w:val="0"/>
                <w:color w:val="0284C7"/>
                <w:sz w:val="19"/>
              </w:rPr>
              <w:t>【特别提示】：</w:t>
            </w:r>
            <w:r>
              <w:rPr>
                <w:rFonts w:ascii="宋体" w:hAnsi="宋体" w:eastAsia="宋体"/>
                <w:b w:val="0"/>
                <w:i w:val="0"/>
                <w:color w:val="1E293B"/>
                <w:sz w:val="19"/>
              </w:rPr>
              <w:t>要求以具体工作说明代替“AI占比”“人工占比”等难以核实的百分比。</w:t>
            </w:r>
          </w:p>
        </w:tc>
      </w:tr>
    </w:tbl>
    <w:p>
      <w:pPr>
        <w:spacing w:before="0" w:after="80"/>
      </w:pPr>
    </w:p>
    <w:p>
      <w:pPr>
        <w:keepNext/>
        <w:spacing w:before="320" w:after="120"/>
      </w:pPr>
      <w:r>
        <w:rPr>
          <w:rFonts w:ascii="黑体" w:hAnsi="黑体" w:eastAsia="黑体"/>
          <w:b/>
          <w:i w:val="0"/>
          <w:color w:val="1A365D"/>
          <w:sz w:val="26"/>
        </w:rPr>
        <w:t>五、学生原创贡献说明</w:t>
      </w:r>
    </w:p>
    <w:p>
      <w:pPr>
        <w:spacing w:after="100" w:line="300" w:lineRule="auto"/>
      </w:pPr>
      <w:r>
        <w:rPr>
          <w:rFonts w:ascii="宋体" w:hAnsi="宋体" w:eastAsia="宋体"/>
          <w:b w:val="0"/>
          <w:i w:val="0"/>
          <w:color w:val="1E293B"/>
          <w:sz w:val="21"/>
        </w:rPr>
        <w:t>请简要说明作品核心创意与技术／创作方案如何形成，以及学生在需求分析、方案设计、交互设计、程序开发、内容创作、模型适配、人工修改、系统集成、测试优化等方面完成的主要工作。</w:t>
      </w:r>
    </w:p>
    <w:p>
      <w:pPr>
        <w:keepNext/>
        <w:spacing w:before="240" w:after="80"/>
      </w:pPr>
      <w:r>
        <w:rPr>
          <w:rFonts w:ascii="黑体" w:hAnsi="黑体" w:eastAsia="黑体"/>
          <w:b/>
          <w:i w:val="0"/>
          <w:color w:val="1E293B"/>
          <w:sz w:val="23"/>
        </w:rPr>
        <w:t>学生自主完成的核心工作：</w:t>
      </w:r>
    </w:p>
    <w:p>
      <w:pPr>
        <w:spacing w:after="100" w:line="300" w:lineRule="auto"/>
        <w:ind w:firstLine="403"/>
      </w:pPr>
      <w:r>
        <w:rPr>
          <w:rFonts w:ascii="宋体" w:hAnsi="宋体" w:eastAsia="宋体"/>
          <w:b w:val="0"/>
          <w:i w:val="0"/>
          <w:color w:val="1E293B"/>
          <w:sz w:val="21"/>
        </w:rPr>
        <w:t>1. 世界观构建与叙事反转设计：独立构思了“1926 年庄园暗房悬疑”与“心理数字容器／多重人格”双层嵌套世界观。独创“亲手显影真相”的核心叙事交互——玩家在暗房亲自冲洗底片显影出凶手正是自己，实现叙事诡计与游戏交互的高度统一。</w:t>
      </w:r>
    </w:p>
    <w:p>
      <w:pPr>
        <w:spacing w:after="100" w:line="300" w:lineRule="auto"/>
        <w:ind w:firstLine="403"/>
      </w:pPr>
      <w:r>
        <w:rPr>
          <w:rFonts w:ascii="宋体" w:hAnsi="宋体" w:eastAsia="宋体"/>
          <w:b w:val="0"/>
          <w:i w:val="0"/>
          <w:color w:val="1E293B"/>
          <w:sz w:val="21"/>
        </w:rPr>
        <w:t>2. “分镜即数据”的高内聚解耦架构：完全自主设计并搭建了以 CSV 表格为驱动核心的游戏叙事引擎，将文案策划、镜头运动、人物动作与底层代码彻底解耦，大幅降低开发与迭代维护成本。</w:t>
      </w:r>
    </w:p>
    <w:p>
      <w:pPr>
        <w:spacing w:after="100" w:line="300" w:lineRule="auto"/>
        <w:ind w:firstLine="403"/>
      </w:pPr>
      <w:r>
        <w:rPr>
          <w:rFonts w:ascii="宋体" w:hAnsi="宋体" w:eastAsia="宋体"/>
          <w:b w:val="0"/>
          <w:i w:val="0"/>
          <w:color w:val="1E293B"/>
          <w:sz w:val="21"/>
        </w:rPr>
        <w:t>3. 专业级的 CI/CD 自动化体检工具链：为了保证比赛演示零 Bug，学生自主研发了全套自动化测试体系，包括：数据完整性交叉校验（validate_content）、跨门天光跳变探测（probe_doorway）、全场景碰撞防穿模体检（probe_walk）、大地图连通性验证（probe_map）以及双结局无头全自动通关脚本（autoplay）。</w:t>
      </w:r>
    </w:p>
    <w:p>
      <w:pPr>
        <w:spacing w:after="100" w:line="300" w:lineRule="auto"/>
        <w:ind w:firstLine="403"/>
      </w:pPr>
      <w:r>
        <w:rPr>
          <w:rFonts w:ascii="宋体" w:hAnsi="宋体" w:eastAsia="宋体"/>
          <w:b w:val="0"/>
          <w:i w:val="0"/>
          <w:color w:val="1E293B"/>
          <w:sz w:val="21"/>
        </w:rPr>
        <w:t>4. 沉浸式 3D 空间取证与交互手感调校：在 Godot 中完全人工搭建了高品质写实庄园环境，参考经典悬疑叙事空间节奏，精细烘焙光影，设计了类电影沉浸感的无边框字幕与高灵敏度 3D 物品 360 度检视系统。</w:t>
      </w:r>
    </w:p>
    <w:p>
      <w:pPr>
        <w:keepNext/>
        <w:spacing w:before="240" w:after="80"/>
      </w:pPr>
      <w:r>
        <w:rPr>
          <w:rFonts w:ascii="黑体" w:hAnsi="黑体" w:eastAsia="黑体"/>
          <w:b/>
          <w:i w:val="0"/>
          <w:color w:val="1E293B"/>
          <w:sz w:val="23"/>
        </w:rPr>
        <w:t>AI与学生工作边界说明（必要时填写）：</w:t>
      </w:r>
    </w:p>
    <w:p>
      <w:pPr>
        <w:spacing w:after="100" w:line="300" w:lineRule="auto"/>
        <w:ind w:firstLine="403"/>
      </w:pPr>
      <w:r>
        <w:rPr>
          <w:rFonts w:ascii="宋体" w:hAnsi="宋体" w:eastAsia="宋体"/>
          <w:b w:val="0"/>
          <w:i w:val="0"/>
          <w:color w:val="1E293B"/>
          <w:sz w:val="21"/>
        </w:rPr>
        <w:t>本团队严格遵循“人类把控决策，AI赋能执行”的研发原则。学生作为“架构师、导演与决策中枢”，负责作品定位、核心立意、玩法机制规则、剧情真相设计、3D空间拓扑与最终作品交付验收；AI 定位为“效能加速副驾驶（Copilot）与执行助理”，主要承担样板代码编写、概念草图发散、多分支文本润色建议及跨分支差异排查等重复性工作。</w:t>
      </w:r>
    </w:p>
    <w:p>
      <w:pPr>
        <w:spacing w:after="100" w:line="300" w:lineRule="auto"/>
        <w:ind w:firstLine="403"/>
      </w:pPr>
      <w:r>
        <w:rPr>
          <w:rFonts w:ascii="宋体" w:hAnsi="宋体" w:eastAsia="宋体"/>
          <w:b w:val="0"/>
          <w:i w:val="0"/>
          <w:color w:val="1E293B"/>
          <w:sz w:val="21"/>
        </w:rPr>
        <w:t>工作边界底线：所有的逻辑成立性、代码入库标准、艺术风格一致性与合规性，均经过学生 100% 的人工审查、调优与真机运行验证，AI 无独立决策权。</w:t>
      </w:r>
    </w:p>
    <w:p>
      <w:pPr>
        <w:keepNext/>
        <w:spacing w:before="320" w:after="120"/>
      </w:pPr>
      <w:r>
        <w:rPr>
          <w:rFonts w:ascii="黑体" w:hAnsi="黑体" w:eastAsia="黑体"/>
          <w:b/>
          <w:i w:val="0"/>
          <w:color w:val="1A365D"/>
          <w:sz w:val="26"/>
        </w:rPr>
        <w:t>六、代表性过程材料（按需）</w:t>
      </w:r>
    </w:p>
    <w:p>
      <w:pPr>
        <w:spacing w:after="100" w:line="300" w:lineRule="auto"/>
      </w:pPr>
      <w:r>
        <w:rPr>
          <w:rFonts w:ascii="宋体" w:hAnsi="宋体" w:eastAsia="宋体"/>
          <w:b w:val="0"/>
          <w:i w:val="0"/>
          <w:color w:val="1E293B"/>
          <w:sz w:val="21"/>
        </w:rPr>
        <w:t>根据实际需要，提供 3 个典型环节的提示语（Prompt）、关键输入输出、参数设置、迭代修改、版本对比及人工再创作截图：</w:t>
      </w:r>
    </w:p>
    <w:p>
      <w:pPr>
        <w:keepNext/>
        <w:spacing w:before="240" w:after="80"/>
      </w:pPr>
      <w:r>
        <w:rPr>
          <w:rFonts w:ascii="黑体" w:hAnsi="黑体" w:eastAsia="黑体"/>
          <w:b/>
          <w:i w:val="0"/>
          <w:color w:val="1E293B"/>
          <w:sz w:val="23"/>
        </w:rPr>
        <w:t>过程材料一：AI 协同数据驱动分镜架构与自动化工程质量体检</w:t>
      </w:r>
    </w:p>
    <w:p>
      <w:pPr>
        <w:spacing w:before="8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程序工程与自动化体检材料.png"/>
                    <pic:cNvPicPr/>
                  </pic:nvPicPr>
                  <pic:blipFill>
                    <a:blip r:embed="rId9"/>
                    <a:stretch>
                      <a:fillRect/>
                    </a:stretch>
                  </pic:blipFill>
                  <pic:spPr>
                    <a:xfrm>
                      <a:off x="0" y="0"/>
                      <a:ext cx="5669280" cy="3188970"/>
                    </a:xfrm>
                    <a:prstGeom prst="rect"/>
                  </pic:spPr>
                </pic:pic>
              </a:graphicData>
            </a:graphic>
          </wp:inline>
        </w:drawing>
      </w:r>
    </w:p>
    <w:p>
      <w:pPr>
        <w:spacing w:before="40" w:after="200" w:line="276" w:lineRule="auto"/>
        <w:jc w:val="center"/>
      </w:pPr>
      <w:r>
        <w:rPr>
          <w:rFonts w:ascii="楷体" w:hAnsi="楷体" w:eastAsia="楷体"/>
          <w:b w:val="0"/>
          <w:i w:val="0"/>
          <w:color w:val="64748B"/>
          <w:sz w:val="18"/>
        </w:rPr>
        <w:t>图 1：基于 Godot 4.7 无头模式的自动化数据校验与质量体检链路。学生自主设计了以 CSV 表格驱动的剧情引擎与 8 级质量自检规范；AI 协助编写解析与断言脚本骨架，学生团队严格把控数据真值与双结局闭环，实现 0 Error 自动化交付验收。</w:t>
      </w:r>
    </w:p>
    <w:p>
      <w:pPr>
        <w:keepNext/>
        <w:spacing w:before="240" w:after="80"/>
      </w:pPr>
      <w:r>
        <w:rPr>
          <w:rFonts w:ascii="黑体" w:hAnsi="黑体" w:eastAsia="黑体"/>
          <w:b/>
          <w:i w:val="0"/>
          <w:color w:val="1E293B"/>
          <w:sz w:val="23"/>
        </w:rPr>
        <w:t>过程材料二：美术空间设计：结构化 Prompt 约束 → AI 概念生成 → 自研 HTML 叠图审查与网格复核</w:t>
      </w:r>
    </w:p>
    <w:p>
      <w:pPr>
        <w:spacing w:before="8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美术设计与生图审查工作流.png"/>
                    <pic:cNvPicPr/>
                  </pic:nvPicPr>
                  <pic:blipFill>
                    <a:blip r:embed="rId10"/>
                    <a:stretch>
                      <a:fillRect/>
                    </a:stretch>
                  </pic:blipFill>
                  <pic:spPr>
                    <a:xfrm>
                      <a:off x="0" y="0"/>
                      <a:ext cx="5669280" cy="3188970"/>
                    </a:xfrm>
                    <a:prstGeom prst="rect"/>
                  </pic:spPr>
                </pic:pic>
              </a:graphicData>
            </a:graphic>
          </wp:inline>
        </w:drawing>
      </w:r>
    </w:p>
    <w:p>
      <w:pPr>
        <w:spacing w:before="40" w:after="200" w:line="276" w:lineRule="auto"/>
        <w:jc w:val="center"/>
      </w:pPr>
      <w:r>
        <w:rPr>
          <w:rFonts w:ascii="楷体" w:hAnsi="楷体" w:eastAsia="楷体"/>
          <w:b w:val="0"/>
          <w:i w:val="0"/>
          <w:color w:val="64748B"/>
          <w:sz w:val="18"/>
        </w:rPr>
        <w:t>图 2：空间概念人机协同管线与自研 HTML 叠图审查工具。拒绝无脑使用 AI 图像，学生团队通过 Blender 白模先定机位，输入严谨空间约束与时代参数；出图后借助自研审查系统进行像素级透视比对与年代细节审核，最终由学生依尺寸在 Blender 中手工建模落地。</w:t>
      </w:r>
    </w:p>
    <w:p>
      <w:pPr>
        <w:keepNext/>
        <w:spacing w:before="240" w:after="80"/>
      </w:pPr>
      <w:r>
        <w:rPr>
          <w:rFonts w:ascii="黑体" w:hAnsi="黑体" w:eastAsia="黑体"/>
          <w:b/>
          <w:i w:val="0"/>
          <w:color w:val="1E293B"/>
          <w:sz w:val="23"/>
        </w:rPr>
        <w:t>过程材料三：交互/渲染缺陷审查修复与游戏 3D 实机画面渲染</w:t>
      </w:r>
    </w:p>
    <w:p>
      <w:pPr>
        <w:spacing w:before="8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代码重构与3D实机渲染验证.png"/>
                    <pic:cNvPicPr/>
                  </pic:nvPicPr>
                  <pic:blipFill>
                    <a:blip r:embed="rId11"/>
                    <a:stretch>
                      <a:fillRect/>
                    </a:stretch>
                  </pic:blipFill>
                  <pic:spPr>
                    <a:xfrm>
                      <a:off x="0" y="0"/>
                      <a:ext cx="5669280" cy="3188970"/>
                    </a:xfrm>
                    <a:prstGeom prst="rect"/>
                  </pic:spPr>
                </pic:pic>
              </a:graphicData>
            </a:graphic>
          </wp:inline>
        </w:drawing>
      </w:r>
    </w:p>
    <w:p>
      <w:pPr>
        <w:spacing w:before="40" w:after="200" w:line="276" w:lineRule="auto"/>
        <w:jc w:val="center"/>
      </w:pPr>
      <w:r>
        <w:rPr>
          <w:rFonts w:ascii="楷体" w:hAnsi="楷体" w:eastAsia="楷体"/>
          <w:b w:val="0"/>
          <w:i w:val="0"/>
          <w:color w:val="64748B"/>
          <w:sz w:val="18"/>
        </w:rPr>
        <w:t>图 3：交互与渲染缺陷审查修复及 Godot 4.7 实机渲染画面。展示学生对 AI 编写代码的深度审查与 Bug 修复能力，自主解决转场时序冲突与贴图 UV 畸变，并在正式关卡中完成高精度 3D 渲染与真机试玩验收。</w:t>
      </w:r>
    </w:p>
    <w:p>
      <w:pPr>
        <w:keepNext/>
        <w:spacing w:before="320" w:after="120"/>
      </w:pPr>
      <w:r>
        <w:rPr>
          <w:rFonts w:ascii="黑体" w:hAnsi="黑体" w:eastAsia="黑体"/>
          <w:b/>
          <w:i w:val="0"/>
          <w:color w:val="1A365D"/>
          <w:sz w:val="26"/>
        </w:rPr>
        <w:t>七、资源来源与合规说明</w:t>
      </w:r>
    </w:p>
    <w:p>
      <w:pPr>
        <w:spacing w:after="100" w:line="300" w:lineRule="auto"/>
      </w:pPr>
      <w:r>
        <w:rPr>
          <w:rFonts w:ascii="宋体" w:hAnsi="宋体" w:eastAsia="宋体"/>
          <w:b w:val="0"/>
          <w:i w:val="0"/>
          <w:color w:val="1E293B"/>
          <w:sz w:val="21"/>
        </w:rPr>
        <w:t>使用第三方模型、数据、代码、图片、音频、视频、字体、插件或平台服务的，应遵守相关使用条款、许可及知识产权规定。主要资源的名称、来源、用途和授权情况可在《第三方资源说明》中统一列示，本模板无需重复提交相同清单。</w:t>
      </w:r>
    </w:p>
    <w:p>
      <w:pPr>
        <w:keepNext/>
        <w:spacing w:before="240" w:after="80"/>
      </w:pPr>
      <w:r>
        <w:rPr>
          <w:rFonts w:ascii="黑体" w:hAnsi="黑体" w:eastAsia="黑体"/>
          <w:b/>
          <w:i w:val="0"/>
          <w:color w:val="1E293B"/>
          <w:sz w:val="23"/>
        </w:rPr>
        <w:t>（一）图片及音视频素材版权说明</w:t>
      </w:r>
    </w:p>
    <w:p>
      <w:pPr>
        <w:spacing w:after="100" w:line="300" w:lineRule="auto"/>
        <w:ind w:firstLine="403"/>
      </w:pPr>
      <w:r>
        <w:rPr>
          <w:rFonts w:ascii="宋体" w:hAnsi="宋体" w:eastAsia="宋体"/>
          <w:b w:val="0"/>
          <w:i w:val="0"/>
          <w:color w:val="1E293B"/>
          <w:sz w:val="21"/>
        </w:rPr>
        <w:t>参赛作品使用的所有视觉与听觉素材均有清晰的权利来源，严格区分学生原创、AI 辅助生成及开源授权素材：3D 模型与场景网格全部由学生在 Blender 中依据尺寸规范手工建模，或基于 CC0 公共领域基础几何体手工修改展 UV 制作，无侵权风险；核心环境氛围音由团队自主录制合成，辅以遵循 CC0 / CC-BY 授权的开源音效库资源；字体采用遵循 SIL Open Font License 1.1 开源协议的思源黑体与思源宋体，支持免费商用与竞赛展示。</w:t>
      </w:r>
    </w:p>
    <w:p>
      <w:pPr>
        <w:keepNext/>
        <w:spacing w:before="240" w:after="80"/>
      </w:pPr>
      <w:r>
        <w:rPr>
          <w:rFonts w:ascii="黑体" w:hAnsi="黑体" w:eastAsia="黑体"/>
          <w:b/>
          <w:i w:val="0"/>
          <w:color w:val="1E293B"/>
          <w:sz w:val="23"/>
        </w:rPr>
        <w:t>（二）版权与授权核查</w:t>
      </w:r>
    </w:p>
    <w:p>
      <w:pPr>
        <w:spacing w:after="100" w:line="300" w:lineRule="auto"/>
        <w:ind w:firstLine="403"/>
      </w:pPr>
      <w:r>
        <w:rPr>
          <w:rFonts w:ascii="宋体" w:hAnsi="宋体" w:eastAsia="宋体"/>
          <w:b w:val="0"/>
          <w:i w:val="0"/>
          <w:color w:val="1E293B"/>
          <w:sz w:val="21"/>
        </w:rPr>
        <w:t>团队已对所使用的引擎工具、开源库及字体完成了逐项许可核查：核心引擎 Godot 4.7 遵循宽松的 MIT 协议；3D 制作工具 Blender 遵循 GPL 协议；未使用任何未授权网络图片、未标注免费素材或涉及真人肖像/声音克隆的受限资源。</w:t>
      </w:r>
    </w:p>
    <w:p>
      <w:pPr>
        <w:keepNext/>
        <w:spacing w:before="240" w:after="80"/>
      </w:pPr>
      <w:r>
        <w:rPr>
          <w:rFonts w:ascii="黑体" w:hAnsi="黑体" w:eastAsia="黑体"/>
          <w:b/>
          <w:i w:val="0"/>
          <w:color w:val="1E293B"/>
          <w:sz w:val="23"/>
        </w:rPr>
        <w:t>（三）AI生成素材使用说明</w:t>
      </w:r>
    </w:p>
    <w:p>
      <w:pPr>
        <w:spacing w:after="100" w:line="300" w:lineRule="auto"/>
        <w:ind w:firstLine="403"/>
      </w:pPr>
      <w:r>
        <w:rPr>
          <w:rFonts w:ascii="宋体" w:hAnsi="宋体" w:eastAsia="宋体"/>
          <w:b w:val="0"/>
          <w:i w:val="0"/>
          <w:color w:val="1E293B"/>
          <w:sz w:val="21"/>
        </w:rPr>
        <w:t>作品中保留的少量 AI 辅助生成的概念图与暗房照片底稿，均使用正规授权商用 API / 工具生成；生成过程中未输入任何涉密或他人版权作品作为参考；AI 输出后均经过了团队成员的人工重绘、色彩做旧、胶片噪点添加与尺寸裁剪等实质性二次创作，符合我国《生成式人工智能服务管理暂行办法》及知识产权合规要求。</w:t>
      </w:r>
    </w:p>
    <w:p>
      <w:pPr>
        <w:keepNext/>
        <w:spacing w:before="240" w:after="80"/>
      </w:pPr>
      <w:r>
        <w:rPr>
          <w:rFonts w:ascii="黑体" w:hAnsi="黑体" w:eastAsia="黑体"/>
          <w:b/>
          <w:i w:val="0"/>
          <w:color w:val="1E293B"/>
          <w:sz w:val="23"/>
        </w:rPr>
        <w:t>（四）版权材料提交要求与第三方资源使用情况表</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257"/>
        <w:gridCol w:w="2257"/>
        <w:gridCol w:w="2257"/>
        <w:gridCol w:w="2257"/>
      </w:tblGrid>
      <w:tr>
        <w:trPr>
          <w:cantSplit/>
        </w:trPr>
        <w:tc>
          <w:tcPr>
            <w:tcW w:type="dxa" w:w="2016"/>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素材名称与类别</w:t>
            </w:r>
          </w:p>
        </w:tc>
        <w:tc>
          <w:tcPr>
            <w:tcW w:type="dxa" w:w="2016"/>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来源或权利方</w:t>
            </w:r>
          </w:p>
        </w:tc>
        <w:tc>
          <w:tcPr>
            <w:tcW w:type="dxa" w:w="2549"/>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实际用途</w:t>
            </w:r>
          </w:p>
        </w:tc>
        <w:tc>
          <w:tcPr>
            <w:tcW w:type="dxa" w:w="2448"/>
            <w:vAlign w:val="center"/>
            <w:shd w:fill="F1F5F9"/>
            <w:tcMar>
              <w:top w:w="100" w:type="dxa"/>
              <w:bottom w:w="100" w:type="dxa"/>
              <w:left w:w="140" w:type="dxa"/>
              <w:right w:w="140" w:type="dxa"/>
            </w:tcMar>
          </w:tcPr>
          <w:p>
            <w:pPr>
              <w:spacing w:before="40" w:after="40"/>
              <w:jc w:val="center"/>
            </w:pPr>
            <w:r>
              <w:rPr>
                <w:rFonts w:ascii="黑体" w:hAnsi="黑体" w:eastAsia="黑体"/>
                <w:b/>
                <w:i w:val="0"/>
                <w:color w:val="1A365D"/>
                <w:sz w:val="19"/>
              </w:rPr>
              <w:t>授权或许可情况</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Godot Engine 4.7</w:t>
              <w:br/>
              <w:t>(游戏引擎系统)</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Godot 官方社区</w:t>
            </w:r>
          </w:p>
        </w:tc>
        <w:tc>
          <w:tcPr>
            <w:tcW w:type="dxa" w:w="2549"/>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游戏运行、逻辑渲染与交互框架</w:t>
            </w:r>
          </w:p>
        </w:tc>
        <w:tc>
          <w:tcPr>
            <w:tcW w:type="dxa" w:w="2448"/>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开源 MIT 许可证，允许免费商业与竞赛使用</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Blender 4.x</w:t>
              <w:br/>
              <w:t>(3D 制作工具)</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Blender 基金会</w:t>
            </w:r>
          </w:p>
        </w:tc>
        <w:tc>
          <w:tcPr>
            <w:tcW w:type="dxa" w:w="2549"/>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3D场景低模制作、网格编辑与碰撞体导出</w:t>
            </w:r>
          </w:p>
        </w:tc>
        <w:tc>
          <w:tcPr>
            <w:tcW w:type="dxa" w:w="2448"/>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开源 GPL 许可证，允许免费商业与竞赛使用</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环境音效与脚步声</w:t>
              <w:br/>
              <w:t>(音频素材)</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团队自主录制与</w:t>
              <w:br/>
              <w:t>开源授权音频库 (Freesound)</w:t>
            </w:r>
          </w:p>
        </w:tc>
        <w:tc>
          <w:tcPr>
            <w:tcW w:type="dxa" w:w="2549"/>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沉浸式环境音、雨声、关门声、脚步声</w:t>
            </w:r>
          </w:p>
        </w:tc>
        <w:tc>
          <w:tcPr>
            <w:tcW w:type="dxa" w:w="2448"/>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CC0 / CC-BY 免费授权，遵循开源共享协议</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思源黑体/宋体</w:t>
              <w:br/>
              <w:t>(字体素材)</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Adobe / Google</w:t>
              <w:br/>
              <w:t>(Source Han 系列)</w:t>
            </w:r>
          </w:p>
        </w:tc>
        <w:tc>
          <w:tcPr>
            <w:tcW w:type="dxa" w:w="2549"/>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游戏内字幕、HUD 界面、文档文本显示</w:t>
            </w:r>
          </w:p>
        </w:tc>
        <w:tc>
          <w:tcPr>
            <w:tcW w:type="dxa" w:w="2448"/>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开源 SIL Open Font License 1.1，免费商用与竞赛使用</w:t>
            </w:r>
          </w:p>
        </w:tc>
      </w:tr>
      <w:tr>
        <w:trPr>
          <w:cantSplit/>
        </w:trPr>
        <w:tc>
          <w:tcPr>
            <w:tcW w:type="dxa" w:w="2016"/>
            <w:vAlign w:val="center"/>
            <w:shd w:fill="FFFFFF"/>
            <w:tcMar>
              <w:top w:w="100" w:type="dxa"/>
              <w:bottom w:w="100" w:type="dxa"/>
              <w:left w:w="140" w:type="dxa"/>
              <w:right w:w="140" w:type="dxa"/>
            </w:tcMar>
          </w:tcPr>
          <w:p>
            <w:pPr>
              <w:spacing w:before="40" w:after="40" w:line="276" w:lineRule="auto"/>
              <w:jc w:val="center"/>
            </w:pPr>
            <w:r>
              <w:rPr>
                <w:rFonts w:ascii="黑体" w:hAnsi="黑体" w:eastAsia="黑体"/>
                <w:b w:val="0"/>
                <w:i w:val="0"/>
                <w:color w:val="1E293B"/>
                <w:sz w:val="18"/>
              </w:rPr>
              <w:t>AI 概念原画草图</w:t>
              <w:br/>
              <w:t>(生成视觉素材)</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宋体" w:hAnsi="宋体" w:eastAsia="宋体"/>
                <w:b w:val="0"/>
                <w:i w:val="0"/>
                <w:color w:val="1E293B"/>
                <w:sz w:val="18"/>
              </w:rPr>
              <w:t>OpenAI / Claude</w:t>
              <w:br/>
              <w:t>官方平台接口</w:t>
            </w:r>
          </w:p>
        </w:tc>
        <w:tc>
          <w:tcPr>
            <w:tcW w:type="dxa" w:w="2549"/>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空间氛围探索、证据板线索图做旧底稿</w:t>
            </w:r>
          </w:p>
        </w:tc>
        <w:tc>
          <w:tcPr>
            <w:tcW w:type="dxa" w:w="2448"/>
            <w:vAlign w:val="center"/>
            <w:shd w:fill="FFFFFF"/>
            <w:tcMar>
              <w:top w:w="100" w:type="dxa"/>
              <w:bottom w:w="100" w:type="dxa"/>
              <w:left w:w="140" w:type="dxa"/>
              <w:right w:w="140" w:type="dxa"/>
            </w:tcMar>
          </w:tcPr>
          <w:p>
            <w:pPr>
              <w:spacing w:before="40" w:after="40" w:line="276" w:lineRule="auto"/>
            </w:pPr>
            <w:r>
              <w:rPr>
                <w:rFonts w:ascii="宋体" w:hAnsi="宋体" w:eastAsia="宋体"/>
                <w:b w:val="0"/>
                <w:i w:val="0"/>
                <w:color w:val="1E293B"/>
                <w:sz w:val="18"/>
              </w:rPr>
              <w:t>遵守平台商用条款；经学生深度重构与胶片化二次创作</w:t>
            </w:r>
          </w:p>
        </w:tc>
      </w:tr>
    </w:tbl>
    <w:p>
      <w:pPr>
        <w:spacing w:after="120"/>
      </w:pPr>
    </w:p>
    <w:p>
      <w:pPr>
        <w:keepNext/>
        <w:spacing w:before="320" w:after="120"/>
      </w:pPr>
      <w:r>
        <w:rPr>
          <w:rFonts w:ascii="黑体" w:hAnsi="黑体" w:eastAsia="黑体"/>
          <w:b/>
          <w:i w:val="0"/>
          <w:color w:val="1A365D"/>
          <w:sz w:val="26"/>
        </w:rPr>
        <w:t>八、填写确认与提交提示</w:t>
      </w:r>
    </w:p>
    <w:p>
      <w:pPr>
        <w:spacing w:after="100" w:line="300" w:lineRule="auto"/>
      </w:pPr>
      <w:r>
        <w:rPr>
          <w:rFonts w:ascii="宋体" w:hAnsi="宋体" w:eastAsia="宋体"/>
          <w:b w:val="0"/>
          <w:i w:val="0"/>
          <w:color w:val="1E293B"/>
          <w:sz w:val="21"/>
        </w:rPr>
        <w:t>参赛团队应确认本说明真实反映AI工具使用情况、学生自主工作和最终成果状态，不得虚构使用过程或将AI及第三方成果表述为学生独立原创。相关真实性、原创性及知识产权承诺按照本届统一《参赛承诺书》执行，不重复要求签字盖章。</w:t>
      </w:r>
    </w:p>
    <w:p>
      <w:pPr>
        <w:spacing w:after="100" w:line="300" w:lineRule="auto"/>
      </w:pPr>
      <w:r>
        <w:rPr>
          <w:rFonts w:ascii="宋体" w:hAnsi="宋体" w:eastAsia="宋体"/>
          <w:b w:val="0"/>
          <w:i w:val="0"/>
          <w:color w:val="1E293B"/>
          <w:sz w:val="21"/>
        </w:rPr>
        <w:t>本说明属于材料清单第13项的补充材料，确需提交时，按第6项参赛打包文件的要求归档；如专项赛有专门实践说明或其他材料要求，按其正式文件执行。</w:t>
      </w:r>
    </w:p>
    <w:tbl>
      <w:tblPr>
        <w:tblW w:type="auto" w:w="0"/>
        <w:jc w:val="center"/>
        <w:tblLook w:firstColumn="1" w:firstRow="1" w:lastColumn="0" w:lastRow="0" w:noHBand="0" w:noVBand="1" w:val="04A0"/>
        <w:tblBorders>
          <w:top w:val="none"/>
          <w:bottom w:val="none"/>
          <w:left w:val="single" w:sz="18" w:space="0" w:color="0284C7"/>
          <w:right w:val="none"/>
          <w:insideH w:val="none"/>
          <w:insideV w:val="none"/>
        </w:tblBorders>
      </w:tblPr>
      <w:tblGrid>
        <w:gridCol w:w="9029"/>
      </w:tblGrid>
      <w:tr>
        <w:tc>
          <w:tcPr>
            <w:tcW w:type="dxa" w:w="9029"/>
            <w:shd w:fill="F8FAFC"/>
            <w:tcMar>
              <w:top w:w="120" w:type="dxa"/>
              <w:bottom w:w="120" w:type="dxa"/>
              <w:left w:w="180" w:type="dxa"/>
              <w:right w:w="180" w:type="dxa"/>
            </w:tcMar>
          </w:tcPr>
          <w:p>
            <w:pPr>
              <w:spacing w:before="60" w:after="60" w:line="288" w:lineRule="auto"/>
            </w:pPr>
            <w:r>
              <w:rPr>
                <w:rFonts w:ascii="黑体" w:hAnsi="黑体" w:eastAsia="黑体"/>
                <w:b/>
                <w:i w:val="0"/>
                <w:color w:val="0284C7"/>
                <w:sz w:val="19"/>
              </w:rPr>
              <w:t>【特别提示】：</w:t>
            </w:r>
            <w:r>
              <w:rPr>
                <w:rFonts w:ascii="宋体" w:hAnsi="宋体" w:eastAsia="宋体"/>
                <w:b w:val="0"/>
                <w:i w:val="0"/>
                <w:color w:val="1E293B"/>
                <w:sz w:val="19"/>
              </w:rPr>
              <w:t>合理使用AI本身不直接构成加分或扣分因素；AI工具数量、生成比例不作为独立评分依据。评审重点在于作品创新、实际完成情况及学生原创贡献。</w:t>
            </w:r>
          </w:p>
        </w:tc>
      </w:tr>
    </w:tbl>
    <w:p>
      <w:pPr>
        <w:spacing w:before="0" w:after="80"/>
      </w:pPr>
    </w:p>
    <w:p>
      <w:pPr>
        <w:spacing w:before="280" w:after="40"/>
        <w:jc w:val="right"/>
      </w:pPr>
      <w:r>
        <w:rPr>
          <w:rFonts w:ascii="黑体" w:hAnsi="黑体" w:eastAsia="黑体"/>
          <w:b/>
          <w:i w:val="0"/>
          <w:color w:val="1A365D"/>
          <w:sz w:val="21"/>
        </w:rPr>
        <w:t>参赛团队确认：本说明内容真实有效，特此提交评审专家审阅。</w:t>
        <w:br/>
      </w:r>
      <w:r>
        <w:rPr>
          <w:rFonts w:ascii="宋体" w:hAnsi="宋体" w:eastAsia="宋体"/>
          <w:b w:val="0"/>
          <w:i w:val="0"/>
          <w:color w:val="1E293B"/>
          <w:sz w:val="21"/>
        </w:rPr>
        <w:t>日期：2026 年 10 月 23 日</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