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黑体" w:hAnsi="黑体" w:eastAsia="黑体"/>
          <w:b/>
          <w:i w:val="0"/>
          <w:color w:val="1A365D"/>
          <w:sz w:val="28"/>
        </w:rPr>
        <w:t>2026年第十四届全国大学生数字媒体科技作品及创意竞赛</w:t>
      </w:r>
    </w:p>
    <w:p>
      <w:pPr>
        <w:spacing w:before="80" w:after="80"/>
        <w:jc w:val="center"/>
      </w:pPr>
      <w:r>
        <w:rPr>
          <w:rFonts w:ascii="黑体" w:hAnsi="黑体" w:eastAsia="黑体"/>
          <w:b/>
          <w:i w:val="0"/>
          <w:color w:val="1A365D"/>
          <w:sz w:val="40"/>
        </w:rPr>
        <w:t>作品介绍文档</w:t>
      </w:r>
    </w:p>
    <w:p>
      <w:pPr>
        <w:spacing w:before="0" w:after="280"/>
        <w:jc w:val="center"/>
      </w:pPr>
      <w:r>
        <w:rPr>
          <w:rFonts w:ascii="宋体" w:hAnsi="宋体" w:eastAsia="宋体"/>
          <w:b w:val="0"/>
          <w:i w:val="0"/>
          <w:color w:val="64748B"/>
          <w:sz w:val="22"/>
        </w:rPr>
        <w:t>（参赛团队填报标准版）</w:t>
      </w:r>
    </w:p>
    <w:p>
      <w:pPr>
        <w:keepNext/>
        <w:spacing w:before="300" w:after="120"/>
      </w:pPr>
      <w:r>
        <w:rPr>
          <w:rFonts w:ascii="黑体" w:hAnsi="黑体" w:eastAsia="黑体"/>
          <w:b/>
          <w:i w:val="0"/>
          <w:color w:val="1A365D"/>
          <w:sz w:val="26"/>
        </w:rPr>
        <w:t>一、作品基本信息</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514"/>
        <w:gridCol w:w="4514"/>
      </w:tblGrid>
      <w:tr>
        <w:trPr>
          <w:cantSplit/>
        </w:trPr>
        <w:tc>
          <w:tcPr>
            <w:tcW w:type="dxa" w:w="2592"/>
            <w:vAlign w:val="center"/>
            <w:shd w:fill="FFFFFF"/>
            <w:tcMar>
              <w:top w:w="100" w:type="dxa"/>
              <w:bottom w:w="100" w:type="dxa"/>
              <w:left w:w="140" w:type="dxa"/>
              <w:right w:w="140" w:type="dxa"/>
            </w:tcMar>
          </w:tcPr>
          <w:p>
            <w:pPr>
              <w:spacing w:before="40" w:after="40"/>
            </w:pPr>
            <w:r>
              <w:rPr>
                <w:rFonts w:ascii="黑体" w:hAnsi="黑体" w:eastAsia="黑体"/>
                <w:b/>
                <w:i w:val="0"/>
                <w:color w:val="1A365D"/>
                <w:sz w:val="19"/>
              </w:rPr>
              <w:t>作品名称</w:t>
            </w:r>
          </w:p>
        </w:tc>
        <w:tc>
          <w:tcPr>
            <w:tcW w:type="dxa" w:w="643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9"/>
              </w:rPr>
              <w:t>《潜影》（Latent Image）—— 奥瑞尔庄园 · 一九二六</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A365D"/>
                <w:sz w:val="19"/>
              </w:rPr>
              <w:t>参赛赛道／赛项</w:t>
            </w:r>
          </w:p>
        </w:tc>
        <w:tc>
          <w:tcPr>
            <w:tcW w:type="dxa" w:w="6437"/>
            <w:vAlign w:val="center"/>
            <w:shd w:fill="F8FAFC"/>
            <w:tcMar>
              <w:top w:w="100" w:type="dxa"/>
              <w:bottom w:w="100" w:type="dxa"/>
              <w:left w:w="140" w:type="dxa"/>
              <w:right w:w="140" w:type="dxa"/>
            </w:tcMar>
          </w:tcPr>
          <w:p>
            <w:pPr>
              <w:spacing w:before="40" w:after="40"/>
            </w:pPr>
            <w:r>
              <w:rPr>
                <w:rFonts w:ascii="宋体" w:hAnsi="宋体" w:eastAsia="宋体"/>
                <w:b w:val="0"/>
                <w:i w:val="0"/>
                <w:color w:val="1E293B"/>
                <w:sz w:val="19"/>
              </w:rPr>
              <w:t>虚拟现实(VR/AR/MR/XR)与游戏类赛项</w:t>
            </w:r>
          </w:p>
        </w:tc>
      </w:tr>
      <w:tr>
        <w:trPr>
          <w:cantSplit/>
        </w:trPr>
        <w:tc>
          <w:tcPr>
            <w:tcW w:type="dxa" w:w="2592"/>
            <w:vAlign w:val="center"/>
            <w:shd w:fill="FFFFFF"/>
            <w:tcMar>
              <w:top w:w="100" w:type="dxa"/>
              <w:bottom w:w="100" w:type="dxa"/>
              <w:left w:w="140" w:type="dxa"/>
              <w:right w:w="140" w:type="dxa"/>
            </w:tcMar>
          </w:tcPr>
          <w:p>
            <w:pPr>
              <w:spacing w:before="40" w:after="40"/>
            </w:pPr>
            <w:r>
              <w:rPr>
                <w:rFonts w:ascii="黑体" w:hAnsi="黑体" w:eastAsia="黑体"/>
                <w:b/>
                <w:i w:val="0"/>
                <w:color w:val="1A365D"/>
                <w:sz w:val="19"/>
              </w:rPr>
              <w:t>作品类型</w:t>
            </w:r>
          </w:p>
        </w:tc>
        <w:tc>
          <w:tcPr>
            <w:tcW w:type="dxa" w:w="643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9"/>
              </w:rPr>
              <w:t>第一人称 3D 推理叙事游戏 / 空间取证交互</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A365D"/>
                <w:sz w:val="19"/>
              </w:rPr>
              <w:t>开发引擎与平台</w:t>
            </w:r>
          </w:p>
        </w:tc>
        <w:tc>
          <w:tcPr>
            <w:tcW w:type="dxa" w:w="6437"/>
            <w:vAlign w:val="center"/>
            <w:shd w:fill="F8FAFC"/>
            <w:tcMar>
              <w:top w:w="100" w:type="dxa"/>
              <w:bottom w:w="100" w:type="dxa"/>
              <w:left w:w="140" w:type="dxa"/>
              <w:right w:w="140" w:type="dxa"/>
            </w:tcMar>
          </w:tcPr>
          <w:p>
            <w:pPr>
              <w:spacing w:before="40" w:after="40"/>
            </w:pPr>
            <w:r>
              <w:rPr>
                <w:rFonts w:ascii="宋体" w:hAnsi="宋体" w:eastAsia="宋体"/>
                <w:b w:val="0"/>
                <w:i w:val="0"/>
                <w:color w:val="1E293B"/>
                <w:sz w:val="19"/>
              </w:rPr>
              <w:t>Godot Engine 4.7（Forward+ 管线）· PC 桌面端 (macOS / Windows)</w:t>
            </w:r>
          </w:p>
        </w:tc>
      </w:tr>
      <w:tr>
        <w:trPr>
          <w:cantSplit/>
        </w:trPr>
        <w:tc>
          <w:tcPr>
            <w:tcW w:type="dxa" w:w="2592"/>
            <w:vAlign w:val="center"/>
            <w:shd w:fill="FFFFFF"/>
            <w:tcMar>
              <w:top w:w="100" w:type="dxa"/>
              <w:bottom w:w="100" w:type="dxa"/>
              <w:left w:w="140" w:type="dxa"/>
              <w:right w:w="140" w:type="dxa"/>
            </w:tcMar>
          </w:tcPr>
          <w:p>
            <w:pPr>
              <w:spacing w:before="40" w:after="40"/>
            </w:pPr>
            <w:r>
              <w:rPr>
                <w:rFonts w:ascii="黑体" w:hAnsi="黑体" w:eastAsia="黑体"/>
                <w:b/>
                <w:i w:val="0"/>
                <w:color w:val="1A365D"/>
                <w:sz w:val="19"/>
              </w:rPr>
              <w:t>体验时长与机制</w:t>
            </w:r>
          </w:p>
        </w:tc>
        <w:tc>
          <w:tcPr>
            <w:tcW w:type="dxa" w:w="643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9"/>
              </w:rPr>
              <w:t>20—30 分钟 / 单周目贯通，支持推论分流与双走向终局</w:t>
            </w:r>
          </w:p>
        </w:tc>
      </w:tr>
      <w:tr>
        <w:trPr>
          <w:cantSplit/>
        </w:trPr>
        <w:tc>
          <w:tcPr>
            <w:tcW w:type="dxa" w:w="2592"/>
            <w:vAlign w:val="center"/>
            <w:shd w:fill="F8FAFC"/>
            <w:tcMar>
              <w:top w:w="100" w:type="dxa"/>
              <w:bottom w:w="100" w:type="dxa"/>
              <w:left w:w="140" w:type="dxa"/>
              <w:right w:w="140" w:type="dxa"/>
            </w:tcMar>
          </w:tcPr>
          <w:p>
            <w:pPr>
              <w:spacing w:before="40" w:after="40"/>
            </w:pPr>
            <w:r>
              <w:rPr>
                <w:rFonts w:ascii="黑体" w:hAnsi="黑体" w:eastAsia="黑体"/>
                <w:b/>
                <w:i w:val="0"/>
                <w:color w:val="1A365D"/>
                <w:sz w:val="19"/>
              </w:rPr>
              <w:t>作品编号（如有）</w:t>
            </w:r>
          </w:p>
        </w:tc>
        <w:tc>
          <w:tcPr>
            <w:tcW w:type="dxa" w:w="6437"/>
            <w:vAlign w:val="center"/>
            <w:shd w:fill="F8FAFC"/>
            <w:tcMar>
              <w:top w:w="100" w:type="dxa"/>
              <w:bottom w:w="100" w:type="dxa"/>
              <w:left w:w="140" w:type="dxa"/>
              <w:right w:w="140" w:type="dxa"/>
            </w:tcMar>
          </w:tcPr>
          <w:p>
            <w:pPr>
              <w:spacing w:before="40" w:after="40"/>
            </w:pPr>
            <w:r>
              <w:rPr>
                <w:rFonts w:ascii="宋体" w:hAnsi="宋体" w:eastAsia="宋体"/>
                <w:b w:val="0"/>
                <w:i w:val="0"/>
                <w:color w:val="1E293B"/>
                <w:sz w:val="19"/>
              </w:rPr>
              <w:t>（以大赛报名系统最终生成编号为准）</w:t>
            </w:r>
          </w:p>
        </w:tc>
      </w:tr>
    </w:tbl>
    <w:p>
      <w:pPr>
        <w:spacing w:after="80"/>
      </w:pPr>
    </w:p>
    <w:p>
      <w:pPr>
        <w:keepNext/>
        <w:spacing w:before="300" w:after="120"/>
      </w:pPr>
      <w:r>
        <w:rPr>
          <w:rFonts w:ascii="黑体" w:hAnsi="黑体" w:eastAsia="黑体"/>
          <w:b/>
          <w:i w:val="0"/>
          <w:color w:val="1A365D"/>
          <w:sz w:val="26"/>
        </w:rPr>
        <w:t>二、作品定位与设计理念</w:t>
      </w:r>
    </w:p>
    <w:p>
      <w:pPr>
        <w:spacing w:after="100" w:line="300" w:lineRule="auto"/>
        <w:ind w:firstLine="403"/>
      </w:pPr>
      <w:r>
        <w:rPr>
          <w:rFonts w:ascii="黑体" w:hAnsi="黑体" w:eastAsia="黑体"/>
          <w:b/>
          <w:i w:val="0"/>
          <w:color w:val="1E293B"/>
          <w:sz w:val="21"/>
        </w:rPr>
        <w:t>1. 时代质感与叙事底色：</w:t>
      </w:r>
      <w:r>
        <w:rPr>
          <w:rFonts w:ascii="宋体" w:hAnsi="宋体" w:eastAsia="宋体"/>
          <w:b w:val="0"/>
          <w:i w:val="0"/>
          <w:color w:val="1E293B"/>
          <w:sz w:val="21"/>
        </w:rPr>
        <w:t>作品定位：</w:t>
      </w:r>
    </w:p>
    <w:p>
      <w:pPr>
        <w:spacing w:after="100" w:line="300" w:lineRule="auto"/>
        <w:ind w:firstLine="403"/>
      </w:pPr>
      <w:r>
        <w:rPr>
          <w:rFonts w:ascii="宋体" w:hAnsi="宋体" w:eastAsia="宋体"/>
          <w:b w:val="0"/>
          <w:i w:val="0"/>
          <w:color w:val="1E293B"/>
          <w:sz w:val="21"/>
        </w:rPr>
        <w:t>《潜影》是一款以 1926 年英国乡间庄园为背景的第一人称 3D 推理叙事探索游戏。故事始于侦探伊波利特·格雷应好友安布罗斯·塔尔博特之邀，在深秋冷雨之夜造访奥瑞尔庄园。当晚，庄园主人暴毙于内侧反锁的暗房中，留下一具尸体、一间密室与一家怪异的遗属。游戏以老式银盐相片与暗房摄影术为核心物证纽带，通过密室调查与全庄园探询，引领玩家层层逼近凶案真相。</w:t>
      </w:r>
    </w:p>
    <w:p>
      <w:pPr>
        <w:spacing w:after="100" w:line="300" w:lineRule="auto"/>
        <w:ind w:firstLine="403"/>
      </w:pPr>
      <w:r>
        <w:rPr>
          <w:rFonts w:ascii="黑体" w:hAnsi="黑体" w:eastAsia="黑体"/>
          <w:b/>
          <w:i w:val="0"/>
          <w:color w:val="1E293B"/>
          <w:sz w:val="21"/>
        </w:rPr>
        <w:t>2. 心理学隐喻与核心价值：</w:t>
      </w:r>
      <w:r>
        <w:rPr>
          <w:rFonts w:ascii="宋体" w:hAnsi="宋体" w:eastAsia="宋体"/>
          <w:b w:val="0"/>
          <w:i w:val="0"/>
          <w:color w:val="1E293B"/>
          <w:sz w:val="21"/>
        </w:rPr>
        <w:t>深层立意：</w:t>
      </w:r>
    </w:p>
    <w:p>
      <w:pPr>
        <w:spacing w:after="100" w:line="300" w:lineRule="auto"/>
        <w:ind w:firstLine="403"/>
      </w:pPr>
      <w:r>
        <w:rPr>
          <w:rFonts w:ascii="宋体" w:hAnsi="宋体" w:eastAsia="宋体"/>
          <w:b w:val="0"/>
          <w:i w:val="0"/>
          <w:color w:val="1E293B"/>
          <w:sz w:val="21"/>
        </w:rPr>
        <w:t>“人如何对待由自己分裂、制造出来的‘自己’？”本作在古典阿加莎克里斯蒂式密室悬疑外壳下，构筑了精巧的双层叙事隐喻：庄园中的每位角色（失明的女主人、受创的园丁、灵媒、早夭的幼女），本质上都是同一名精神创伤病人在数字容器中分裂衍生出的人格碎片。叙述者不说谎，但叙述者省略了真相。玩家亲历的不仅是一场凶案探赜，更是一次关于创伤面对、遗忘代价与人格和解的心理求索之旅。</w:t>
      </w:r>
    </w:p>
    <w:p>
      <w:pPr>
        <w:keepNext/>
        <w:spacing w:before="300" w:after="120"/>
      </w:pPr>
      <w:r>
        <w:rPr>
          <w:rFonts w:ascii="黑体" w:hAnsi="黑体" w:eastAsia="黑体"/>
          <w:b/>
          <w:i w:val="0"/>
          <w:color w:val="1A365D"/>
          <w:sz w:val="26"/>
        </w:rPr>
        <w:t>三、核心创新点</w:t>
      </w:r>
    </w:p>
    <w:p>
      <w:pPr>
        <w:keepNext/>
        <w:spacing w:before="220" w:after="80"/>
      </w:pPr>
      <w:r>
        <w:rPr>
          <w:rFonts w:ascii="黑体" w:hAnsi="黑体" w:eastAsia="黑体"/>
          <w:b/>
          <w:i w:val="0"/>
          <w:color w:val="1E293B"/>
          <w:sz w:val="22"/>
        </w:rPr>
        <w:t>▶ 机制与叙事共生的“亲手显影”交互诡计</w:t>
      </w:r>
    </w:p>
    <w:p>
      <w:pPr>
        <w:spacing w:after="100" w:line="300" w:lineRule="auto"/>
        <w:ind w:firstLine="403"/>
      </w:pPr>
      <w:r>
        <w:rPr>
          <w:rFonts w:ascii="宋体" w:hAnsi="宋体" w:eastAsia="宋体"/>
          <w:b w:val="0"/>
          <w:i w:val="0"/>
          <w:color w:val="1E293B"/>
          <w:sz w:val="21"/>
        </w:rPr>
        <w:t>传统悬疑游戏往往依赖文字与长篇播片交代真相，而《潜影》创造性地将“真相揭晓”设计为具象的物理交互：在第六章的暗房中，玩家必须亲自拿起量杯调配药水、将相纸浸入显影盘、晃动托盘等待银盐还原。当暗房红光下逐渐浮现出凶手的肖像竟是玩家扮演的侦探自己时，交互动作与叙事反转达到巅峰，实现了“叙事诡计”与“具身体验”的极高共鸣。</w:t>
      </w:r>
    </w:p>
    <w:p>
      <w:pPr>
        <w:keepNext/>
        <w:spacing w:before="220" w:after="80"/>
      </w:pPr>
      <w:r>
        <w:rPr>
          <w:rFonts w:ascii="黑体" w:hAnsi="黑体" w:eastAsia="黑体"/>
          <w:b/>
          <w:i w:val="0"/>
          <w:color w:val="1E293B"/>
          <w:sz w:val="22"/>
        </w:rPr>
        <w:t>▶ “分镜即数据”的高内聚数据驱动叙事架构</w:t>
      </w:r>
    </w:p>
    <w:p>
      <w:pPr>
        <w:spacing w:after="100" w:line="300" w:lineRule="auto"/>
        <w:ind w:firstLine="403"/>
      </w:pPr>
      <w:r>
        <w:rPr>
          <w:rFonts w:ascii="宋体" w:hAnsi="宋体" w:eastAsia="宋体"/>
          <w:b w:val="0"/>
          <w:i w:val="0"/>
          <w:color w:val="1E293B"/>
          <w:sz w:val="21"/>
        </w:rPr>
        <w:t>团队自主研发了 CSV 驱动的叙事分镜播放引擎，将剧情台词、运镜机位、音效时序与逻辑状态机完全解耦。剧情内容全部维护于数据表中，代码层仅提供标准原子动作白名单。该架构不仅使 86 个复杂镜头的高效流转零 Bug，更为多分支推论（d1—d6）与双结局分流提供了极高扩展性。</w:t>
      </w:r>
    </w:p>
    <w:p>
      <w:pPr>
        <w:keepNext/>
        <w:spacing w:before="220" w:after="80"/>
      </w:pPr>
      <w:r>
        <w:rPr>
          <w:rFonts w:ascii="黑体" w:hAnsi="黑体" w:eastAsia="黑体"/>
          <w:b/>
          <w:i w:val="0"/>
          <w:color w:val="1E293B"/>
          <w:sz w:val="22"/>
        </w:rPr>
        <w:t>▶ 沉浸式 3D 空间取证与心理学循环空间</w:t>
      </w:r>
    </w:p>
    <w:p>
      <w:pPr>
        <w:spacing w:after="100" w:line="300" w:lineRule="auto"/>
        <w:ind w:firstLine="403"/>
      </w:pPr>
      <w:r>
        <w:rPr>
          <w:rFonts w:ascii="宋体" w:hAnsi="宋体" w:eastAsia="宋体"/>
          <w:b w:val="0"/>
          <w:i w:val="0"/>
          <w:color w:val="1E293B"/>
          <w:sz w:val="21"/>
        </w:rPr>
        <w:t>打破“找寻发光像素点”的传统探案交互，游戏参考类《生化危机》的 3D 实物 360 度检视判定系统，玩家可将证物拿在手中任意旋转、拉近，寻找暗刻在秒表背面或相框夹层中的线索；同时，第五章打造了以唱针与唱片循环为机制的“回廊”空间（致敬 P.T. 空间循环异化），空间随探索层层异化，带来极强的心理压迫感。</w:t>
      </w:r>
    </w:p>
    <w:p>
      <w:pPr>
        <w:keepNext/>
        <w:spacing w:before="300" w:after="120"/>
      </w:pPr>
      <w:r>
        <w:rPr>
          <w:rFonts w:ascii="黑体" w:hAnsi="黑体" w:eastAsia="黑体"/>
          <w:b/>
          <w:i w:val="0"/>
          <w:color w:val="1A365D"/>
          <w:sz w:val="26"/>
        </w:rPr>
        <w:t>四、技术实现方法</w:t>
      </w:r>
    </w:p>
    <w:p>
      <w:pPr>
        <w:spacing w:after="100" w:line="300" w:lineRule="auto"/>
        <w:ind w:firstLine="403"/>
      </w:pPr>
      <w:r>
        <w:rPr>
          <w:rFonts w:ascii="宋体" w:hAnsi="宋体" w:eastAsia="宋体"/>
          <w:b w:val="0"/>
          <w:i w:val="0"/>
          <w:color w:val="1E293B"/>
          <w:sz w:val="21"/>
        </w:rPr>
        <w:t>1. 引擎与渲染管线：基于开源 Godot 4.7 Forward+ 渲染管线，针对 1926 年代历史质感，自主编写了专用胶片噪点、动态暗角及暗房猩红光衰减 Shader；通过金属光泽与粗糙度微调，实现了逼真的古董暗房器械与湿润石板表现。</w:t>
      </w:r>
    </w:p>
    <w:p>
      <w:pPr>
        <w:spacing w:after="100" w:line="300" w:lineRule="auto"/>
        <w:ind w:firstLine="403"/>
      </w:pPr>
      <w:r>
        <w:rPr>
          <w:rFonts w:ascii="宋体" w:hAnsi="宋体" w:eastAsia="宋体"/>
          <w:b w:val="0"/>
          <w:i w:val="0"/>
          <w:color w:val="1E293B"/>
          <w:sz w:val="21"/>
        </w:rPr>
        <w:t>2. 严谨的三维空间工程 SOP：制定了严格的《3D 建模工作流 SOP》，在 Blender 中以 1.6m 狭廊与 2.9m 层高为基准机位，通过白模尺寸对齐、8% 几何公差约束与物理碰撞体规范，保证了 16 个房间场景无缝串联且零穿模。</w:t>
      </w:r>
    </w:p>
    <w:p>
      <w:pPr>
        <w:spacing w:after="100" w:line="300" w:lineRule="auto"/>
        <w:ind w:firstLine="403"/>
      </w:pPr>
      <w:r>
        <w:rPr>
          <w:rFonts w:ascii="宋体" w:hAnsi="宋体" w:eastAsia="宋体"/>
          <w:b w:val="0"/>
          <w:i w:val="0"/>
          <w:color w:val="1E293B"/>
          <w:sz w:val="21"/>
        </w:rPr>
        <w:t>3. 全链路自动化体检（CI/CD）：研发了无头模式自动化测试套件（validate_content.gd、probe_map.gd、autoplay.gd），一键执行表格交叉校验、大地图连通性验证与全自动主线通关，确保交付成果质量卓越。</w:t>
      </w:r>
    </w:p>
    <w:p>
      <w:pPr>
        <w:spacing w:before="120" w:after="4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godot_darkroom.png"/>
                    <pic:cNvPicPr/>
                  </pic:nvPicPr>
                  <pic:blipFill>
                    <a:blip r:embed="rId9"/>
                    <a:stretch>
                      <a:fillRect/>
                    </a:stretch>
                  </pic:blipFill>
                  <pic:spPr>
                    <a:xfrm>
                      <a:off x="0" y="0"/>
                      <a:ext cx="5303520" cy="2983230"/>
                    </a:xfrm>
                    <a:prstGeom prst="rect"/>
                  </pic:spPr>
                </pic:pic>
              </a:graphicData>
            </a:graphic>
          </wp:inline>
        </w:drawing>
      </w:r>
    </w:p>
    <w:p>
      <w:pPr>
        <w:spacing w:before="0" w:after="160"/>
        <w:jc w:val="center"/>
      </w:pPr>
      <w:r>
        <w:rPr>
          <w:rFonts w:ascii="楷体" w:hAnsi="楷体" w:eastAsia="楷体"/>
          <w:b w:val="0"/>
          <w:i w:val="0"/>
          <w:color w:val="64748B"/>
          <w:sz w:val="18"/>
        </w:rPr>
        <w:t>图 1：Godot 4.7 引擎正式关卡实机渲染帧（第一章暗房命案现场）</w:t>
      </w:r>
    </w:p>
    <w:p>
      <w:pPr>
        <w:keepNext/>
        <w:spacing w:before="300" w:after="120"/>
      </w:pPr>
      <w:r>
        <w:rPr>
          <w:rFonts w:ascii="黑体" w:hAnsi="黑体" w:eastAsia="黑体"/>
          <w:b/>
          <w:i w:val="0"/>
          <w:color w:val="1A365D"/>
          <w:sz w:val="26"/>
        </w:rPr>
        <w:t>五、成果状态与完整度</w:t>
      </w:r>
    </w:p>
    <w:p>
      <w:pPr>
        <w:spacing w:after="100" w:line="300" w:lineRule="auto"/>
        <w:ind w:firstLine="403"/>
      </w:pPr>
      <w:r>
        <w:rPr>
          <w:rFonts w:ascii="宋体" w:hAnsi="宋体" w:eastAsia="宋体"/>
          <w:b w:val="0"/>
          <w:i w:val="0"/>
          <w:color w:val="1E293B"/>
          <w:sz w:val="21"/>
        </w:rPr>
        <w:t>目前作品已处于【完整可交付试玩】状态：</w:t>
      </w:r>
    </w:p>
    <w:p>
      <w:pPr>
        <w:spacing w:after="100" w:line="300" w:lineRule="auto"/>
        <w:ind w:firstLine="403"/>
      </w:pPr>
      <w:r>
        <w:rPr>
          <w:rFonts w:ascii="宋体" w:hAnsi="宋体" w:eastAsia="宋体"/>
          <w:b w:val="0"/>
          <w:i w:val="0"/>
          <w:color w:val="1E293B"/>
          <w:sz w:val="21"/>
        </w:rPr>
        <w:t>• 8 大关卡纵向全线贯通：序章、第一章（死者）、第二章（女主人）、第三章（小女孩）、第四章（园丁）、第五章（灵媒）、第六章（显影）、第七章（终局）。</w:t>
      </w:r>
    </w:p>
    <w:p>
      <w:pPr>
        <w:spacing w:after="100" w:line="300" w:lineRule="auto"/>
        <w:ind w:firstLine="403"/>
      </w:pPr>
      <w:r>
        <w:rPr>
          <w:rFonts w:ascii="宋体" w:hAnsi="宋体" w:eastAsia="宋体"/>
          <w:b w:val="0"/>
          <w:i w:val="0"/>
          <w:color w:val="1E293B"/>
          <w:sz w:val="21"/>
        </w:rPr>
        <w:t>• 丰富可交互资产：16 个庄园房间场景、86 个电影级运镜分镜、68 处可检视 3D 物品、59 张核心证据卡片。</w:t>
      </w:r>
    </w:p>
    <w:p>
      <w:pPr>
        <w:spacing w:after="100" w:line="300" w:lineRule="auto"/>
        <w:ind w:firstLine="403"/>
      </w:pPr>
      <w:r>
        <w:rPr>
          <w:rFonts w:ascii="宋体" w:hAnsi="宋体" w:eastAsia="宋体"/>
          <w:b w:val="0"/>
          <w:i w:val="0"/>
          <w:color w:val="1E293B"/>
          <w:sz w:val="21"/>
        </w:rPr>
        <w:t>• 完备的输入与平台支持：完整适配键盘鼠标与游戏手柄双模操作；通过自动化无头通关验证，达到 0 严重错误的工程健壮性。</w:t>
      </w:r>
    </w:p>
    <w:p>
      <w:pPr>
        <w:keepNext/>
        <w:spacing w:before="300" w:after="120"/>
      </w:pPr>
      <w:r>
        <w:rPr>
          <w:rFonts w:ascii="黑体" w:hAnsi="黑体" w:eastAsia="黑体"/>
          <w:b/>
          <w:i w:val="0"/>
          <w:color w:val="1A365D"/>
          <w:sz w:val="26"/>
        </w:rPr>
        <w:t>六、学生原创贡献与工作边界</w:t>
      </w:r>
    </w:p>
    <w:p>
      <w:pPr>
        <w:spacing w:after="100" w:line="300" w:lineRule="auto"/>
        <w:ind w:firstLine="403"/>
      </w:pPr>
      <w:r>
        <w:rPr>
          <w:rFonts w:ascii="宋体" w:hAnsi="宋体" w:eastAsia="宋体"/>
          <w:b w:val="0"/>
          <w:i w:val="0"/>
          <w:color w:val="1E293B"/>
          <w:sz w:val="21"/>
        </w:rPr>
        <w:t>学生团队独立承担了作品的顶层策划、世界观哲学构思、剧本创作、解耦技术架构设计、全部 16 个场景的 3D 实景建模摆放、灯光烘焙、核心 Shader 编写与全流程测试调优。在开发过程中合理利用 AI 工具作为代码辅助与概念草图探索助手，学生始终牢牢掌握逻辑定义权、艺术取舍权与最终工程交付标准。</w:t>
      </w:r>
    </w:p>
    <w:p>
      <w:pPr>
        <w:keepNext/>
        <w:spacing w:before="300" w:after="120"/>
      </w:pPr>
      <w:r>
        <w:rPr>
          <w:rFonts w:ascii="黑体" w:hAnsi="黑体" w:eastAsia="黑体"/>
          <w:b/>
          <w:i w:val="0"/>
          <w:color w:val="1A365D"/>
          <w:sz w:val="26"/>
        </w:rPr>
        <w:t>七、应用价值与推广前景</w:t>
      </w:r>
    </w:p>
    <w:p>
      <w:pPr>
        <w:spacing w:after="100" w:line="300" w:lineRule="auto"/>
        <w:ind w:firstLine="403"/>
      </w:pPr>
      <w:r>
        <w:rPr>
          <w:rFonts w:ascii="宋体" w:hAnsi="宋体" w:eastAsia="宋体"/>
          <w:b w:val="0"/>
          <w:i w:val="0"/>
          <w:color w:val="1E293B"/>
          <w:sz w:val="21"/>
        </w:rPr>
        <w:t>1. 互动叙事新标杆：为高校数字媒体艺术与数字游戏设计专业提供了“分镜即数据”的工业级研发范例，推动文学性表达在 3D 交互媒介中的创新落地。</w:t>
      </w:r>
    </w:p>
    <w:p>
      <w:pPr>
        <w:spacing w:after="100" w:line="300" w:lineRule="auto"/>
        <w:ind w:firstLine="403"/>
      </w:pPr>
      <w:r>
        <w:rPr>
          <w:rFonts w:ascii="宋体" w:hAnsi="宋体" w:eastAsia="宋体"/>
          <w:b w:val="0"/>
          <w:i w:val="0"/>
          <w:color w:val="1E293B"/>
          <w:sz w:val="21"/>
        </w:rPr>
        <w:t>2. 沉浸式心理体验探索：作品对多重人格与心理创伤的严肃探讨，具备向心理健康科普、互动式数字化艺术展览延伸的广泛应用潜力。</w:t>
      </w:r>
    </w:p>
    <w:p>
      <w:pPr>
        <w:spacing w:before="320" w:after="40"/>
        <w:jc w:val="right"/>
      </w:pPr>
      <w:r>
        <w:rPr>
          <w:rFonts w:ascii="黑体" w:hAnsi="黑体" w:eastAsia="黑体"/>
          <w:b/>
          <w:i w:val="0"/>
          <w:color w:val="1A365D"/>
          <w:sz w:val="21"/>
        </w:rPr>
        <w:t>参赛团队确认：本说明内容真实有效，特此提交评审专家审阅。</w:t>
        <w:br/>
      </w:r>
      <w:r>
        <w:rPr>
          <w:rFonts w:ascii="宋体" w:hAnsi="宋体" w:eastAsia="宋体"/>
          <w:b w:val="0"/>
          <w:i w:val="0"/>
          <w:color w:val="1E293B"/>
          <w:sz w:val="21"/>
        </w:rPr>
        <w:t>日期：2026 年 10 月 23 日</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