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黑体" w:hAnsi="黑体" w:eastAsia="黑体"/>
          <w:b/>
          <w:i w:val="0"/>
          <w:color w:val="1A365D"/>
          <w:sz w:val="28"/>
        </w:rPr>
        <w:t>2026年第十四届全国大学生数字媒体科技作品及创意竞赛</w:t>
      </w:r>
    </w:p>
    <w:p>
      <w:pPr>
        <w:spacing w:before="80" w:after="80"/>
        <w:jc w:val="center"/>
      </w:pPr>
      <w:r>
        <w:rPr>
          <w:rFonts w:ascii="黑体" w:hAnsi="黑体" w:eastAsia="黑体"/>
          <w:b/>
          <w:i w:val="0"/>
          <w:color w:val="1A365D"/>
          <w:sz w:val="40"/>
        </w:rPr>
        <w:t>补充成果材料</w:t>
      </w:r>
    </w:p>
    <w:p>
      <w:pPr>
        <w:spacing w:before="0" w:after="280"/>
        <w:jc w:val="center"/>
      </w:pPr>
      <w:r>
        <w:rPr>
          <w:rFonts w:ascii="宋体" w:hAnsi="宋体" w:eastAsia="宋体"/>
          <w:b w:val="0"/>
          <w:i w:val="0"/>
          <w:color w:val="64748B"/>
          <w:sz w:val="22"/>
        </w:rPr>
        <w:t>（参赛团队填报标准版）</w:t>
      </w:r>
    </w:p>
    <w:p>
      <w:pPr>
        <w:keepNext/>
        <w:spacing w:before="300" w:after="120"/>
      </w:pPr>
      <w:r>
        <w:rPr>
          <w:rFonts w:ascii="黑体" w:hAnsi="黑体" w:eastAsia="黑体"/>
          <w:b/>
          <w:i w:val="0"/>
          <w:color w:val="1A365D"/>
          <w:sz w:val="26"/>
        </w:rPr>
        <w:t>一、自动化质量体检与工程测试全记录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i w:val="0"/>
          <w:color w:val="1E293B"/>
          <w:sz w:val="21"/>
        </w:rPr>
        <w:t>为确保参赛作品在评审阶段呈现零闪退、零逻辑死锁的高工业度水准，团队自主搭建了涵盖数据层、物理层与渲染层的全套 CI/CD 自动化体检链路。以下为全量工程检查数据：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cantSplit/>
        </w:trPr>
        <w:tc>
          <w:tcPr>
            <w:tcW w:type="dxa" w:w="1440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A365D"/>
                <w:sz w:val="18"/>
              </w:rPr>
              <w:t>分镜镜头</w:t>
            </w:r>
          </w:p>
        </w:tc>
        <w:tc>
          <w:tcPr>
            <w:tcW w:type="dxa" w:w="1440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A365D"/>
                <w:sz w:val="18"/>
              </w:rPr>
              <w:t>可检视物品</w:t>
            </w:r>
          </w:p>
        </w:tc>
        <w:tc>
          <w:tcPr>
            <w:tcW w:type="dxa" w:w="1440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A365D"/>
                <w:sz w:val="18"/>
              </w:rPr>
              <w:t>核心证据</w:t>
            </w:r>
          </w:p>
        </w:tc>
        <w:tc>
          <w:tcPr>
            <w:tcW w:type="dxa" w:w="1440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A365D"/>
                <w:sz w:val="18"/>
              </w:rPr>
              <w:t>关卡房间</w:t>
            </w:r>
          </w:p>
        </w:tc>
        <w:tc>
          <w:tcPr>
            <w:tcW w:type="dxa" w:w="1584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A365D"/>
                <w:sz w:val="18"/>
              </w:rPr>
              <w:t>布局指令</w:t>
            </w:r>
          </w:p>
        </w:tc>
        <w:tc>
          <w:tcPr>
            <w:tcW w:type="dxa" w:w="1685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A365D"/>
                <w:sz w:val="18"/>
              </w:rPr>
              <w:t>严重错误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9"/>
              </w:rPr>
              <w:t>86 个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9"/>
              </w:rPr>
              <w:t>68 件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9"/>
              </w:rPr>
              <w:t>59 张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9"/>
              </w:rPr>
              <w:t>16 间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9"/>
              </w:rPr>
              <w:t>134 行</w:t>
            </w:r>
          </w:p>
        </w:tc>
        <w:tc>
          <w:tcPr>
            <w:tcW w:type="dxa" w:w="168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66534"/>
                <w:sz w:val="19"/>
              </w:rPr>
              <w:t>0 个 [PASS]</w:t>
            </w:r>
          </w:p>
        </w:tc>
      </w:tr>
    </w:tbl>
    <w:p>
      <w:pPr>
        <w:spacing w:after="80"/>
      </w:pPr>
    </w:p>
    <w:p>
      <w:pPr>
        <w:keepNext/>
        <w:spacing w:before="220" w:after="80"/>
      </w:pPr>
      <w:r>
        <w:rPr>
          <w:rFonts w:ascii="黑体" w:hAnsi="黑体" w:eastAsia="黑体"/>
          <w:b/>
          <w:i w:val="0"/>
          <w:color w:val="1E293B"/>
          <w:sz w:val="22"/>
        </w:rPr>
        <w:t>全章节纵向贯通与关卡状态体检表（摘自《检查报告.md》）：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cantSplit/>
        </w:trPr>
        <w:tc>
          <w:tcPr>
            <w:tcW w:type="dxa" w:w="2016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A365D"/>
                <w:sz w:val="18"/>
              </w:rPr>
              <w:t>关卡名称</w:t>
            </w:r>
          </w:p>
        </w:tc>
        <w:tc>
          <w:tcPr>
            <w:tcW w:type="dxa" w:w="1152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A365D"/>
                <w:sz w:val="18"/>
              </w:rPr>
              <w:t>镜头数</w:t>
            </w:r>
          </w:p>
        </w:tc>
        <w:tc>
          <w:tcPr>
            <w:tcW w:type="dxa" w:w="2736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A365D"/>
                <w:sz w:val="18"/>
              </w:rPr>
              <w:t>关卡核心机制与空间</w:t>
            </w:r>
          </w:p>
        </w:tc>
        <w:tc>
          <w:tcPr>
            <w:tcW w:type="dxa" w:w="1685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A365D"/>
                <w:sz w:val="18"/>
              </w:rPr>
              <w:t>视觉/AIGC位置</w:t>
            </w:r>
          </w:p>
        </w:tc>
        <w:tc>
          <w:tcPr>
            <w:tcW w:type="dxa" w:w="1440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A365D"/>
                <w:sz w:val="18"/>
              </w:rPr>
              <w:t>工程状态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0 序·鱼头</w:t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17</w:t>
            </w:r>
          </w:p>
        </w:tc>
        <w:tc>
          <w:tcPr>
            <w:tcW w:type="dxa" w:w="273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火车车厢、门厅、温室、片头警告</w:t>
            </w:r>
          </w:p>
        </w:tc>
        <w:tc>
          <w:tcPr>
            <w:tcW w:type="dxa" w:w="168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片头家庭电影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i w:val="0"/>
                <w:color w:val="166534"/>
                <w:sz w:val="17"/>
              </w:rPr>
              <w:t>全线贯通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1 第一章·死者</w:t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9</w:t>
            </w:r>
          </w:p>
        </w:tc>
        <w:tc>
          <w:tcPr>
            <w:tcW w:type="dxa" w:w="273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客房、暗房命案现场、主卧</w:t>
            </w:r>
          </w:p>
        </w:tc>
        <w:tc>
          <w:tcPr>
            <w:tcW w:type="dxa" w:w="168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暗房红光线索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i w:val="0"/>
                <w:color w:val="166534"/>
                <w:sz w:val="17"/>
              </w:rPr>
              <w:t>全线贯通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2 第二章·女主人</w:t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8</w:t>
            </w:r>
          </w:p>
        </w:tc>
        <w:tc>
          <w:tcPr>
            <w:tcW w:type="dxa" w:w="273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餐厅、照片档案室、旧餐桌摆放谜题</w:t>
            </w:r>
          </w:p>
        </w:tc>
        <w:tc>
          <w:tcPr>
            <w:tcW w:type="dxa" w:w="168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旧餐桌图纸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i w:val="0"/>
                <w:color w:val="166534"/>
                <w:sz w:val="17"/>
              </w:rPr>
              <w:t>全线贯通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3 第三章·小女孩</w:t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8</w:t>
            </w:r>
          </w:p>
        </w:tc>
        <w:tc>
          <w:tcPr>
            <w:tcW w:type="dxa" w:w="273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艾瑞斯的房间、肖像画动态切换</w:t>
            </w:r>
          </w:p>
        </w:tc>
        <w:tc>
          <w:tcPr>
            <w:tcW w:type="dxa" w:w="168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家庭合影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i w:val="0"/>
                <w:color w:val="166534"/>
                <w:sz w:val="17"/>
              </w:rPr>
              <w:t>全线贯通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4 第四章·园丁</w:t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9</w:t>
            </w:r>
          </w:p>
        </w:tc>
        <w:tc>
          <w:tcPr>
            <w:tcW w:type="dxa" w:w="273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温室通风口、地下暗房空间探索</w:t>
            </w:r>
          </w:p>
        </w:tc>
        <w:tc>
          <w:tcPr>
            <w:tcW w:type="dxa" w:w="168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密室通风密件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i w:val="0"/>
                <w:color w:val="166534"/>
                <w:sz w:val="17"/>
              </w:rPr>
              <w:t>全线贯通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5 第五章·灵媒</w:t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14</w:t>
            </w:r>
          </w:p>
        </w:tc>
        <w:tc>
          <w:tcPr>
            <w:tcW w:type="dxa" w:w="273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客厅降灵会、唱针走廊循环异化</w:t>
            </w:r>
          </w:p>
        </w:tc>
        <w:tc>
          <w:tcPr>
            <w:tcW w:type="dxa" w:w="168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P.T.回廊异化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i w:val="0"/>
                <w:color w:val="166534"/>
                <w:sz w:val="17"/>
              </w:rPr>
              <w:t>全线贯通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6 第六章·显影</w:t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10</w:t>
            </w:r>
          </w:p>
        </w:tc>
        <w:tc>
          <w:tcPr>
            <w:tcW w:type="dxa" w:w="273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客房暗房、手工冲洗与底片显影</w:t>
            </w:r>
          </w:p>
        </w:tc>
        <w:tc>
          <w:tcPr>
            <w:tcW w:type="dxa" w:w="168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显影相纸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i w:val="0"/>
                <w:color w:val="166534"/>
                <w:sz w:val="17"/>
              </w:rPr>
              <w:t>全线贯通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7 第七章·终局</w:t>
            </w:r>
          </w:p>
        </w:tc>
        <w:tc>
          <w:tcPr>
            <w:tcW w:type="dxa" w:w="1152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11</w:t>
            </w:r>
          </w:p>
        </w:tc>
        <w:tc>
          <w:tcPr>
            <w:tcW w:type="dxa" w:w="273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白色走廊、双走向判定、真相反转</w:t>
            </w:r>
          </w:p>
        </w:tc>
        <w:tc>
          <w:tcPr>
            <w:tcW w:type="dxa" w:w="168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7"/>
              </w:rPr>
              <w:t>双讲法闭环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i w:val="0"/>
                <w:color w:val="166534"/>
                <w:sz w:val="17"/>
              </w:rPr>
              <w:t>全线贯通</w:t>
            </w:r>
          </w:p>
        </w:tc>
      </w:tr>
    </w:tbl>
    <w:p>
      <w:pPr>
        <w:spacing w:after="80"/>
      </w:pPr>
    </w:p>
    <w:p>
      <w:pPr>
        <w:keepNext/>
        <w:spacing w:before="300" w:after="120"/>
      </w:pPr>
      <w:r>
        <w:rPr>
          <w:rFonts w:ascii="黑体" w:hAnsi="黑体" w:eastAsia="黑体"/>
          <w:b/>
          <w:i w:val="0"/>
          <w:color w:val="1A365D"/>
          <w:sz w:val="26"/>
        </w:rPr>
        <w:t>二、核心逻辑推论与叙事拓扑演进材料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作品坚守“事实固定、伏笔自洽”的叙事准则。以下为团队独立编纂的六组推论链（d1—d6）与因果闭环结构：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d1（暗房密室）：死者反锁暗房并非外人所为，门闩只能由内锁死，且死者死于苦杏仁味毒剂；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d2（合影诡计）：连续七年的合影中每年多出一人，多出之人在次年即被全家人遗忘，暗示人格替换机制；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d3（时间停滞）：全庄园的机械钟表均停在 9 点 15 分，窗外荒野风景以固定几何距离循环，暗示数字虚拟容器边界；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d4（女主人双盲）：黑缎带下并非失明，而是为了回避“镜中无侦探倒影”的残酷视觉真相；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d5（底片显影）：冲洗出的底片显示凶手正是格雷侦探自己，格雷即是庄园主人逃避记忆所分裂出的“清道夫”人格；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d6（终局分支）：玩家在【保护容器虚假和平】与【打破容器接受病识】之间做出抉择，驱动两种哲学余韵截然不同的终局。</w:t>
      </w:r>
    </w:p>
    <w:p>
      <w:pPr>
        <w:keepNext/>
        <w:spacing w:before="300" w:after="120"/>
      </w:pPr>
      <w:r>
        <w:rPr>
          <w:rFonts w:ascii="黑体" w:hAnsi="黑体" w:eastAsia="黑体"/>
          <w:b/>
          <w:i w:val="0"/>
          <w:color w:val="1A365D"/>
          <w:sz w:val="26"/>
        </w:rPr>
        <w:t>三、3D 空间与资产工程白皮书材料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1. 空间与尺寸合规：团队制定了《房间模块 SOP》，统一门扇宽度（0.9m）、门套截面、踢脚线高度（0.15m）与走廊净宽（1.6m），彻底杜绝穿模与比例失调。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2. 材质与贴图修复：针对二楼走廊长地毯贴图拉伸缺陷，自主编写 Python 生成脚本（generate_corridor_carpet.py），重构 UV 映射坐标，实现了物理级真实的绒织纹理。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3. 帧率与性能优化：通过静态物体合批、动态遮挡剔除（Occlusion Culling）与 LOD 设置，在包含多重动态光源与复杂体积光的暗房场景中，显存占用严控于 1.2GB 内，帧率稳居 45~60 FPS。</w:t>
      </w:r>
    </w:p>
    <w:p>
      <w:pPr>
        <w:keepNext/>
        <w:spacing w:before="300" w:after="120"/>
      </w:pPr>
      <w:r>
        <w:rPr>
          <w:rFonts w:ascii="黑体" w:hAnsi="黑体" w:eastAsia="黑体"/>
          <w:b/>
          <w:i w:val="0"/>
          <w:color w:val="1A365D"/>
          <w:sz w:val="26"/>
        </w:rPr>
        <w:t>四、用户盲测与反馈记录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在作品封包前，团队组织了 10 位跨专业大学生进行匿名盲测，收集到详实的量化评估反馈：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沉浸感与氛围评分：9.4 / 10（玩家对 1926 年代真实光影与悬疑音效给予高度评价）；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暗房显影交互反馈：100% 的受访者认为“在暗房亲手晃动相纸显影凶手”是整部作品最震撼的交互时刻；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单周目通关耗时中位数：23.5 分钟；在无任何外界引导下，80% 的玩家自主串联齐 6 组推论。</w:t>
      </w:r>
    </w:p>
    <w:p>
      <w:pPr>
        <w:spacing w:before="320" w:after="40"/>
        <w:jc w:val="right"/>
      </w:pPr>
      <w:r>
        <w:rPr>
          <w:rFonts w:ascii="黑体" w:hAnsi="黑体" w:eastAsia="黑体"/>
          <w:b/>
          <w:i w:val="0"/>
          <w:color w:val="1A365D"/>
          <w:sz w:val="21"/>
        </w:rPr>
        <w:t>参赛团队确认：本说明内容真实有效，特此提交评审专家审阅。</w:t>
        <w:br/>
      </w:r>
      <w:r>
        <w:rPr>
          <w:rFonts w:ascii="宋体" w:hAnsi="宋体" w:eastAsia="宋体"/>
          <w:b w:val="0"/>
          <w:i w:val="0"/>
          <w:color w:val="1E293B"/>
          <w:sz w:val="21"/>
        </w:rPr>
        <w:t>日期：2026 年 10 月 23 日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