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黑体" w:hAnsi="黑体" w:eastAsia="黑体"/>
          <w:b/>
          <w:i w:val="0"/>
          <w:color w:val="1A365D"/>
          <w:sz w:val="28"/>
        </w:rPr>
        <w:t>2026年第十四届全国大学生数字媒体科技作品及创意竞赛</w:t>
      </w:r>
    </w:p>
    <w:p>
      <w:pPr>
        <w:spacing w:before="80" w:after="80"/>
        <w:jc w:val="center"/>
      </w:pPr>
      <w:r>
        <w:rPr>
          <w:rFonts w:ascii="黑体" w:hAnsi="黑体" w:eastAsia="黑体"/>
          <w:b/>
          <w:i w:val="0"/>
          <w:color w:val="1A365D"/>
          <w:sz w:val="40"/>
        </w:rPr>
        <w:t>第三方资源说明</w:t>
      </w:r>
    </w:p>
    <w:p>
      <w:pPr>
        <w:spacing w:before="0" w:after="280"/>
        <w:jc w:val="center"/>
      </w:pPr>
      <w:r>
        <w:rPr>
          <w:rFonts w:ascii="宋体" w:hAnsi="宋体" w:eastAsia="宋体"/>
          <w:b w:val="0"/>
          <w:i w:val="0"/>
          <w:color w:val="64748B"/>
          <w:sz w:val="22"/>
        </w:rPr>
        <w:t>（参赛团队填报标准版）</w:t>
      </w:r>
    </w:p>
    <w:p>
      <w:pPr>
        <w:keepNext/>
        <w:spacing w:before="300" w:after="120"/>
      </w:pPr>
      <w:r>
        <w:rPr>
          <w:rFonts w:ascii="黑体" w:hAnsi="黑体" w:eastAsia="黑体"/>
          <w:b/>
          <w:i w:val="0"/>
          <w:color w:val="1A365D"/>
          <w:sz w:val="26"/>
        </w:rPr>
        <w:t>一、合规声明与知识产权保证</w:t>
      </w:r>
    </w:p>
    <w:p>
      <w:pPr>
        <w:spacing w:after="100" w:line="300" w:lineRule="auto"/>
      </w:pPr>
      <w:r>
        <w:rPr>
          <w:rFonts w:ascii="宋体" w:hAnsi="宋体" w:eastAsia="宋体"/>
          <w:b w:val="0"/>
          <w:i w:val="0"/>
          <w:color w:val="1E293B"/>
          <w:sz w:val="21"/>
        </w:rPr>
        <w:t>本参赛团队承诺，提交作品《潜影》（Latent Image）—— 奥瑞尔庄园 · 一九二六严格遵守中华人民共和国知识产权法律法规及本届竞赛章程。作品中除学生独立原创内容外，所引用的第三方软件、引擎、开源代码、音频、字体及工具均具备合法许可与授权依据，权利来源清晰，无任何侵权纠纷与商业秘密泄露风险。</w:t>
      </w:r>
    </w:p>
    <w:p>
      <w:pPr>
        <w:keepNext/>
        <w:spacing w:before="300" w:after="120"/>
      </w:pPr>
      <w:r>
        <w:rPr>
          <w:rFonts w:ascii="黑体" w:hAnsi="黑体" w:eastAsia="黑体"/>
          <w:b/>
          <w:i w:val="0"/>
          <w:color w:val="1A365D"/>
          <w:sz w:val="26"/>
        </w:rPr>
        <w:t>二、主要第三方资源清单</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806"/>
        <w:gridCol w:w="1806"/>
        <w:gridCol w:w="1806"/>
        <w:gridCol w:w="1806"/>
        <w:gridCol w:w="1806"/>
      </w:tblGrid>
      <w:tr>
        <w:trPr>
          <w:cantSplit/>
        </w:trPr>
        <w:tc>
          <w:tcPr>
            <w:tcW w:type="dxa" w:w="1728"/>
            <w:vAlign w:val="center"/>
            <w:shd w:fill="F1F5F9"/>
            <w:tcMar>
              <w:top w:w="100" w:type="dxa"/>
              <w:bottom w:w="100" w:type="dxa"/>
              <w:left w:w="140" w:type="dxa"/>
              <w:right w:w="140" w:type="dxa"/>
            </w:tcMar>
          </w:tcPr>
          <w:p>
            <w:pPr>
              <w:jc w:val="center"/>
            </w:pPr>
            <w:r>
              <w:rPr>
                <w:rFonts w:ascii="黑体" w:hAnsi="黑体" w:eastAsia="黑体"/>
                <w:b/>
                <w:i w:val="0"/>
                <w:color w:val="1A365D"/>
                <w:sz w:val="18"/>
              </w:rPr>
              <w:t>资源类别</w:t>
            </w:r>
          </w:p>
        </w:tc>
        <w:tc>
          <w:tcPr>
            <w:tcW w:type="dxa" w:w="1728"/>
            <w:vAlign w:val="center"/>
            <w:shd w:fill="F1F5F9"/>
            <w:tcMar>
              <w:top w:w="100" w:type="dxa"/>
              <w:bottom w:w="100" w:type="dxa"/>
              <w:left w:w="140" w:type="dxa"/>
              <w:right w:w="140" w:type="dxa"/>
            </w:tcMar>
          </w:tcPr>
          <w:p>
            <w:pPr>
              <w:jc w:val="center"/>
            </w:pPr>
            <w:r>
              <w:rPr>
                <w:rFonts w:ascii="黑体" w:hAnsi="黑体" w:eastAsia="黑体"/>
                <w:b/>
                <w:i w:val="0"/>
                <w:color w:val="1A365D"/>
                <w:sz w:val="18"/>
              </w:rPr>
              <w:t>资源名称</w:t>
            </w:r>
          </w:p>
        </w:tc>
        <w:tc>
          <w:tcPr>
            <w:tcW w:type="dxa" w:w="1728"/>
            <w:vAlign w:val="center"/>
            <w:shd w:fill="F1F5F9"/>
            <w:tcMar>
              <w:top w:w="100" w:type="dxa"/>
              <w:bottom w:w="100" w:type="dxa"/>
              <w:left w:w="140" w:type="dxa"/>
              <w:right w:w="140" w:type="dxa"/>
            </w:tcMar>
          </w:tcPr>
          <w:p>
            <w:pPr>
              <w:jc w:val="center"/>
            </w:pPr>
            <w:r>
              <w:rPr>
                <w:rFonts w:ascii="黑体" w:hAnsi="黑体" w:eastAsia="黑体"/>
                <w:b/>
                <w:i w:val="0"/>
                <w:color w:val="1A365D"/>
                <w:sz w:val="18"/>
              </w:rPr>
              <w:t>来源 / 权利方</w:t>
            </w:r>
          </w:p>
        </w:tc>
        <w:tc>
          <w:tcPr>
            <w:tcW w:type="dxa" w:w="2117"/>
            <w:vAlign w:val="center"/>
            <w:shd w:fill="F1F5F9"/>
            <w:tcMar>
              <w:top w:w="100" w:type="dxa"/>
              <w:bottom w:w="100" w:type="dxa"/>
              <w:left w:w="140" w:type="dxa"/>
              <w:right w:w="140" w:type="dxa"/>
            </w:tcMar>
          </w:tcPr>
          <w:p>
            <w:pPr>
              <w:jc w:val="center"/>
            </w:pPr>
            <w:r>
              <w:rPr>
                <w:rFonts w:ascii="黑体" w:hAnsi="黑体" w:eastAsia="黑体"/>
                <w:b/>
                <w:i w:val="0"/>
                <w:color w:val="1A365D"/>
                <w:sz w:val="18"/>
              </w:rPr>
              <w:t>在作品中的实际用途</w:t>
            </w:r>
          </w:p>
        </w:tc>
        <w:tc>
          <w:tcPr>
            <w:tcW w:type="dxa" w:w="1728"/>
            <w:vAlign w:val="center"/>
            <w:shd w:fill="F1F5F9"/>
            <w:tcMar>
              <w:top w:w="100" w:type="dxa"/>
              <w:bottom w:w="100" w:type="dxa"/>
              <w:left w:w="140" w:type="dxa"/>
              <w:right w:w="140" w:type="dxa"/>
            </w:tcMar>
          </w:tcPr>
          <w:p>
            <w:pPr>
              <w:jc w:val="center"/>
            </w:pPr>
            <w:r>
              <w:rPr>
                <w:rFonts w:ascii="黑体" w:hAnsi="黑体" w:eastAsia="黑体"/>
                <w:b/>
                <w:i w:val="0"/>
                <w:color w:val="1A365D"/>
                <w:sz w:val="18"/>
              </w:rPr>
              <w:t>授权或许可协议</w:t>
            </w:r>
          </w:p>
        </w:tc>
      </w:tr>
      <w:tr>
        <w:trPr>
          <w:cantSplit/>
        </w:trPr>
        <w:tc>
          <w:tcPr>
            <w:tcW w:type="dxa" w:w="1728"/>
            <w:vAlign w:val="center"/>
            <w:shd w:fill="FFFFFF"/>
            <w:tcMar>
              <w:top w:w="100" w:type="dxa"/>
              <w:bottom w:w="100" w:type="dxa"/>
              <w:left w:w="140" w:type="dxa"/>
              <w:right w:w="140" w:type="dxa"/>
            </w:tcMar>
          </w:tcPr>
          <w:p>
            <w:pPr>
              <w:spacing w:before="40" w:after="40"/>
              <w:jc w:val="center"/>
            </w:pPr>
            <w:r>
              <w:rPr>
                <w:rFonts w:ascii="黑体" w:hAnsi="黑体" w:eastAsia="黑体"/>
                <w:b w:val="0"/>
                <w:i w:val="0"/>
                <w:color w:val="1E293B"/>
                <w:sz w:val="17"/>
              </w:rPr>
              <w:t>开发引擎</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Godot Engine 4.7</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Godot 官方基金会</w:t>
            </w:r>
          </w:p>
        </w:tc>
        <w:tc>
          <w:tcPr>
            <w:tcW w:type="dxa" w:w="211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游戏核心运行、物理渲染与逻辑交互框架</w:t>
            </w:r>
          </w:p>
        </w:tc>
        <w:tc>
          <w:tcPr>
            <w:tcW w:type="dxa" w:w="1728"/>
            <w:vAlign w:val="center"/>
            <w:shd w:fill="FFFFFF"/>
            <w:tcMar>
              <w:top w:w="100" w:type="dxa"/>
              <w:bottom w:w="100" w:type="dxa"/>
              <w:left w:w="140" w:type="dxa"/>
              <w:right w:w="140" w:type="dxa"/>
            </w:tcMar>
          </w:tcPr>
          <w:p>
            <w:pPr>
              <w:spacing w:before="40" w:after="40"/>
              <w:jc w:val="center"/>
            </w:pPr>
            <w:r>
              <w:rPr>
                <w:rFonts w:ascii="宋体" w:hAnsi="宋体" w:eastAsia="宋体"/>
                <w:b w:val="0"/>
                <w:i w:val="0"/>
                <w:color w:val="1E293B"/>
                <w:sz w:val="17"/>
              </w:rPr>
              <w:t>MIT 开源许可证</w:t>
              <w:br/>
              <w:t>(自由商用与参赛)</w:t>
            </w:r>
          </w:p>
        </w:tc>
      </w:tr>
      <w:tr>
        <w:trPr>
          <w:cantSplit/>
        </w:trPr>
        <w:tc>
          <w:tcPr>
            <w:tcW w:type="dxa" w:w="1728"/>
            <w:vAlign w:val="center"/>
            <w:shd w:fill="FFFFFF"/>
            <w:tcMar>
              <w:top w:w="100" w:type="dxa"/>
              <w:bottom w:w="100" w:type="dxa"/>
              <w:left w:w="140" w:type="dxa"/>
              <w:right w:w="140" w:type="dxa"/>
            </w:tcMar>
          </w:tcPr>
          <w:p>
            <w:pPr>
              <w:spacing w:before="40" w:after="40"/>
              <w:jc w:val="center"/>
            </w:pPr>
            <w:r>
              <w:rPr>
                <w:rFonts w:ascii="黑体" w:hAnsi="黑体" w:eastAsia="黑体"/>
                <w:b w:val="0"/>
                <w:i w:val="0"/>
                <w:color w:val="1E293B"/>
                <w:sz w:val="17"/>
              </w:rPr>
              <w:t>制作软件</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Blender 4.x</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Blender 基金会</w:t>
            </w:r>
          </w:p>
        </w:tc>
        <w:tc>
          <w:tcPr>
            <w:tcW w:type="dxa" w:w="211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3D 场景低多边形建模、网格编辑与碰撞体导出</w:t>
            </w:r>
          </w:p>
        </w:tc>
        <w:tc>
          <w:tcPr>
            <w:tcW w:type="dxa" w:w="1728"/>
            <w:vAlign w:val="center"/>
            <w:shd w:fill="FFFFFF"/>
            <w:tcMar>
              <w:top w:w="100" w:type="dxa"/>
              <w:bottom w:w="100" w:type="dxa"/>
              <w:left w:w="140" w:type="dxa"/>
              <w:right w:w="140" w:type="dxa"/>
            </w:tcMar>
          </w:tcPr>
          <w:p>
            <w:pPr>
              <w:spacing w:before="40" w:after="40"/>
              <w:jc w:val="center"/>
            </w:pPr>
            <w:r>
              <w:rPr>
                <w:rFonts w:ascii="宋体" w:hAnsi="宋体" w:eastAsia="宋体"/>
                <w:b w:val="0"/>
                <w:i w:val="0"/>
                <w:color w:val="1E293B"/>
                <w:sz w:val="17"/>
              </w:rPr>
              <w:t>GNU GPL v3</w:t>
              <w:br/>
              <w:t>(自由开源工具)</w:t>
            </w:r>
          </w:p>
        </w:tc>
      </w:tr>
      <w:tr>
        <w:trPr>
          <w:cantSplit/>
        </w:trPr>
        <w:tc>
          <w:tcPr>
            <w:tcW w:type="dxa" w:w="1728"/>
            <w:vAlign w:val="center"/>
            <w:shd w:fill="FFFFFF"/>
            <w:tcMar>
              <w:top w:w="100" w:type="dxa"/>
              <w:bottom w:w="100" w:type="dxa"/>
              <w:left w:w="140" w:type="dxa"/>
              <w:right w:w="140" w:type="dxa"/>
            </w:tcMar>
          </w:tcPr>
          <w:p>
            <w:pPr>
              <w:spacing w:before="40" w:after="40"/>
              <w:jc w:val="center"/>
            </w:pPr>
            <w:r>
              <w:rPr>
                <w:rFonts w:ascii="黑体" w:hAnsi="黑体" w:eastAsia="黑体"/>
                <w:b w:val="0"/>
                <w:i w:val="0"/>
                <w:color w:val="1E293B"/>
                <w:sz w:val="17"/>
              </w:rPr>
              <w:t>字体素材</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思源黑体 / 思源宋体</w:t>
              <w:br/>
              <w:t>(Source Han 系列)</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Adobe / Google 官方开源项目</w:t>
            </w:r>
          </w:p>
        </w:tc>
        <w:tc>
          <w:tcPr>
            <w:tcW w:type="dxa" w:w="211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游戏内全流程字幕、HUD 界面与实物文档排版</w:t>
            </w:r>
          </w:p>
        </w:tc>
        <w:tc>
          <w:tcPr>
            <w:tcW w:type="dxa" w:w="1728"/>
            <w:vAlign w:val="center"/>
            <w:shd w:fill="FFFFFF"/>
            <w:tcMar>
              <w:top w:w="100" w:type="dxa"/>
              <w:bottom w:w="100" w:type="dxa"/>
              <w:left w:w="140" w:type="dxa"/>
              <w:right w:w="140" w:type="dxa"/>
            </w:tcMar>
          </w:tcPr>
          <w:p>
            <w:pPr>
              <w:spacing w:before="40" w:after="40"/>
              <w:jc w:val="center"/>
            </w:pPr>
            <w:r>
              <w:rPr>
                <w:rFonts w:ascii="宋体" w:hAnsi="宋体" w:eastAsia="宋体"/>
                <w:b w:val="0"/>
                <w:i w:val="0"/>
                <w:color w:val="1E293B"/>
                <w:sz w:val="17"/>
              </w:rPr>
              <w:t>SIL Open Font License 1.1</w:t>
              <w:br/>
              <w:t>(免费商用/无版权限制)</w:t>
            </w:r>
          </w:p>
        </w:tc>
      </w:tr>
      <w:tr>
        <w:trPr>
          <w:cantSplit/>
        </w:trPr>
        <w:tc>
          <w:tcPr>
            <w:tcW w:type="dxa" w:w="1728"/>
            <w:vAlign w:val="center"/>
            <w:shd w:fill="FFFFFF"/>
            <w:tcMar>
              <w:top w:w="100" w:type="dxa"/>
              <w:bottom w:w="100" w:type="dxa"/>
              <w:left w:w="140" w:type="dxa"/>
              <w:right w:w="140" w:type="dxa"/>
            </w:tcMar>
          </w:tcPr>
          <w:p>
            <w:pPr>
              <w:spacing w:before="40" w:after="40"/>
              <w:jc w:val="center"/>
            </w:pPr>
            <w:r>
              <w:rPr>
                <w:rFonts w:ascii="黑体" w:hAnsi="黑体" w:eastAsia="黑体"/>
                <w:b w:val="0"/>
                <w:i w:val="0"/>
                <w:color w:val="1E293B"/>
                <w:sz w:val="17"/>
              </w:rPr>
              <w:t>音频素材</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环境白噪音与拟音</w:t>
              <w:br/>
              <w:t>(雨声、脚步声、开关门)</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Freesound 开源社区 及 团队自主实地录音</w:t>
            </w:r>
          </w:p>
        </w:tc>
        <w:tc>
          <w:tcPr>
            <w:tcW w:type="dxa" w:w="211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构建庄园深秋夜雨与密室探索的沉浸式声场</w:t>
            </w:r>
          </w:p>
        </w:tc>
        <w:tc>
          <w:tcPr>
            <w:tcW w:type="dxa" w:w="1728"/>
            <w:vAlign w:val="center"/>
            <w:shd w:fill="FFFFFF"/>
            <w:tcMar>
              <w:top w:w="100" w:type="dxa"/>
              <w:bottom w:w="100" w:type="dxa"/>
              <w:left w:w="140" w:type="dxa"/>
              <w:right w:w="140" w:type="dxa"/>
            </w:tcMar>
          </w:tcPr>
          <w:p>
            <w:pPr>
              <w:spacing w:before="40" w:after="40"/>
              <w:jc w:val="center"/>
            </w:pPr>
            <w:r>
              <w:rPr>
                <w:rFonts w:ascii="宋体" w:hAnsi="宋体" w:eastAsia="宋体"/>
                <w:b w:val="0"/>
                <w:i w:val="0"/>
                <w:color w:val="1E293B"/>
                <w:sz w:val="17"/>
              </w:rPr>
              <w:t>CC0 公共领域许可 /</w:t>
              <w:br/>
              <w:t>CC-BY 4.0 署名共享协议</w:t>
            </w:r>
          </w:p>
        </w:tc>
      </w:tr>
      <w:tr>
        <w:trPr>
          <w:cantSplit/>
        </w:trPr>
        <w:tc>
          <w:tcPr>
            <w:tcW w:type="dxa" w:w="1728"/>
            <w:vAlign w:val="center"/>
            <w:shd w:fill="FFFFFF"/>
            <w:tcMar>
              <w:top w:w="100" w:type="dxa"/>
              <w:bottom w:w="100" w:type="dxa"/>
              <w:left w:w="140" w:type="dxa"/>
              <w:right w:w="140" w:type="dxa"/>
            </w:tcMar>
          </w:tcPr>
          <w:p>
            <w:pPr>
              <w:spacing w:before="40" w:after="40"/>
              <w:jc w:val="center"/>
            </w:pPr>
            <w:r>
              <w:rPr>
                <w:rFonts w:ascii="黑体" w:hAnsi="黑体" w:eastAsia="黑体"/>
                <w:b w:val="0"/>
                <w:i w:val="0"/>
                <w:color w:val="1E293B"/>
                <w:sz w:val="17"/>
              </w:rPr>
              <w:t>贴图材质</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基础几何砖石纹理</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Poly Haven 开放材质库</w:t>
            </w:r>
          </w:p>
        </w:tc>
        <w:tc>
          <w:tcPr>
            <w:tcW w:type="dxa" w:w="211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用于庄园外墙与部分地板的基础平铺纹理参考</w:t>
            </w:r>
          </w:p>
        </w:tc>
        <w:tc>
          <w:tcPr>
            <w:tcW w:type="dxa" w:w="1728"/>
            <w:vAlign w:val="center"/>
            <w:shd w:fill="FFFFFF"/>
            <w:tcMar>
              <w:top w:w="100" w:type="dxa"/>
              <w:bottom w:w="100" w:type="dxa"/>
              <w:left w:w="140" w:type="dxa"/>
              <w:right w:w="140" w:type="dxa"/>
            </w:tcMar>
          </w:tcPr>
          <w:p>
            <w:pPr>
              <w:spacing w:before="40" w:after="40"/>
              <w:jc w:val="center"/>
            </w:pPr>
            <w:r>
              <w:rPr>
                <w:rFonts w:ascii="宋体" w:hAnsi="宋体" w:eastAsia="宋体"/>
                <w:b w:val="0"/>
                <w:i w:val="0"/>
                <w:color w:val="1E293B"/>
                <w:sz w:val="17"/>
              </w:rPr>
              <w:t>CC0 公共领域许可</w:t>
              <w:br/>
              <w:t>(完全自由商用与改编)</w:t>
            </w:r>
          </w:p>
        </w:tc>
      </w:tr>
      <w:tr>
        <w:trPr>
          <w:cantSplit/>
        </w:trPr>
        <w:tc>
          <w:tcPr>
            <w:tcW w:type="dxa" w:w="1728"/>
            <w:vAlign w:val="center"/>
            <w:shd w:fill="FFFFFF"/>
            <w:tcMar>
              <w:top w:w="100" w:type="dxa"/>
              <w:bottom w:w="100" w:type="dxa"/>
              <w:left w:w="140" w:type="dxa"/>
              <w:right w:w="140" w:type="dxa"/>
            </w:tcMar>
          </w:tcPr>
          <w:p>
            <w:pPr>
              <w:spacing w:before="40" w:after="40"/>
              <w:jc w:val="center"/>
            </w:pPr>
            <w:r>
              <w:rPr>
                <w:rFonts w:ascii="黑体" w:hAnsi="黑体" w:eastAsia="黑体"/>
                <w:b w:val="0"/>
                <w:i w:val="0"/>
                <w:color w:val="1E293B"/>
                <w:sz w:val="17"/>
              </w:rPr>
              <w:t>辅助插件</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Tripo3D Blender 桥接脚本</w:t>
            </w:r>
          </w:p>
        </w:tc>
        <w:tc>
          <w:tcPr>
            <w:tcW w:type="dxa" w:w="1728"/>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Tripo 官方开发者套件</w:t>
            </w:r>
          </w:p>
        </w:tc>
        <w:tc>
          <w:tcPr>
            <w:tcW w:type="dxa" w:w="2117"/>
            <w:vAlign w:val="center"/>
            <w:shd w:fill="FFFFFF"/>
            <w:tcMar>
              <w:top w:w="100" w:type="dxa"/>
              <w:bottom w:w="100" w:type="dxa"/>
              <w:left w:w="140" w:type="dxa"/>
              <w:right w:w="140" w:type="dxa"/>
            </w:tcMar>
          </w:tcPr>
          <w:p>
            <w:pPr>
              <w:spacing w:before="40" w:after="40"/>
            </w:pPr>
            <w:r>
              <w:rPr>
                <w:rFonts w:ascii="宋体" w:hAnsi="宋体" w:eastAsia="宋体"/>
                <w:b w:val="0"/>
                <w:i w:val="0"/>
                <w:color w:val="1E293B"/>
                <w:sz w:val="17"/>
              </w:rPr>
              <w:t>开发前期用于空间白模几何体辅助加速（最终网格全部人工重构）</w:t>
            </w:r>
          </w:p>
        </w:tc>
        <w:tc>
          <w:tcPr>
            <w:tcW w:type="dxa" w:w="1728"/>
            <w:vAlign w:val="center"/>
            <w:shd w:fill="FFFFFF"/>
            <w:tcMar>
              <w:top w:w="100" w:type="dxa"/>
              <w:bottom w:w="100" w:type="dxa"/>
              <w:left w:w="140" w:type="dxa"/>
              <w:right w:w="140" w:type="dxa"/>
            </w:tcMar>
          </w:tcPr>
          <w:p>
            <w:pPr>
              <w:spacing w:before="40" w:after="40"/>
              <w:jc w:val="center"/>
            </w:pPr>
            <w:r>
              <w:rPr>
                <w:rFonts w:ascii="宋体" w:hAnsi="宋体" w:eastAsia="宋体"/>
                <w:b w:val="0"/>
                <w:i w:val="0"/>
                <w:color w:val="1E293B"/>
                <w:sz w:val="17"/>
              </w:rPr>
              <w:t>开发者合法使用许可</w:t>
              <w:br/>
              <w:t>(合法自研管线)</w:t>
            </w:r>
          </w:p>
        </w:tc>
      </w:tr>
    </w:tbl>
    <w:p>
      <w:pPr>
        <w:spacing w:after="80"/>
      </w:pPr>
    </w:p>
    <w:p>
      <w:pPr>
        <w:keepNext/>
        <w:spacing w:before="300" w:after="120"/>
      </w:pPr>
      <w:r>
        <w:rPr>
          <w:rFonts w:ascii="黑体" w:hAnsi="黑体" w:eastAsia="黑体"/>
          <w:b/>
          <w:i w:val="0"/>
          <w:color w:val="1A365D"/>
          <w:sz w:val="26"/>
        </w:rPr>
        <w:t>三、AI 辅助生成内容的版权说明</w:t>
      </w:r>
    </w:p>
    <w:p>
      <w:pPr>
        <w:spacing w:after="100" w:line="300" w:lineRule="auto"/>
        <w:ind w:firstLine="403"/>
      </w:pPr>
      <w:r>
        <w:rPr>
          <w:rFonts w:ascii="宋体" w:hAnsi="宋体" w:eastAsia="宋体"/>
          <w:b w:val="0"/>
          <w:i w:val="0"/>
          <w:color w:val="1E293B"/>
          <w:sz w:val="21"/>
        </w:rPr>
        <w:t>1. 合法使用依据：作品在前期概念发散与文本润色阶段所调用的 Claude Code、OpenAI Codex 与 Google Antigravity，均通过正规开发者渠道取得服务许可，其使用方式完全符合相关服务条款与我国《生成式人工智能服务管理暂行办法》。</w:t>
      </w:r>
    </w:p>
    <w:p>
      <w:pPr>
        <w:spacing w:after="100" w:line="300" w:lineRule="auto"/>
        <w:ind w:firstLine="403"/>
      </w:pPr>
      <w:r>
        <w:rPr>
          <w:rFonts w:ascii="宋体" w:hAnsi="宋体" w:eastAsia="宋体"/>
          <w:b w:val="0"/>
          <w:i w:val="0"/>
          <w:color w:val="1E293B"/>
          <w:sz w:val="21"/>
        </w:rPr>
        <w:t>2. 实质性二次创作：AI 生成内容仅作为前期草稿或样板参考。所有最终入库的 3D 模型均为学生独立建立拓扑，所有 2D 证据图均经过人工合成做旧、调色与裁剪，所有代码均经过学生重构优化，具有完全独立完整的作品著作权。</w:t>
      </w:r>
    </w:p>
    <w:p>
      <w:pPr>
        <w:keepNext/>
        <w:spacing w:before="300" w:after="120"/>
      </w:pPr>
      <w:r>
        <w:rPr>
          <w:rFonts w:ascii="黑体" w:hAnsi="黑体" w:eastAsia="黑体"/>
          <w:b/>
          <w:i w:val="0"/>
          <w:color w:val="1A365D"/>
          <w:sz w:val="26"/>
        </w:rPr>
        <w:t>四、团队知识产权承诺</w:t>
      </w:r>
    </w:p>
    <w:p>
      <w:pPr>
        <w:spacing w:after="100" w:line="300" w:lineRule="auto"/>
      </w:pPr>
      <w:r>
        <w:rPr>
          <w:rFonts w:ascii="宋体" w:hAnsi="宋体" w:eastAsia="宋体"/>
          <w:b w:val="0"/>
          <w:i w:val="0"/>
          <w:color w:val="1E293B"/>
          <w:sz w:val="21"/>
        </w:rPr>
        <w:t>参赛团队确认：以上填报内容真实可靠。本团队对参赛作品拥有独立完整的著作权与知识产权，未侵犯任何第三方的著作权、商标权、专利权、商业秘密或肖像声音等合法权益。如发生任何版权争议，由参赛团队承担全部相应责任。</w:t>
      </w:r>
    </w:p>
    <w:p>
      <w:pPr>
        <w:spacing w:before="320" w:after="40"/>
        <w:jc w:val="right"/>
      </w:pPr>
      <w:r>
        <w:rPr>
          <w:rFonts w:ascii="黑体" w:hAnsi="黑体" w:eastAsia="黑体"/>
          <w:b/>
          <w:i w:val="0"/>
          <w:color w:val="1A365D"/>
          <w:sz w:val="21"/>
        </w:rPr>
        <w:t>参赛团队确认：本说明内容真实有效，特此提交评审专家审阅。</w:t>
        <w:br/>
      </w:r>
      <w:r>
        <w:rPr>
          <w:rFonts w:ascii="宋体" w:hAnsi="宋体" w:eastAsia="宋体"/>
          <w:b w:val="0"/>
          <w:i w:val="0"/>
          <w:color w:val="1E293B"/>
          <w:sz w:val="21"/>
        </w:rPr>
        <w:t>日期：2026 年 10 月 23 日</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