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rFonts w:ascii="Times New Roman" w:cs="Times New Roman" w:eastAsia="Times New Roman" w:hAnsi="Times New Roman"/>
          <w:b/>
          <w:bCs/>
          <w:sz w:val="24"/>
          <w:szCs w:val="24"/>
        </w:rPr>
        <w:t xml:space="preserve">III. METHODOLOGY</w:t>
      </w:r>
    </w:p>
    <w:p>
      <w:pPr>
        <w:spacing w:after="100" w:before="200"/>
      </w:pPr>
      <w:r>
        <w:rPr>
          <w:rFonts w:ascii="Times New Roman" w:cs="Times New Roman" w:eastAsia="Times New Roman" w:hAnsi="Times New Roman"/>
          <w:b/>
          <w:bCs/>
          <w:i/>
          <w:iCs/>
          <w:sz w:val="21"/>
          <w:szCs w:val="21"/>
        </w:rPr>
        <w:t xml:space="preserve">A. System Overview</w:t>
      </w:r>
    </w:p>
    <w:p>
      <w:pPr>
        <w:spacing w:after="140"/>
        <w:jc w:val="both"/>
      </w:pPr>
      <w:r>
        <w:rPr>
          <w:rFonts w:ascii="Times New Roman" w:cs="Times New Roman" w:eastAsia="Times New Roman" w:hAnsi="Times New Roman"/>
          <w:sz w:val="21"/>
          <w:szCs w:val="21"/>
        </w:rPr>
        <w:t xml:space="preserve">The proposed system, SignalCheck, consists of two cooperating stages. The first stage is a local multimodal classifier that estimates a fake-probability score directly from an input image, without requiring any external network access. The second stage is an evidence-retrieval and dual-model verification layer that retrieves independently fact-checked evidence relevant to the image's textual content and asks two large language models (LLMs) to assess the claim against that evidence. The two stages are deliberately decoupled: the classifier alone determines the reported fake/real label, while the verification layer supplies an auxiliary, evidence-grounded signal intended to support human review rather than to override the classifier's decision.</w:t>
      </w:r>
    </w:p>
    <w:p>
      <w:pPr>
        <w:spacing w:after="100" w:before="200"/>
      </w:pPr>
      <w:r>
        <w:rPr>
          <w:rFonts w:ascii="Times New Roman" w:cs="Times New Roman" w:eastAsia="Times New Roman" w:hAnsi="Times New Roman"/>
          <w:b/>
          <w:bCs/>
          <w:i/>
          <w:iCs/>
          <w:sz w:val="21"/>
          <w:szCs w:val="21"/>
        </w:rPr>
        <w:t xml:space="preserve">B. Multimodal Feature Extraction</w:t>
      </w:r>
    </w:p>
    <w:p>
      <w:pPr>
        <w:spacing w:after="140"/>
        <w:jc w:val="both"/>
      </w:pPr>
      <w:r>
        <w:rPr>
          <w:rFonts w:ascii="Times New Roman" w:cs="Times New Roman" w:eastAsia="Times New Roman" w:hAnsi="Times New Roman"/>
          <w:sz w:val="21"/>
          <w:szCs w:val="21"/>
        </w:rPr>
        <w:t xml:space="preserve">For each image, three complementary representations are extracted. First, an image-captioning model (BLIP, Salesforce/blip-image-captioning-base) generates a natural-language description of the image's visual content; this caption also serves as the claim text passed to the verification layer described in Section III-E. Second, the caption is encoded into a dense semantic vector using a multilingual Sentence-BERT model (paraphrase-multilingual-MiniLM-L12-v2), chosen so that the same embedding space can represent both Bengali and English captions and evidence text. Third, a visual embedding is extracted directly from the image using CLIP (ViT-B/32), independent of any generated text. An earlier, OCR-based text channel was evaluated and removed; this decision, and the ablation evidence behind it, is reported in Section V.</w:t>
      </w:r>
    </w:p>
    <w:p>
      <w:pPr>
        <w:spacing w:after="100" w:before="200"/>
      </w:pPr>
      <w:r>
        <w:rPr>
          <w:rFonts w:ascii="Times New Roman" w:cs="Times New Roman" w:eastAsia="Times New Roman" w:hAnsi="Times New Roman"/>
          <w:b/>
          <w:bCs/>
          <w:i/>
          <w:iCs/>
          <w:sz w:val="21"/>
          <w:szCs w:val="21"/>
        </w:rPr>
        <w:t xml:space="preserve">C. Cross-Image Semantic Fusion (CISF)</w:t>
      </w:r>
    </w:p>
    <w:p>
      <w:pPr>
        <w:spacing w:after="140"/>
        <w:jc w:val="both"/>
      </w:pPr>
      <w:r>
        <w:rPr>
          <w:rFonts w:ascii="Times New Roman" w:cs="Times New Roman" w:eastAsia="Times New Roman" w:hAnsi="Times New Roman"/>
          <w:sz w:val="21"/>
          <w:szCs w:val="21"/>
        </w:rPr>
        <w:t xml:space="preserve">Rather than using the caption embedding in isolation, each embedding is fused with its semantic neighborhood within the training corpus. Let q denote the L2-normalized caption embedding of a query image and let N(q) denote its k = 5 nearest neighbors among the (also normalized) reference embeddings under cosine similarity, excluding the query itself when the query is part of the reference set. Each neighbor is weighted by its similarity to q, and the weights are normalized to sum to one, giving a neighborhood embedding n̄ as their weighted average.</w:t>
      </w:r>
    </w:p>
    <w:p>
      <w:pPr>
        <w:spacing w:after="140" w:before="80"/>
        <w:jc w:val="center"/>
      </w:pPr>
      <w:r>
        <w:rPr>
          <w:rFonts w:ascii="Times New Roman" w:cs="Times New Roman" w:eastAsia="Times New Roman" w:hAnsi="Times New Roman"/>
          <w:i/>
          <w:iCs/>
          <w:sz w:val="21"/>
          <w:szCs w:val="21"/>
        </w:rPr>
        <w:t xml:space="preserve">fused = normalize(α·q + (1 − α)·n̄),  α = 0.65</w:t>
      </w:r>
    </w:p>
    <w:p>
      <w:pPr>
        <w:spacing w:after="140"/>
        <w:jc w:val="both"/>
      </w:pPr>
      <w:r>
        <w:rPr>
          <w:rFonts w:ascii="Times New Roman" w:cs="Times New Roman" w:eastAsia="Times New Roman" w:hAnsi="Times New Roman"/>
          <w:sz w:val="21"/>
          <w:szCs w:val="21"/>
        </w:rPr>
        <w:t xml:space="preserve">The fused vector is re-normalized to unit length. Principal Component Analysis (PCA) reduces the fused embeddings to 32 components, which are supplied to the classifier as CISF features, alongside the mean and maximum neighbor-similarity scores for that image. Intuitively, CISF injects a lightweight signal of how closely an image's caption semantics align with clusters already observed in the training distribution, without requiring a separate learned encoder.</w:t>
      </w:r>
    </w:p>
    <w:p>
      <w:pPr>
        <w:spacing w:after="100" w:before="200"/>
      </w:pPr>
      <w:r>
        <w:rPr>
          <w:rFonts w:ascii="Times New Roman" w:cs="Times New Roman" w:eastAsia="Times New Roman" w:hAnsi="Times New Roman"/>
          <w:b/>
          <w:bCs/>
          <w:i/>
          <w:iCs/>
          <w:sz w:val="21"/>
          <w:szCs w:val="21"/>
        </w:rPr>
        <w:t xml:space="preserve">D. Classification</w:t>
      </w:r>
    </w:p>
    <w:p>
      <w:pPr>
        <w:spacing w:after="140"/>
        <w:jc w:val="both"/>
      </w:pPr>
      <w:r>
        <w:rPr>
          <w:rFonts w:ascii="Times New Roman" w:cs="Times New Roman" w:eastAsia="Times New Roman" w:hAnsi="Times New Roman"/>
          <w:sz w:val="21"/>
          <w:szCs w:val="21"/>
        </w:rPr>
        <w:t xml:space="preserve">The final feature vector concatenates: (i) TF-IDF features (1- and 2-grams, 5,000-term vocabulary, minimum document frequency 3) computed over the processed caption text; (ii) the 32 CISF components plus neighbor-similarity statistics from Section III-C; (iii) the 512-dimensional CLIP visual embedding (reduced to 64 components via PCA in the ablation configurations reported in Section V); and (iv) a small set of auxiliary numeric features (caption length, token count, unique-token ratio). A gradient-boosted decision tree classifier (XGBoost) is trained on this feature vector to predict a binary fake/real label. Hyperparameters (Table I) were tuned once via cross-validated search on the base training set and held fixed for all experiments reported in this paper. At inference time, an image is labeled fake when the predicted fake-probability meets or exceeds a decision threshold τ; the choice of τ is discussed and empirically justified in Section V.</w:t>
      </w:r>
    </w:p>
    <w:p>
      <w:pPr>
        <w:spacing w:after="200" w:before="80"/>
        <w:jc w:val="center"/>
      </w:pPr>
      <w:r>
        <w:rPr>
          <w:rFonts w:ascii="Times New Roman" w:cs="Times New Roman" w:eastAsia="Times New Roman" w:hAnsi="Times New Roman"/>
          <w:i/>
          <w:iCs/>
          <w:sz w:val="18"/>
          <w:szCs w:val="18"/>
        </w:rPr>
        <w:t xml:space="preserve">TABLE I. XGBOOST HYPERPARAMETERS</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3600"/>
        <w:gridCol w:w="2400"/>
      </w:tblGrid>
      <w:tr>
        <w:tc>
          <w:tcPr>
            <w:tcW w:type="dxa" w:w="3600"/>
            <w:shd w:fill="E8E8E8" w:val="clear"/>
          </w:tcPr>
          <w:p>
            <w:pPr>
              <w:jc w:val="center"/>
            </w:pPr>
            <w:r>
              <w:rPr>
                <w:rFonts w:ascii="Times New Roman" w:cs="Times New Roman" w:eastAsia="Times New Roman" w:hAnsi="Times New Roman"/>
                <w:b/>
                <w:bCs/>
                <w:sz w:val="18"/>
                <w:szCs w:val="18"/>
              </w:rPr>
              <w:t xml:space="preserve">Hyperparameter</w:t>
            </w:r>
          </w:p>
        </w:tc>
        <w:tc>
          <w:tcPr>
            <w:tcW w:type="dxa" w:w="2400"/>
            <w:shd w:fill="E8E8E8" w:val="clear"/>
          </w:tcPr>
          <w:p>
            <w:pPr>
              <w:jc w:val="center"/>
            </w:pPr>
            <w:r>
              <w:rPr>
                <w:rFonts w:ascii="Times New Roman" w:cs="Times New Roman" w:eastAsia="Times New Roman" w:hAnsi="Times New Roman"/>
                <w:b/>
                <w:bCs/>
                <w:sz w:val="18"/>
                <w:szCs w:val="18"/>
              </w:rPr>
              <w:t xml:space="preserve">Value</w:t>
            </w:r>
          </w:p>
        </w:tc>
      </w:tr>
      <w:tr>
        <w:tc>
          <w:tcPr>
            <w:tcW w:type="dxa" w:w="3600"/>
          </w:tcPr>
          <w:p>
            <w:pPr>
              <w:jc w:val="center"/>
            </w:pPr>
            <w:r>
              <w:rPr>
                <w:rFonts w:ascii="Times New Roman" w:cs="Times New Roman" w:eastAsia="Times New Roman" w:hAnsi="Times New Roman"/>
                <w:b w:val="false"/>
                <w:bCs w:val="false"/>
                <w:sz w:val="18"/>
                <w:szCs w:val="18"/>
              </w:rPr>
              <w:t xml:space="preserve">objective</w:t>
            </w:r>
          </w:p>
        </w:tc>
        <w:tc>
          <w:tcPr>
            <w:tcW w:type="dxa" w:w="2400"/>
          </w:tcPr>
          <w:p>
            <w:pPr>
              <w:jc w:val="center"/>
            </w:pPr>
            <w:r>
              <w:rPr>
                <w:rFonts w:ascii="Times New Roman" w:cs="Times New Roman" w:eastAsia="Times New Roman" w:hAnsi="Times New Roman"/>
                <w:b w:val="false"/>
                <w:bCs w:val="false"/>
                <w:sz w:val="18"/>
                <w:szCs w:val="18"/>
              </w:rPr>
              <w:t xml:space="preserve">binary:logistic</w:t>
            </w:r>
          </w:p>
        </w:tc>
      </w:tr>
      <w:tr>
        <w:tc>
          <w:tcPr>
            <w:tcW w:type="dxa" w:w="3600"/>
          </w:tcPr>
          <w:p>
            <w:pPr>
              <w:jc w:val="center"/>
            </w:pPr>
            <w:r>
              <w:rPr>
                <w:rFonts w:ascii="Times New Roman" w:cs="Times New Roman" w:eastAsia="Times New Roman" w:hAnsi="Times New Roman"/>
                <w:b w:val="false"/>
                <w:bCs w:val="false"/>
                <w:sz w:val="18"/>
                <w:szCs w:val="18"/>
              </w:rPr>
              <w:t xml:space="preserve">max_depth</w:t>
            </w:r>
          </w:p>
        </w:tc>
        <w:tc>
          <w:tcPr>
            <w:tcW w:type="dxa" w:w="2400"/>
          </w:tcPr>
          <w:p>
            <w:pPr>
              <w:jc w:val="center"/>
            </w:pPr>
            <w:r>
              <w:rPr>
                <w:rFonts w:ascii="Times New Roman" w:cs="Times New Roman" w:eastAsia="Times New Roman" w:hAnsi="Times New Roman"/>
                <w:b w:val="false"/>
                <w:bCs w:val="false"/>
                <w:sz w:val="18"/>
                <w:szCs w:val="18"/>
              </w:rPr>
              <w:t xml:space="preserve">3</w:t>
            </w:r>
          </w:p>
        </w:tc>
      </w:tr>
      <w:tr>
        <w:tc>
          <w:tcPr>
            <w:tcW w:type="dxa" w:w="3600"/>
          </w:tcPr>
          <w:p>
            <w:pPr>
              <w:jc w:val="center"/>
            </w:pPr>
            <w:r>
              <w:rPr>
                <w:rFonts w:ascii="Times New Roman" w:cs="Times New Roman" w:eastAsia="Times New Roman" w:hAnsi="Times New Roman"/>
                <w:b w:val="false"/>
                <w:bCs w:val="false"/>
                <w:sz w:val="18"/>
                <w:szCs w:val="18"/>
              </w:rPr>
              <w:t xml:space="preserve">learning_rate</w:t>
            </w:r>
          </w:p>
        </w:tc>
        <w:tc>
          <w:tcPr>
            <w:tcW w:type="dxa" w:w="2400"/>
          </w:tcPr>
          <w:p>
            <w:pPr>
              <w:jc w:val="center"/>
            </w:pPr>
            <w:r>
              <w:rPr>
                <w:rFonts w:ascii="Times New Roman" w:cs="Times New Roman" w:eastAsia="Times New Roman" w:hAnsi="Times New Roman"/>
                <w:b w:val="false"/>
                <w:bCs w:val="false"/>
                <w:sz w:val="18"/>
                <w:szCs w:val="18"/>
              </w:rPr>
              <w:t xml:space="preserve">0.0742</w:t>
            </w:r>
          </w:p>
        </w:tc>
      </w:tr>
      <w:tr>
        <w:tc>
          <w:tcPr>
            <w:tcW w:type="dxa" w:w="3600"/>
          </w:tcPr>
          <w:p>
            <w:pPr>
              <w:jc w:val="center"/>
            </w:pPr>
            <w:r>
              <w:rPr>
                <w:rFonts w:ascii="Times New Roman" w:cs="Times New Roman" w:eastAsia="Times New Roman" w:hAnsi="Times New Roman"/>
                <w:b w:val="false"/>
                <w:bCs w:val="false"/>
                <w:sz w:val="18"/>
                <w:szCs w:val="18"/>
              </w:rPr>
              <w:t xml:space="preserve">n_estimators</w:t>
            </w:r>
          </w:p>
        </w:tc>
        <w:tc>
          <w:tcPr>
            <w:tcW w:type="dxa" w:w="2400"/>
          </w:tcPr>
          <w:p>
            <w:pPr>
              <w:jc w:val="center"/>
            </w:pPr>
            <w:r>
              <w:rPr>
                <w:rFonts w:ascii="Times New Roman" w:cs="Times New Roman" w:eastAsia="Times New Roman" w:hAnsi="Times New Roman"/>
                <w:b w:val="false"/>
                <w:bCs w:val="false"/>
                <w:sz w:val="18"/>
                <w:szCs w:val="18"/>
              </w:rPr>
              <w:t xml:space="preserve">443</w:t>
            </w:r>
          </w:p>
        </w:tc>
      </w:tr>
      <w:tr>
        <w:tc>
          <w:tcPr>
            <w:tcW w:type="dxa" w:w="3600"/>
          </w:tcPr>
          <w:p>
            <w:pPr>
              <w:jc w:val="center"/>
            </w:pPr>
            <w:r>
              <w:rPr>
                <w:rFonts w:ascii="Times New Roman" w:cs="Times New Roman" w:eastAsia="Times New Roman" w:hAnsi="Times New Roman"/>
                <w:b w:val="false"/>
                <w:bCs w:val="false"/>
                <w:sz w:val="18"/>
                <w:szCs w:val="18"/>
              </w:rPr>
              <w:t xml:space="preserve">subsample</w:t>
            </w:r>
          </w:p>
        </w:tc>
        <w:tc>
          <w:tcPr>
            <w:tcW w:type="dxa" w:w="2400"/>
          </w:tcPr>
          <w:p>
            <w:pPr>
              <w:jc w:val="center"/>
            </w:pPr>
            <w:r>
              <w:rPr>
                <w:rFonts w:ascii="Times New Roman" w:cs="Times New Roman" w:eastAsia="Times New Roman" w:hAnsi="Times New Roman"/>
                <w:b w:val="false"/>
                <w:bCs w:val="false"/>
                <w:sz w:val="18"/>
                <w:szCs w:val="18"/>
              </w:rPr>
              <w:t xml:space="preserve">0.8661</w:t>
            </w:r>
          </w:p>
        </w:tc>
      </w:tr>
      <w:tr>
        <w:tc>
          <w:tcPr>
            <w:tcW w:type="dxa" w:w="3600"/>
          </w:tcPr>
          <w:p>
            <w:pPr>
              <w:jc w:val="center"/>
            </w:pPr>
            <w:r>
              <w:rPr>
                <w:rFonts w:ascii="Times New Roman" w:cs="Times New Roman" w:eastAsia="Times New Roman" w:hAnsi="Times New Roman"/>
                <w:b w:val="false"/>
                <w:bCs w:val="false"/>
                <w:sz w:val="18"/>
                <w:szCs w:val="18"/>
              </w:rPr>
              <w:t xml:space="preserve">colsample_bytree</w:t>
            </w:r>
          </w:p>
        </w:tc>
        <w:tc>
          <w:tcPr>
            <w:tcW w:type="dxa" w:w="2400"/>
          </w:tcPr>
          <w:p>
            <w:pPr>
              <w:jc w:val="center"/>
            </w:pPr>
            <w:r>
              <w:rPr>
                <w:rFonts w:ascii="Times New Roman" w:cs="Times New Roman" w:eastAsia="Times New Roman" w:hAnsi="Times New Roman"/>
                <w:b w:val="false"/>
                <w:bCs w:val="false"/>
                <w:sz w:val="18"/>
                <w:szCs w:val="18"/>
              </w:rPr>
              <w:t xml:space="preserve">0.6835</w:t>
            </w:r>
          </w:p>
        </w:tc>
      </w:tr>
      <w:tr>
        <w:tc>
          <w:tcPr>
            <w:tcW w:type="dxa" w:w="3600"/>
          </w:tcPr>
          <w:p>
            <w:pPr>
              <w:jc w:val="center"/>
            </w:pPr>
            <w:r>
              <w:rPr>
                <w:rFonts w:ascii="Times New Roman" w:cs="Times New Roman" w:eastAsia="Times New Roman" w:hAnsi="Times New Roman"/>
                <w:b w:val="false"/>
                <w:bCs w:val="false"/>
                <w:sz w:val="18"/>
                <w:szCs w:val="18"/>
              </w:rPr>
              <w:t xml:space="preserve">min_child_weight</w:t>
            </w:r>
          </w:p>
        </w:tc>
        <w:tc>
          <w:tcPr>
            <w:tcW w:type="dxa" w:w="2400"/>
          </w:tcPr>
          <w:p>
            <w:pPr>
              <w:jc w:val="center"/>
            </w:pPr>
            <w:r>
              <w:rPr>
                <w:rFonts w:ascii="Times New Roman" w:cs="Times New Roman" w:eastAsia="Times New Roman" w:hAnsi="Times New Roman"/>
                <w:b w:val="false"/>
                <w:bCs w:val="false"/>
                <w:sz w:val="18"/>
                <w:szCs w:val="18"/>
              </w:rPr>
              <w:t xml:space="preserve">2</w:t>
            </w:r>
          </w:p>
        </w:tc>
      </w:tr>
      <w:tr>
        <w:tc>
          <w:tcPr>
            <w:tcW w:type="dxa" w:w="3600"/>
          </w:tcPr>
          <w:p>
            <w:pPr>
              <w:jc w:val="center"/>
            </w:pPr>
            <w:r>
              <w:rPr>
                <w:rFonts w:ascii="Times New Roman" w:cs="Times New Roman" w:eastAsia="Times New Roman" w:hAnsi="Times New Roman"/>
                <w:b w:val="false"/>
                <w:bCs w:val="false"/>
                <w:sz w:val="18"/>
                <w:szCs w:val="18"/>
              </w:rPr>
              <w:t xml:space="preserve">gamma</w:t>
            </w:r>
          </w:p>
        </w:tc>
        <w:tc>
          <w:tcPr>
            <w:tcW w:type="dxa" w:w="2400"/>
          </w:tcPr>
          <w:p>
            <w:pPr>
              <w:jc w:val="center"/>
            </w:pPr>
            <w:r>
              <w:rPr>
                <w:rFonts w:ascii="Times New Roman" w:cs="Times New Roman" w:eastAsia="Times New Roman" w:hAnsi="Times New Roman"/>
                <w:b w:val="false"/>
                <w:bCs w:val="false"/>
                <w:sz w:val="18"/>
                <w:szCs w:val="18"/>
              </w:rPr>
              <w:t xml:space="preserve">0.1429</w:t>
            </w:r>
          </w:p>
        </w:tc>
      </w:tr>
      <w:tr>
        <w:tc>
          <w:tcPr>
            <w:tcW w:type="dxa" w:w="3600"/>
          </w:tcPr>
          <w:p>
            <w:pPr>
              <w:jc w:val="center"/>
            </w:pPr>
            <w:r>
              <w:rPr>
                <w:rFonts w:ascii="Times New Roman" w:cs="Times New Roman" w:eastAsia="Times New Roman" w:hAnsi="Times New Roman"/>
                <w:b w:val="false"/>
                <w:bCs w:val="false"/>
                <w:sz w:val="18"/>
                <w:szCs w:val="18"/>
              </w:rPr>
              <w:t xml:space="preserve">reg_alpha</w:t>
            </w:r>
          </w:p>
        </w:tc>
        <w:tc>
          <w:tcPr>
            <w:tcW w:type="dxa" w:w="2400"/>
          </w:tcPr>
          <w:p>
            <w:pPr>
              <w:jc w:val="center"/>
            </w:pPr>
            <w:r>
              <w:rPr>
                <w:rFonts w:ascii="Times New Roman" w:cs="Times New Roman" w:eastAsia="Times New Roman" w:hAnsi="Times New Roman"/>
                <w:b w:val="false"/>
                <w:bCs w:val="false"/>
                <w:sz w:val="18"/>
                <w:szCs w:val="18"/>
              </w:rPr>
              <w:t xml:space="preserve">1.007e-05</w:t>
            </w:r>
          </w:p>
        </w:tc>
      </w:tr>
      <w:tr>
        <w:tc>
          <w:tcPr>
            <w:tcW w:type="dxa" w:w="3600"/>
          </w:tcPr>
          <w:p>
            <w:pPr>
              <w:jc w:val="center"/>
            </w:pPr>
            <w:r>
              <w:rPr>
                <w:rFonts w:ascii="Times New Roman" w:cs="Times New Roman" w:eastAsia="Times New Roman" w:hAnsi="Times New Roman"/>
                <w:b w:val="false"/>
                <w:bCs w:val="false"/>
                <w:sz w:val="18"/>
                <w:szCs w:val="18"/>
              </w:rPr>
              <w:t xml:space="preserve">reg_lambda</w:t>
            </w:r>
          </w:p>
        </w:tc>
        <w:tc>
          <w:tcPr>
            <w:tcW w:type="dxa" w:w="2400"/>
          </w:tcPr>
          <w:p>
            <w:pPr>
              <w:jc w:val="center"/>
            </w:pPr>
            <w:r>
              <w:rPr>
                <w:rFonts w:ascii="Times New Roman" w:cs="Times New Roman" w:eastAsia="Times New Roman" w:hAnsi="Times New Roman"/>
                <w:b w:val="false"/>
                <w:bCs w:val="false"/>
                <w:sz w:val="18"/>
                <w:szCs w:val="18"/>
              </w:rPr>
              <w:t xml:space="preserve">4.9111</w:t>
            </w:r>
          </w:p>
        </w:tc>
      </w:tr>
    </w:tbl>
    <w:p>
      <w:pPr>
        <w:spacing w:after="200"/>
      </w:pPr>
    </w:p>
    <w:p>
      <w:pPr>
        <w:spacing w:after="100" w:before="200"/>
      </w:pPr>
      <w:r>
        <w:rPr>
          <w:rFonts w:ascii="Times New Roman" w:cs="Times New Roman" w:eastAsia="Times New Roman" w:hAnsi="Times New Roman"/>
          <w:b/>
          <w:bCs/>
          <w:i/>
          <w:iCs/>
          <w:sz w:val="21"/>
          <w:szCs w:val="21"/>
        </w:rPr>
        <w:t xml:space="preserve">E. Evidence Retrieval and Dual-Model Verification</w:t>
      </w:r>
    </w:p>
    <w:p>
      <w:pPr>
        <w:spacing w:after="140"/>
        <w:jc w:val="both"/>
      </w:pPr>
      <w:r>
        <w:rPr>
          <w:rFonts w:ascii="Times New Roman" w:cs="Times New Roman" w:eastAsia="Times New Roman" w:hAnsi="Times New Roman"/>
          <w:sz w:val="21"/>
          <w:szCs w:val="21"/>
        </w:rPr>
        <w:t xml:space="preserve">The caption produced in Section III-B is also treated as a checkable claim. A locally maintained evidence store, backed by a persistent vector database (ChromaDB), holds independently fact-checked articles embedded with the same multilingual Sentence-BERT model used for CISF. Given a claim, the top-k most similar documents are retrieved by cosine similarity; results below a minimum-similarity threshold (0.30) are discarded so that topically unrelated documents are not forwarded to the language models as if they were evidence. The retrieved evidence, together with the claim, is independently submitted to two large language models (Gemini and Groq/Llama), each instructed to return a structured verdict — supported, contradicted, or insufficient — together with a confidence score and a short evidence-grounded rationale, and explicitly instructed not to substitute background knowledge for the supplied evidence. When both models return the same verdict, that verdict is reported as the consensus; when they disagree, the system reports the case as requiring human review rather than resolving the disagreement automatically. This design reflects the system's overall philosophy: retrieval and dual verification are intended to surface evidence for a human reviewer, not to autonomously certify a claim as true or false.</w:t>
      </w:r>
    </w:p>
    <w:p>
      <w:pPr>
        <w:spacing w:after="100" w:before="200"/>
      </w:pPr>
      <w:r>
        <w:rPr>
          <w:rFonts w:ascii="Times New Roman" w:cs="Times New Roman" w:eastAsia="Times New Roman" w:hAnsi="Times New Roman"/>
          <w:b/>
          <w:bCs/>
          <w:i/>
          <w:iCs/>
          <w:sz w:val="21"/>
          <w:szCs w:val="21"/>
        </w:rPr>
        <w:t xml:space="preserve">F. Human-in-the-Loop Feedback and Retraining</w:t>
      </w:r>
    </w:p>
    <w:p>
      <w:pPr>
        <w:spacing w:after="140"/>
        <w:jc w:val="both"/>
      </w:pPr>
      <w:r>
        <w:rPr>
          <w:rFonts w:ascii="Times New Roman" w:cs="Times New Roman" w:eastAsia="Times New Roman" w:hAnsi="Times New Roman"/>
          <w:sz w:val="21"/>
          <w:szCs w:val="21"/>
        </w:rPr>
        <w:t xml:space="preserve">A human reviewer may record a verified real/fake label for any processed image together with a reviewer identifier and, optionally, a source URL. Approved examples are queued separately from the base training set. Once at least 50 approved examples spanning both classes have accumulated, the classifier can be retrained on the union of the base dataset and the approved queue, allowing the system to incorporate corrected or previously unseen cases over time without altering the base evaluation splits used for the results in Section V.</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2026-09-04T17:53:21.116Z</dcterms:created>
  <dcterms:modified xsi:type="dcterms:W3CDTF">2026-09-04T17:53:21.129Z</dcterms:modified>
</cp:coreProperties>
</file>

<file path=docProps/custom.xml><?xml version="1.0" encoding="utf-8"?>
<Properties xmlns="http://schemas.openxmlformats.org/officeDocument/2006/custom-properties" xmlns:vt="http://schemas.openxmlformats.org/officeDocument/2006/docPropsVTypes"/>
</file>