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80"/>
          <w:szCs w:val="80"/>
        </w:rPr>
      </w:pPr>
      <w:bookmarkStart w:colFirst="0" w:colLast="0" w:name="_hz2rvoo5taf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80"/>
          <w:szCs w:val="80"/>
        </w:rPr>
      </w:pPr>
      <w:bookmarkStart w:colFirst="0" w:colLast="0" w:name="_w80xf4sgzv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80"/>
          <w:szCs w:val="80"/>
        </w:rPr>
      </w:pPr>
      <w:bookmarkStart w:colFirst="0" w:colLast="0" w:name="_j6vxi0pfo4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6zv395n7w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80"/>
          <w:szCs w:val="80"/>
        </w:rPr>
      </w:pPr>
      <w:bookmarkStart w:colFirst="0" w:colLast="0" w:name="_txdmomg5kx0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80"/>
          <w:szCs w:val="80"/>
        </w:rPr>
      </w:pPr>
      <w:bookmarkStart w:colFirst="0" w:colLast="0" w:name="_fcluja8gzoa8" w:id="5"/>
      <w:bookmarkEnd w:id="5"/>
      <w:r w:rsidDel="00000000" w:rsidR="00000000" w:rsidRPr="00000000">
        <w:rPr>
          <w:sz w:val="80"/>
          <w:szCs w:val="80"/>
          <w:rtl w:val="0"/>
        </w:rPr>
        <w:t xml:space="preserve">Exercício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Neste documento eu formatei uma página no docs usando itens como cabeçalho, rodapé, tabela e número de páginas. Também fiz uma tabela com informações sobre a constituição de uma motherboard.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3105"/>
        <w:gridCol w:w="3960"/>
        <w:tblGridChange w:id="0">
          <w:tblGrid>
            <w:gridCol w:w="1935"/>
            <w:gridCol w:w="3105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Chipset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 a comunicação entre o processador, memória e outros 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Conjunto de chips que controla a transferência de dados entre as partes da placa-mãe.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Soquete do processador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Conecta o processador à placa-mãe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onde o processador é instalado, garantindo a comunicação com o restante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Slots de memória (RAM)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Armazenamento temporário para dados em uso pelo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Conectores onde as memórias RAM são inseridas, permitindo que o computador execute programas.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Portas de expansão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adição de placas adicionais (ex.: placa de vídeo, som)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Slots como PCIe ou PCI onde placas de expansão podem ser conectadas para ampliar as funcionalidades da placa-mãe.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Gabriel Vieira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Texto final</w:t>
    </w:r>
  </w:p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  <w:t xml:space="preserve">CAPA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