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202020"/>
          <w:sz w:val="40"/>
        </w:rPr>
        <w:t>每日信息动态</w:t>
      </w:r>
    </w:p>
    <w:p>
      <w:pPr>
        <w:jc w:val="center"/>
      </w:pPr>
      <w:r>
        <w:rPr>
          <w:rFonts w:ascii="Microsoft YaHei" w:hAnsi="Microsoft YaHei" w:eastAsia="Microsoft YaHei"/>
          <w:b w:val="0"/>
          <w:color w:val="595959"/>
          <w:sz w:val="21"/>
        </w:rPr>
        <w:t>2026年8月20日｜科技创新、医疗卫生与经济政策重点动态</w:t>
      </w:r>
    </w:p>
    <w:p>
      <w:r>
        <w:rPr>
          <w:rFonts w:ascii="Microsoft YaHei" w:hAnsi="Microsoft YaHei" w:eastAsia="Microsoft YaHei"/>
          <w:b w:val="0"/>
          <w:sz w:val="21"/>
        </w:rPr>
        <w:t>导语：</w:t>
      </w:r>
      <w:r>
        <w:rPr>
          <w:rFonts w:ascii="Microsoft YaHei" w:hAnsi="Microsoft YaHei" w:eastAsia="Microsoft YaHei"/>
          <w:b w:val="0"/>
          <w:sz w:val="21"/>
        </w:rPr>
        <w:t>本简报按日期窗口、来源可信度、领域覆盖和问题意识筛选；每条保留来源标识和原文链接。</w:t>
      </w:r>
    </w:p>
    <w:p>
      <w:pPr>
        <w:spacing w:before="160" w:after="160"/>
        <w:pBdr>
          <w:bottom w:val="single" w:sz="8" w:space="3" w:color="BFBFBF"/>
        </w:pBdr>
      </w:pPr>
      <w:r>
        <w:rPr>
          <w:rFonts w:ascii="Microsoft YaHei" w:hAnsi="Microsoft YaHei" w:eastAsia="Microsoft YaHei"/>
          <w:b/>
          <w:color w:val="202020"/>
          <w:sz w:val="28"/>
        </w:rPr>
        <w:t>重点动态</w:t>
      </w:r>
    </w:p>
    <w:p>
      <w:pPr>
        <w:spacing w:before="200" w:after="80"/>
        <w:pBdr>
          <w:bottom w:val="single" w:sz="6" w:space="2" w:color="BFBFBF"/>
        </w:pBdr>
      </w:pPr>
      <w:r>
        <w:rPr>
          <w:rFonts w:ascii="Microsoft YaHei" w:hAnsi="Microsoft YaHei" w:eastAsia="Microsoft YaHei"/>
          <w:b/>
          <w:color w:val="202020"/>
          <w:sz w:val="26"/>
        </w:rPr>
        <w:t>科技创新</w:t>
      </w:r>
    </w:p>
    <w:p>
      <w:pPr>
        <w:spacing w:before="140" w:after="40"/>
      </w:pPr>
      <w:r>
        <w:rPr>
          <w:rFonts w:ascii="Microsoft YaHei" w:hAnsi="Microsoft YaHei" w:eastAsia="Microsoft YaHei"/>
          <w:b/>
          <w:color w:val="202020"/>
          <w:sz w:val="24"/>
        </w:rPr>
        <w:t>1. 具身智能由拼融资转向比落地，数据闭环成为核心瓶颈</w:t>
      </w:r>
    </w:p>
    <w:p>
      <w:pPr>
        <w:spacing w:after="40"/>
      </w:pPr>
      <w:r>
        <w:rPr>
          <w:rFonts w:ascii="Microsoft YaHei" w:hAnsi="Microsoft YaHei" w:eastAsia="Microsoft YaHei"/>
          <w:b w:val="0"/>
          <w:color w:val="595959"/>
          <w:sz w:val="19"/>
        </w:rPr>
        <w:t>领域：科技创新    来源：中国新闻网（2026-08-19），《从拼融资到比落地，具身智能面临数据“大考”》</w:t>
      </w:r>
    </w:p>
    <w:p>
      <w:pPr>
        <w:spacing w:after="40"/>
      </w:pPr>
      <w:r>
        <w:rPr>
          <w:rFonts w:ascii="Microsoft YaHei" w:hAnsi="Microsoft YaHei" w:eastAsia="Microsoft YaHei"/>
          <w:b w:val="0"/>
          <w:color w:val="404040"/>
          <w:sz w:val="19"/>
        </w:rPr>
        <w:t>观点/判断：北京物联网智能技术应用协会表示/指出：产业扩张已快于高质量数据供给，能否形成真实场景闭环将决定商业化速度。</w:t>
      </w:r>
    </w:p>
    <w:p>
      <w:pPr>
        <w:spacing w:after="40"/>
        <w:ind w:firstLine="317"/>
      </w:pPr>
      <w:r>
        <w:rPr>
          <w:rFonts w:ascii="Microsoft YaHei" w:hAnsi="Microsoft YaHei" w:eastAsia="Microsoft YaHei"/>
          <w:b w:val="0"/>
          <w:sz w:val="21"/>
        </w:rPr>
        <w:t>北京物联网智能技术应用协会指出，具身智能正从融资和样机竞赛进入规模化落地检验期，行业短板已由硬件展示转向高质量训练数据。一是开放场景不足，机器人难以持续获得真实任务数据；二是采集、标注和安全合规成本较高；三是不同本体数据难复用。建议建设行业共享数据集和评测基准，并以制造、物流等高频场景形成采集—训练—部署闭环。</w:t>
      </w:r>
    </w:p>
    <w:p>
      <w:pPr>
        <w:spacing w:after="100"/>
        <w:pBdr>
          <w:bottom w:val="single" w:sz="4" w:space="4" w:color="E7E6E6"/>
        </w:pBdr>
      </w:pPr>
      <w:r>
        <w:rPr>
          <w:rFonts w:ascii="Microsoft YaHei" w:hAnsi="Microsoft YaHei" w:eastAsia="Microsoft YaHei"/>
          <w:b w:val="0"/>
          <w:sz w:val="18"/>
        </w:rPr>
        <w:t>原文链接：</w:t>
      </w:r>
      <w:hyperlink r:id="rId9">
        <w:r>
          <w:rPr>
            <w:color w:val="0563C1"/>
            <w:u w:val="single"/>
          </w:rPr>
          <w:t>https://www.chinanews.com.cn/cj/2026/08-19/10680697.shtml</w:t>
        </w:r>
      </w:hyperlink>
    </w:p>
    <w:p>
      <w:pPr>
        <w:spacing w:before="140" w:after="40"/>
      </w:pPr>
      <w:r>
        <w:rPr>
          <w:rFonts w:ascii="Microsoft YaHei" w:hAnsi="Microsoft YaHei" w:eastAsia="Microsoft YaHei"/>
          <w:b/>
          <w:color w:val="202020"/>
          <w:sz w:val="24"/>
        </w:rPr>
        <w:t>2. 模拟芯片营收创新高，AI基础设施需求向关键器件外溢</w:t>
      </w:r>
    </w:p>
    <w:p>
      <w:pPr>
        <w:spacing w:after="40"/>
      </w:pPr>
      <w:r>
        <w:rPr>
          <w:rFonts w:ascii="Microsoft YaHei" w:hAnsi="Microsoft YaHei" w:eastAsia="Microsoft YaHei"/>
          <w:b w:val="0"/>
          <w:color w:val="595959"/>
          <w:sz w:val="19"/>
        </w:rPr>
        <w:t>领域：科技创新    来源：道琼斯（2026-08-19），《Analog Devices 3Q Profit, Revenue up on Surging AI Data Center Demand》</w:t>
      </w:r>
    </w:p>
    <w:p>
      <w:pPr>
        <w:spacing w:after="40"/>
      </w:pPr>
      <w:r>
        <w:rPr>
          <w:rFonts w:ascii="Microsoft YaHei" w:hAnsi="Microsoft YaHei" w:eastAsia="Microsoft YaHei"/>
          <w:b w:val="0"/>
          <w:color w:val="404040"/>
          <w:sz w:val="19"/>
        </w:rPr>
        <w:t>观点/判断：Richard Puccio认为：第三季度需求在产品和地区间普遍增强，数据中心与工业业务是主要拉动力。</w:t>
      </w:r>
    </w:p>
    <w:p>
      <w:pPr>
        <w:spacing w:after="40"/>
        <w:ind w:firstLine="317"/>
      </w:pPr>
      <w:r>
        <w:rPr>
          <w:rFonts w:ascii="Microsoft YaHei" w:hAnsi="Microsoft YaHei" w:eastAsia="Microsoft YaHei"/>
          <w:b w:val="0"/>
          <w:sz w:val="21"/>
        </w:rPr>
        <w:t>亚德诺半导体Richard Puccio表示，第三财季需求在各产品和地区持续增强。公司营收同比增长40%至40.2亿美元，数据中心和工业业务领涨；第四财季营收中值指引升至43亿美元，高于市场预期。信号表明，AI投资增量正由算力芯片外溢到电源、连接和信号链等关键器件，但订单能否转化为持续利润，仍取决于客户建设节奏和产能纪律。</w:t>
      </w:r>
    </w:p>
    <w:p>
      <w:pPr>
        <w:spacing w:after="100"/>
        <w:pBdr>
          <w:bottom w:val="single" w:sz="4" w:space="4" w:color="E7E6E6"/>
        </w:pBdr>
      </w:pPr>
      <w:r>
        <w:rPr>
          <w:rFonts w:ascii="Microsoft YaHei" w:hAnsi="Microsoft YaHei" w:eastAsia="Microsoft YaHei"/>
          <w:b w:val="0"/>
          <w:sz w:val="18"/>
        </w:rPr>
        <w:t>原文链接：</w:t>
      </w:r>
      <w:hyperlink r:id="rId10">
        <w:r>
          <w:rPr>
            <w:color w:val="0563C1"/>
            <w:u w:val="single"/>
          </w:rPr>
          <w:t>https://www.itiger.com/news/2660844018</w:t>
        </w:r>
      </w:hyperlink>
    </w:p>
    <w:p>
      <w:pPr>
        <w:spacing w:before="140" w:after="40"/>
      </w:pPr>
      <w:r>
        <w:rPr>
          <w:rFonts w:ascii="Microsoft YaHei" w:hAnsi="Microsoft YaHei" w:eastAsia="Microsoft YaHei"/>
          <w:b/>
          <w:color w:val="202020"/>
          <w:sz w:val="24"/>
        </w:rPr>
        <w:t>3. 宇树科技上市首日大涨，机器人资本热度进入兑现期</w:t>
      </w:r>
    </w:p>
    <w:p>
      <w:pPr>
        <w:spacing w:after="40"/>
      </w:pPr>
      <w:r>
        <w:rPr>
          <w:rFonts w:ascii="Microsoft YaHei" w:hAnsi="Microsoft YaHei" w:eastAsia="Microsoft YaHei"/>
          <w:b w:val="0"/>
          <w:color w:val="595959"/>
          <w:sz w:val="19"/>
        </w:rPr>
        <w:t>领域：科技创新    来源：Axios Closer简报（2026-08-19），宇树科技上市首日表现</w:t>
      </w:r>
    </w:p>
    <w:p>
      <w:pPr>
        <w:spacing w:after="40"/>
      </w:pPr>
      <w:r>
        <w:rPr>
          <w:rFonts w:ascii="Microsoft YaHei" w:hAnsi="Microsoft YaHei" w:eastAsia="Microsoft YaHei"/>
          <w:b w:val="0"/>
          <w:color w:val="404040"/>
          <w:sz w:val="19"/>
        </w:rPr>
        <w:t>观点/判断：Axios表示/指出：高估值反映资本对人形机器人量产的强预期，也抬高了后续交付验证门槛。</w:t>
      </w:r>
    </w:p>
    <w:p>
      <w:pPr>
        <w:spacing w:after="40"/>
        <w:ind w:firstLine="317"/>
      </w:pPr>
      <w:r>
        <w:rPr>
          <w:rFonts w:ascii="Microsoft YaHei" w:hAnsi="Microsoft YaHei" w:eastAsia="Microsoft YaHei"/>
          <w:b w:val="0"/>
          <w:sz w:val="21"/>
        </w:rPr>
        <w:t>宇树科技8月19日在上海上市，首日股价上涨约460%。这一市场表现直接反映资本对人形机器人规模化生产和应用扩张的强预期，但也把估值兑现压力提前。一是订单需由展示采购转向连续复购；二是核心零部件成本和可靠性要经受批量交付检验；三是海外准入与安全规则可能影响增量市场。后续观察重点应从股价转向交付量、毛利率和客户留存。</w:t>
      </w:r>
    </w:p>
    <w:p>
      <w:pPr>
        <w:spacing w:after="100"/>
        <w:pBdr>
          <w:bottom w:val="single" w:sz="4" w:space="4" w:color="E7E6E6"/>
        </w:pBdr>
      </w:pPr>
      <w:r>
        <w:rPr>
          <w:rFonts w:ascii="Microsoft YaHei" w:hAnsi="Microsoft YaHei" w:eastAsia="Microsoft YaHei"/>
          <w:b w:val="0"/>
          <w:sz w:val="18"/>
        </w:rPr>
        <w:t>原文链接：</w:t>
      </w:r>
      <w:hyperlink r:id="rId11">
        <w:r>
          <w:rPr>
            <w:color w:val="0563C1"/>
            <w:u w:val="single"/>
          </w:rPr>
          <w:t>https://www.axios.com/newsletters/axios-closer-74649dc6-fb50-490b-b4a4-d4fc2e8e3389</w:t>
        </w:r>
      </w:hyperlink>
    </w:p>
    <w:p>
      <w:pPr>
        <w:spacing w:before="200" w:after="80"/>
        <w:pBdr>
          <w:bottom w:val="single" w:sz="6" w:space="2" w:color="BFBFBF"/>
        </w:pBdr>
      </w:pPr>
      <w:r>
        <w:rPr>
          <w:rFonts w:ascii="Microsoft YaHei" w:hAnsi="Microsoft YaHei" w:eastAsia="Microsoft YaHei"/>
          <w:b/>
          <w:color w:val="202020"/>
          <w:sz w:val="26"/>
        </w:rPr>
        <w:t>医疗卫生</w:t>
      </w:r>
    </w:p>
    <w:p>
      <w:pPr>
        <w:spacing w:before="140" w:after="40"/>
      </w:pPr>
      <w:r>
        <w:rPr>
          <w:rFonts w:ascii="Microsoft YaHei" w:hAnsi="Microsoft YaHei" w:eastAsia="Microsoft YaHei"/>
          <w:b/>
          <w:color w:val="202020"/>
          <w:sz w:val="24"/>
        </w:rPr>
        <w:t>4. 个体化mRNA疗法通过三期关键检验，完整数据仍是审批关键</w:t>
      </w:r>
    </w:p>
    <w:p>
      <w:pPr>
        <w:spacing w:after="40"/>
      </w:pPr>
      <w:r>
        <w:rPr>
          <w:rFonts w:ascii="Microsoft YaHei" w:hAnsi="Microsoft YaHei" w:eastAsia="Microsoft YaHei"/>
          <w:b w:val="0"/>
          <w:color w:val="595959"/>
          <w:sz w:val="19"/>
        </w:rPr>
        <w:t>领域：医疗卫生    来源：默沙东（2026-08-19），《Merck and Moderna Announce Phase 3 INTerpath-001 Trial Met Endpoints》</w:t>
      </w:r>
    </w:p>
    <w:p>
      <w:pPr>
        <w:spacing w:after="40"/>
      </w:pPr>
      <w:r>
        <w:rPr>
          <w:rFonts w:ascii="Microsoft YaHei" w:hAnsi="Microsoft YaHei" w:eastAsia="Microsoft YaHei"/>
          <w:b w:val="0"/>
          <w:color w:val="404040"/>
          <w:sz w:val="19"/>
        </w:rPr>
        <w:t>观点/判断：默沙东与莫德纳表示/指出：个体化新抗原疗法达到无复发生存和无远处转移生存终点，但尚不能替代完整结果。</w:t>
      </w:r>
    </w:p>
    <w:p>
      <w:pPr>
        <w:spacing w:after="40"/>
        <w:ind w:firstLine="317"/>
      </w:pPr>
      <w:r>
        <w:rPr>
          <w:rFonts w:ascii="Microsoft YaHei" w:hAnsi="Microsoft YaHei" w:eastAsia="Microsoft YaHei"/>
          <w:b w:val="0"/>
          <w:sz w:val="21"/>
        </w:rPr>
        <w:t>默沙东与莫德纳宣布，个体化mRNA疗法intismeran联合Keytruda，在高风险黑色素瘤三期试验中达到无复发生存和无远处转移生存两个终点。该结果证明按肿瘤突变特征定制治疗具备临床可行性，但企业尚未披露具体生存时长及总生存获益。下一步应重点核验效应大小、安全性、生产周期与成本，避免把“达到终点”等同于已经获批。</w:t>
      </w:r>
    </w:p>
    <w:p>
      <w:pPr>
        <w:spacing w:after="100"/>
        <w:pBdr>
          <w:bottom w:val="single" w:sz="4" w:space="4" w:color="E7E6E6"/>
        </w:pBdr>
      </w:pPr>
      <w:r>
        <w:rPr>
          <w:rFonts w:ascii="Microsoft YaHei" w:hAnsi="Microsoft YaHei" w:eastAsia="Microsoft YaHei"/>
          <w:b w:val="0"/>
          <w:sz w:val="18"/>
        </w:rPr>
        <w:t>原文链接：</w:t>
      </w:r>
      <w:hyperlink r:id="rId12">
        <w:r>
          <w:rPr>
            <w:color w:val="0563C1"/>
            <w:u w:val="single"/>
          </w:rPr>
          <w:t>https://www.merck.com/news/merck-and-moderna-announce-phase-3-interpath-001-trial-of-intismeran-autogene-plus-keytruda-met-endpoints-of-recurrence-free-survival-rfs-and-distant-metastasis-free-survival-dmfs-in-patient/</w:t>
        </w:r>
      </w:hyperlink>
    </w:p>
    <w:p>
      <w:pPr>
        <w:spacing w:before="140" w:after="40"/>
      </w:pPr>
      <w:r>
        <w:rPr>
          <w:rFonts w:ascii="Microsoft YaHei" w:hAnsi="Microsoft YaHei" w:eastAsia="Microsoft YaHei"/>
          <w:b/>
          <w:color w:val="202020"/>
          <w:sz w:val="24"/>
        </w:rPr>
        <w:t>5. 美国FDA负责人提名引关注，多重政策目标带来监管挑战</w:t>
      </w:r>
    </w:p>
    <w:p>
      <w:pPr>
        <w:spacing w:after="40"/>
      </w:pPr>
      <w:r>
        <w:rPr>
          <w:rFonts w:ascii="Microsoft YaHei" w:hAnsi="Microsoft YaHei" w:eastAsia="Microsoft YaHei"/>
          <w:b w:val="0"/>
          <w:color w:val="595959"/>
          <w:sz w:val="19"/>
        </w:rPr>
        <w:t>领域：医疗卫生    来源：美联社（2026-08-19），《Trump picks Dr. Heidi Overton to lead the Food and Drug Administration》</w:t>
      </w:r>
    </w:p>
    <w:p>
      <w:pPr>
        <w:spacing w:after="40"/>
      </w:pPr>
      <w:r>
        <w:rPr>
          <w:rFonts w:ascii="Microsoft YaHei" w:hAnsi="Microsoft YaHei" w:eastAsia="Microsoft YaHei"/>
          <w:b w:val="0"/>
          <w:color w:val="404040"/>
          <w:sz w:val="19"/>
        </w:rPr>
        <w:t>观点/判断：Bill Cassidy认为：候选人的管理经验及其参与疫苗政策的经历，需要在确认程序中接受严格审查。</w:t>
      </w:r>
    </w:p>
    <w:p>
      <w:pPr>
        <w:spacing w:after="40"/>
        <w:ind w:firstLine="317"/>
      </w:pPr>
      <w:r>
        <w:rPr>
          <w:rFonts w:ascii="Microsoft YaHei" w:hAnsi="Microsoft YaHei" w:eastAsia="Microsoft YaHei"/>
          <w:b w:val="0"/>
          <w:sz w:val="21"/>
        </w:rPr>
        <w:t>美国参议院卫生委员会Bill Cassidy指出，FDA负责人候选人Heidi Overton的医学背景值得尊重，但其管理经验不足、参与近期疫苗政策制定等问题需要严格审查。新任负责人还须同时处理加快药品审批、降低药价、超加工食品监管及疫苗政策等任务。关键不在口号叠加，而在于一是保持科学评审独立，二是明确规则程序，三是稳定专业团队和市场预期。</w:t>
      </w:r>
    </w:p>
    <w:p>
      <w:pPr>
        <w:spacing w:after="100"/>
        <w:pBdr>
          <w:bottom w:val="single" w:sz="4" w:space="4" w:color="E7E6E6"/>
        </w:pBdr>
      </w:pPr>
      <w:r>
        <w:rPr>
          <w:rFonts w:ascii="Microsoft YaHei" w:hAnsi="Microsoft YaHei" w:eastAsia="Microsoft YaHei"/>
          <w:b w:val="0"/>
          <w:sz w:val="18"/>
        </w:rPr>
        <w:t>原文链接：</w:t>
      </w:r>
      <w:hyperlink r:id="rId13">
        <w:r>
          <w:rPr>
            <w:color w:val="0563C1"/>
            <w:u w:val="single"/>
          </w:rPr>
          <w:t>https://apnews.com/article/a54907d62a2482bd462410c0778266b9</w:t>
        </w:r>
      </w:hyperlink>
    </w:p>
    <w:p>
      <w:pPr>
        <w:spacing w:before="140" w:after="40"/>
      </w:pPr>
      <w:r>
        <w:rPr>
          <w:rFonts w:ascii="Microsoft YaHei" w:hAnsi="Microsoft YaHei" w:eastAsia="Microsoft YaHei"/>
          <w:b/>
          <w:color w:val="202020"/>
          <w:sz w:val="24"/>
        </w:rPr>
        <w:t>6. 美国CDC“有经费无人手”问题引关注，公共卫生能力须与预算同步</w:t>
      </w:r>
    </w:p>
    <w:p>
      <w:pPr>
        <w:spacing w:after="40"/>
      </w:pPr>
      <w:r>
        <w:rPr>
          <w:rFonts w:ascii="Microsoft YaHei" w:hAnsi="Microsoft YaHei" w:eastAsia="Microsoft YaHei"/>
          <w:b w:val="0"/>
          <w:color w:val="595959"/>
          <w:sz w:val="19"/>
        </w:rPr>
        <w:t>领域：医疗卫生    来源：美联社（2026-08-19），《New CDC director acknowledges agency problems in first large staff meeting》</w:t>
      </w:r>
    </w:p>
    <w:p>
      <w:pPr>
        <w:spacing w:after="40"/>
      </w:pPr>
      <w:r>
        <w:rPr>
          <w:rFonts w:ascii="Microsoft YaHei" w:hAnsi="Microsoft YaHei" w:eastAsia="Microsoft YaHei"/>
          <w:b w:val="0"/>
          <w:color w:val="404040"/>
          <w:sz w:val="19"/>
        </w:rPr>
        <w:t>观点/判断：Erica Schwartz认为：部分国会已拨款项目因缺少执行人员近乎停摆，员工过劳和编制缺口需优先处理。</w:t>
      </w:r>
    </w:p>
    <w:p>
      <w:pPr>
        <w:spacing w:after="40"/>
        <w:ind w:firstLine="317"/>
      </w:pPr>
      <w:r>
        <w:rPr>
          <w:rFonts w:ascii="Microsoft YaHei" w:hAnsi="Microsoft YaHei" w:eastAsia="Microsoft YaHei"/>
          <w:b w:val="0"/>
          <w:sz w:val="21"/>
        </w:rPr>
        <w:t>美国疾控中心Erica Schwartz在首次全员会议上承认，部分国会已拨款项目因裁员或人员停职而缺少执行力量，员工同时面临过劳和编制不足。问题说明，公共卫生投入不能只看预算额度，还要核对岗位、专业能力和项目交付。一是恢复关键监测项目责任链，二是评估人员负荷与空缺，三是公开预算对应的执行进度，避免“账上有钱、系统失能”。</w:t>
      </w:r>
    </w:p>
    <w:p>
      <w:pPr>
        <w:spacing w:after="100"/>
        <w:pBdr>
          <w:bottom w:val="single" w:sz="4" w:space="4" w:color="E7E6E6"/>
        </w:pBdr>
      </w:pPr>
      <w:r>
        <w:rPr>
          <w:rFonts w:ascii="Microsoft YaHei" w:hAnsi="Microsoft YaHei" w:eastAsia="Microsoft YaHei"/>
          <w:b w:val="0"/>
          <w:sz w:val="18"/>
        </w:rPr>
        <w:t>原文链接：</w:t>
      </w:r>
      <w:hyperlink r:id="rId14">
        <w:r>
          <w:rPr>
            <w:color w:val="0563C1"/>
            <w:u w:val="single"/>
          </w:rPr>
          <w:t>https://apnews.com/article/cbcdef7292e48acfb420d01c32055547</w:t>
        </w:r>
      </w:hyperlink>
    </w:p>
    <w:p>
      <w:pPr>
        <w:spacing w:before="200" w:after="80"/>
        <w:pBdr>
          <w:bottom w:val="single" w:sz="6" w:space="2" w:color="BFBFBF"/>
        </w:pBdr>
      </w:pPr>
      <w:r>
        <w:rPr>
          <w:rFonts w:ascii="Microsoft YaHei" w:hAnsi="Microsoft YaHei" w:eastAsia="Microsoft YaHei"/>
          <w:b/>
          <w:color w:val="202020"/>
          <w:sz w:val="26"/>
        </w:rPr>
        <w:t>数字经济</w:t>
      </w:r>
    </w:p>
    <w:p>
      <w:pPr>
        <w:spacing w:before="140" w:after="40"/>
      </w:pPr>
      <w:r>
        <w:rPr>
          <w:rFonts w:ascii="Microsoft YaHei" w:hAnsi="Microsoft YaHei" w:eastAsia="Microsoft YaHei"/>
          <w:b/>
          <w:color w:val="202020"/>
          <w:sz w:val="24"/>
        </w:rPr>
        <w:t>7. 个性化定价透明度引关注，数据使用边界将成平台合规重点</w:t>
      </w:r>
    </w:p>
    <w:p>
      <w:pPr>
        <w:spacing w:after="40"/>
      </w:pPr>
      <w:r>
        <w:rPr>
          <w:rFonts w:ascii="Microsoft YaHei" w:hAnsi="Microsoft YaHei" w:eastAsia="Microsoft YaHei"/>
          <w:b w:val="0"/>
          <w:color w:val="595959"/>
          <w:sz w:val="19"/>
        </w:rPr>
        <w:t>领域：数字经济    来源：美国联邦贸易委员会（2026-08-19），《FTC Seeks Comment on Enforcement Policy Statement Regarding Personalized Pricing》</w:t>
      </w:r>
    </w:p>
    <w:p>
      <w:pPr>
        <w:spacing w:after="40"/>
      </w:pPr>
      <w:r>
        <w:rPr>
          <w:rFonts w:ascii="Microsoft YaHei" w:hAnsi="Microsoft YaHei" w:eastAsia="Microsoft YaHei"/>
          <w:b w:val="0"/>
          <w:color w:val="404040"/>
          <w:sz w:val="19"/>
        </w:rPr>
        <w:t>观点/判断：Andrew Ferguson认为：企业若利用个人数据差异化定价却不告知消费者，可能构成欺骗性行为。</w:t>
      </w:r>
    </w:p>
    <w:p>
      <w:pPr>
        <w:spacing w:after="40"/>
        <w:ind w:firstLine="317"/>
      </w:pPr>
      <w:r>
        <w:rPr>
          <w:rFonts w:ascii="Microsoft YaHei" w:hAnsi="Microsoft YaHei" w:eastAsia="Microsoft YaHei"/>
          <w:b w:val="0"/>
          <w:sz w:val="21"/>
        </w:rPr>
        <w:t>美国联邦贸易委员会Andrew Ferguson指出，零售商使用个人数据为同一商品设置不同价格却不向消费者说明，可能违反联邦贸易委员会法；但监管机构也不主张一概禁止个性化定价。政策重点是可知情、可比较和可追责。一是明确使用哪些数据，二是显著披露价格是否因人而异，三是保留消费者退出和申诉渠道。征求意见期为联邦公报发布后30天。</w:t>
      </w:r>
    </w:p>
    <w:p>
      <w:pPr>
        <w:spacing w:after="100"/>
        <w:pBdr>
          <w:bottom w:val="single" w:sz="4" w:space="4" w:color="E7E6E6"/>
        </w:pBdr>
      </w:pPr>
      <w:r>
        <w:rPr>
          <w:rFonts w:ascii="Microsoft YaHei" w:hAnsi="Microsoft YaHei" w:eastAsia="Microsoft YaHei"/>
          <w:b w:val="0"/>
          <w:sz w:val="18"/>
        </w:rPr>
        <w:t>原文链接：</w:t>
      </w:r>
      <w:hyperlink r:id="rId15">
        <w:r>
          <w:rPr>
            <w:color w:val="0563C1"/>
            <w:u w:val="single"/>
          </w:rPr>
          <w:t>https://www.ftc.gov/news-events/news/press-releases/2026/08/ftc-seeks-comment-enforcement-policy-statement-regarding-personalized-pricing</w:t>
        </w:r>
      </w:hyperlink>
    </w:p>
    <w:p>
      <w:pPr>
        <w:spacing w:before="140" w:after="40"/>
      </w:pPr>
      <w:r>
        <w:rPr>
          <w:rFonts w:ascii="Microsoft YaHei" w:hAnsi="Microsoft YaHei" w:eastAsia="Microsoft YaHei"/>
          <w:b/>
          <w:color w:val="202020"/>
          <w:sz w:val="24"/>
        </w:rPr>
        <w:t>8. 算力衍生品规则启动研究，AI资源金融化需先补监管边界</w:t>
      </w:r>
    </w:p>
    <w:p>
      <w:pPr>
        <w:spacing w:after="40"/>
      </w:pPr>
      <w:r>
        <w:rPr>
          <w:rFonts w:ascii="Microsoft YaHei" w:hAnsi="Microsoft YaHei" w:eastAsia="Microsoft YaHei"/>
          <w:b w:val="0"/>
          <w:color w:val="595959"/>
          <w:sz w:val="19"/>
        </w:rPr>
        <w:t>领域：数字经济    来源：美国商品期货交易委员会（2026-08-19），《CFTC Requests Comment on the Listing of Compute Derivatives Contracts》</w:t>
      </w:r>
    </w:p>
    <w:p>
      <w:pPr>
        <w:spacing w:after="40"/>
      </w:pPr>
      <w:r>
        <w:rPr>
          <w:rFonts w:ascii="Microsoft YaHei" w:hAnsi="Microsoft YaHei" w:eastAsia="Microsoft YaHei"/>
          <w:b w:val="0"/>
          <w:color w:val="404040"/>
          <w:sz w:val="19"/>
        </w:rPr>
        <w:t>观点/判断：Michael Selig认为：稳健的算力衍生品市场可服务AI投资，但必须先建立清晰交易规则。</w:t>
      </w:r>
    </w:p>
    <w:p>
      <w:pPr>
        <w:spacing w:after="40"/>
        <w:ind w:firstLine="317"/>
      </w:pPr>
      <w:r>
        <w:rPr>
          <w:rFonts w:ascii="Microsoft YaHei" w:hAnsi="Microsoft YaHei" w:eastAsia="Microsoft YaHei"/>
          <w:b w:val="0"/>
          <w:sz w:val="21"/>
        </w:rPr>
        <w:t>美国商品期货交易委员会Michael Selig表示，AI竞争需要稳健的算力衍生品市场，监管征求意见是建立交易规则的第一步。此次讨论覆盖算力现货市场规模与流动性、操纵风险、客户保护及永续算力期货，意见期为联邦公报发布后60天。建议短期先统一算力交付、性能和地域口径；长期建立可审计现货基准、限仓和风控安排，防止金融交易脱离真实算力供给。</w:t>
      </w:r>
    </w:p>
    <w:p>
      <w:pPr>
        <w:spacing w:after="100"/>
        <w:pBdr>
          <w:bottom w:val="single" w:sz="4" w:space="4" w:color="E7E6E6"/>
        </w:pBdr>
      </w:pPr>
      <w:r>
        <w:rPr>
          <w:rFonts w:ascii="Microsoft YaHei" w:hAnsi="Microsoft YaHei" w:eastAsia="Microsoft YaHei"/>
          <w:b w:val="0"/>
          <w:sz w:val="18"/>
        </w:rPr>
        <w:t>原文链接：</w:t>
      </w:r>
      <w:hyperlink r:id="rId16">
        <w:r>
          <w:rPr>
            <w:color w:val="0563C1"/>
            <w:u w:val="single"/>
          </w:rPr>
          <w:t>https://www.cftc.gov/PressRoom/PressReleases/9286-26</w:t>
        </w:r>
      </w:hyperlink>
    </w:p>
    <w:p>
      <w:pPr>
        <w:spacing w:before="140" w:after="40"/>
      </w:pPr>
      <w:r>
        <w:rPr>
          <w:rFonts w:ascii="Microsoft YaHei" w:hAnsi="Microsoft YaHei" w:eastAsia="Microsoft YaHei"/>
          <w:b/>
          <w:color w:val="202020"/>
          <w:sz w:val="24"/>
        </w:rPr>
        <w:t>9. 上海推进6G与国际数据枢纽，制度型开放成为落地关键</w:t>
      </w:r>
    </w:p>
    <w:p>
      <w:pPr>
        <w:spacing w:after="40"/>
      </w:pPr>
      <w:r>
        <w:rPr>
          <w:rFonts w:ascii="Microsoft YaHei" w:hAnsi="Microsoft YaHei" w:eastAsia="Microsoft YaHei"/>
          <w:b w:val="0"/>
          <w:color w:val="595959"/>
          <w:sz w:val="19"/>
        </w:rPr>
        <w:t>领域：数字经济    来源：中国新闻网（2026-08-19），《上海拟推进6G试商用 建设国际数据加工枢纽》</w:t>
      </w:r>
    </w:p>
    <w:p>
      <w:pPr>
        <w:spacing w:after="40"/>
      </w:pPr>
      <w:r>
        <w:rPr>
          <w:rFonts w:ascii="Microsoft YaHei" w:hAnsi="Microsoft YaHei" w:eastAsia="Microsoft YaHei"/>
          <w:b w:val="0"/>
          <w:color w:val="404040"/>
          <w:sz w:val="19"/>
        </w:rPr>
        <w:t>观点/判断：上海市数据局表示/指出：新型网络与跨境数据基础设施应同步建设，才能形成可持续数字贸易能力。</w:t>
      </w:r>
    </w:p>
    <w:p>
      <w:pPr>
        <w:spacing w:after="40"/>
        <w:ind w:firstLine="317"/>
      </w:pPr>
      <w:r>
        <w:rPr>
          <w:rFonts w:ascii="Microsoft YaHei" w:hAnsi="Microsoft YaHei" w:eastAsia="Microsoft YaHei"/>
          <w:b w:val="0"/>
          <w:sz w:val="21"/>
        </w:rPr>
        <w:t>上海提出推进6G试验网和商用部署、建设国际数据加工枢纽，目标是把网络能力、算力供给与跨境数据服务结合起来。其难点不只在基础设施，更在规则衔接和企业可用性。一是完善数据跨境分类分级和合规指引，二是建设可验证的国际数据通道与加工环境，三是围绕制造、医疗、文化等场景形成服务产品。只有把制度成本转化为标准化服务，投入才能形成产业增量。</w:t>
      </w:r>
    </w:p>
    <w:p>
      <w:pPr>
        <w:spacing w:after="100"/>
        <w:pBdr>
          <w:bottom w:val="single" w:sz="4" w:space="4" w:color="E7E6E6"/>
        </w:pBdr>
      </w:pPr>
      <w:r>
        <w:rPr>
          <w:rFonts w:ascii="Microsoft YaHei" w:hAnsi="Microsoft YaHei" w:eastAsia="Microsoft YaHei"/>
          <w:b w:val="0"/>
          <w:sz w:val="18"/>
        </w:rPr>
        <w:t>原文链接：</w:t>
      </w:r>
      <w:hyperlink r:id="rId17">
        <w:r>
          <w:rPr>
            <w:color w:val="0563C1"/>
            <w:u w:val="single"/>
          </w:rPr>
          <w:t>https://www.chinanews.com.cn/cj/2026/08-19/10680662.shtml</w:t>
        </w:r>
      </w:hyperlink>
    </w:p>
    <w:p>
      <w:pPr>
        <w:spacing w:before="200" w:after="80"/>
        <w:pBdr>
          <w:bottom w:val="single" w:sz="6" w:space="2" w:color="BFBFBF"/>
        </w:pBdr>
      </w:pPr>
      <w:r>
        <w:rPr>
          <w:rFonts w:ascii="Microsoft YaHei" w:hAnsi="Microsoft YaHei" w:eastAsia="Microsoft YaHei"/>
          <w:b/>
          <w:color w:val="202020"/>
          <w:sz w:val="26"/>
        </w:rPr>
        <w:t>服务业/消费</w:t>
      </w:r>
    </w:p>
    <w:p>
      <w:pPr>
        <w:spacing w:before="140" w:after="40"/>
      </w:pPr>
      <w:r>
        <w:rPr>
          <w:rFonts w:ascii="Microsoft YaHei" w:hAnsi="Microsoft YaHei" w:eastAsia="Microsoft YaHei"/>
          <w:b/>
          <w:color w:val="202020"/>
          <w:sz w:val="24"/>
        </w:rPr>
        <w:t>10. Target销售回升释放信号，低价与新品组合比普遍促销更有效</w:t>
      </w:r>
    </w:p>
    <w:p>
      <w:pPr>
        <w:spacing w:after="40"/>
      </w:pPr>
      <w:r>
        <w:rPr>
          <w:rFonts w:ascii="Microsoft YaHei" w:hAnsi="Microsoft YaHei" w:eastAsia="Microsoft YaHei"/>
          <w:b w:val="0"/>
          <w:color w:val="595959"/>
          <w:sz w:val="19"/>
        </w:rPr>
        <w:t>领域：服务业/消费    来源：Target（2026-08-19），《Target Corporation Reports Second Quarter Earnings》</w:t>
      </w:r>
    </w:p>
    <w:p>
      <w:pPr>
        <w:spacing w:after="40"/>
      </w:pPr>
      <w:r>
        <w:rPr>
          <w:rFonts w:ascii="Microsoft YaHei" w:hAnsi="Microsoft YaHei" w:eastAsia="Microsoft YaHei"/>
          <w:b w:val="0"/>
          <w:color w:val="404040"/>
          <w:sz w:val="19"/>
        </w:rPr>
        <w:t>观点/判断：Jim Lee认为：约一万种商品降价并强化新品供给，带动各主要品类共同增长。</w:t>
      </w:r>
    </w:p>
    <w:p>
      <w:pPr>
        <w:spacing w:after="40"/>
        <w:ind w:firstLine="317"/>
      </w:pPr>
      <w:r>
        <w:rPr>
          <w:rFonts w:ascii="Microsoft YaHei" w:hAnsi="Microsoft YaHei" w:eastAsia="Microsoft YaHei"/>
          <w:b w:val="0"/>
          <w:sz w:val="21"/>
        </w:rPr>
        <w:t>Target Jim Lee表示，公司通过约一万种商品降价、加快新品上架和优化门店体验，推动可比销售连续第二个季度增长，季度净销售额同比增5.3%至265.4亿美元。其做法表明，消费修复不宜只靠全场折扣，而应将高频商品价格力与差异化供给结合。可复制路径是锁定价格敏感品类、提高新品周转，并用会员数据检验复购，而非以一次性退款抬高利润。</w:t>
      </w:r>
    </w:p>
    <w:p>
      <w:pPr>
        <w:spacing w:after="100"/>
        <w:pBdr>
          <w:bottom w:val="single" w:sz="4" w:space="4" w:color="E7E6E6"/>
        </w:pBdr>
      </w:pPr>
      <w:r>
        <w:rPr>
          <w:rFonts w:ascii="Microsoft YaHei" w:hAnsi="Microsoft YaHei" w:eastAsia="Microsoft YaHei"/>
          <w:b w:val="0"/>
          <w:sz w:val="18"/>
        </w:rPr>
        <w:t>原文链接：</w:t>
      </w:r>
      <w:hyperlink r:id="rId18">
        <w:r>
          <w:rPr>
            <w:color w:val="0563C1"/>
            <w:u w:val="single"/>
          </w:rPr>
          <w:t>https://corporate.target.com/press/release/2026/08/target-corporation-reports-second-quarter-earnings</w:t>
        </w:r>
      </w:hyperlink>
    </w:p>
    <w:p>
      <w:pPr>
        <w:spacing w:before="140" w:after="40"/>
      </w:pPr>
      <w:r>
        <w:rPr>
          <w:rFonts w:ascii="Microsoft YaHei" w:hAnsi="Microsoft YaHei" w:eastAsia="Microsoft YaHei"/>
          <w:b/>
          <w:color w:val="202020"/>
          <w:sz w:val="24"/>
        </w:rPr>
        <w:t>11. 汽车零售“总价前置”经验可推广，隐性收费治理须形成闭环</w:t>
      </w:r>
    </w:p>
    <w:p>
      <w:pPr>
        <w:spacing w:after="40"/>
      </w:pPr>
      <w:r>
        <w:rPr>
          <w:rFonts w:ascii="Microsoft YaHei" w:hAnsi="Microsoft YaHei" w:eastAsia="Microsoft YaHei"/>
          <w:b w:val="0"/>
          <w:color w:val="595959"/>
          <w:sz w:val="19"/>
        </w:rPr>
        <w:t>领域：服务业/消费    来源：美国联邦贸易委员会（2026-08-19），《FTC, Connecticut Secure $4 Million Settlement with Manchester City Nissan》</w:t>
      </w:r>
    </w:p>
    <w:p>
      <w:pPr>
        <w:spacing w:after="40"/>
      </w:pPr>
      <w:r>
        <w:rPr>
          <w:rFonts w:ascii="Microsoft YaHei" w:hAnsi="Microsoft YaHei" w:eastAsia="Microsoft YaHei"/>
          <w:b w:val="0"/>
          <w:color w:val="404040"/>
          <w:sz w:val="19"/>
        </w:rPr>
        <w:t>观点/判断：美国联邦贸易委员会表示/指出：显著展示最高总价并对附加服务取得知情同意，是减少汽车零售纠纷的可复制做法。</w:t>
      </w:r>
    </w:p>
    <w:p>
      <w:pPr>
        <w:spacing w:after="40"/>
        <w:ind w:firstLine="317"/>
      </w:pPr>
      <w:r>
        <w:rPr>
          <w:rFonts w:ascii="Microsoft YaHei" w:hAnsi="Microsoft YaHei" w:eastAsia="Microsoft YaHei"/>
          <w:b w:val="0"/>
          <w:sz w:val="21"/>
        </w:rPr>
        <w:t>美国联邦贸易委员会与康涅狄格州就Manchester City Nissan隐性收费案达成400万美元和解，资金用于消费者补偿。新要求包括显著展示车辆最高总价、不得重复收取认证费用，并在加购服务前取得明确同意。该经验具有可复制性：一是报价即总价，二是选配逐项确认，三是合同与广告口径一致，四是建立快速退款机制。治理重点由事后投诉转向交易前透明。</w:t>
      </w:r>
    </w:p>
    <w:p>
      <w:pPr>
        <w:spacing w:after="100"/>
        <w:pBdr>
          <w:bottom w:val="single" w:sz="4" w:space="4" w:color="E7E6E6"/>
        </w:pBdr>
      </w:pPr>
      <w:r>
        <w:rPr>
          <w:rFonts w:ascii="Microsoft YaHei" w:hAnsi="Microsoft YaHei" w:eastAsia="Microsoft YaHei"/>
          <w:b w:val="0"/>
          <w:sz w:val="18"/>
        </w:rPr>
        <w:t>原文链接：</w:t>
      </w:r>
      <w:hyperlink r:id="rId19">
        <w:r>
          <w:rPr>
            <w:color w:val="0563C1"/>
            <w:u w:val="single"/>
          </w:rPr>
          <w:t>https://www.ftc.gov/news-events/news/press-releases/2026/08/ftc-connecticut-secure-4-million-settlement-manchester-city-nissan-over-deceptive-fees-allegations</w:t>
        </w:r>
      </w:hyperlink>
    </w:p>
    <w:p>
      <w:pPr>
        <w:spacing w:before="140" w:after="40"/>
      </w:pPr>
      <w:r>
        <w:rPr>
          <w:rFonts w:ascii="Microsoft YaHei" w:hAnsi="Microsoft YaHei" w:eastAsia="Microsoft YaHei"/>
          <w:b/>
          <w:color w:val="202020"/>
          <w:sz w:val="24"/>
        </w:rPr>
        <w:t>12. Lowe's线上销售高增，专业客户与到家服务释放可复制增量</w:t>
      </w:r>
    </w:p>
    <w:p>
      <w:pPr>
        <w:spacing w:after="40"/>
      </w:pPr>
      <w:r>
        <w:rPr>
          <w:rFonts w:ascii="Microsoft YaHei" w:hAnsi="Microsoft YaHei" w:eastAsia="Microsoft YaHei"/>
          <w:b w:val="0"/>
          <w:color w:val="595959"/>
          <w:sz w:val="19"/>
        </w:rPr>
        <w:t>领域：服务业/消费    来源：Lowe's（2026-08-19），《Lowe's Reports Second Quarter 2026 Sales and Earnings Results》</w:t>
      </w:r>
    </w:p>
    <w:p>
      <w:pPr>
        <w:spacing w:after="40"/>
      </w:pPr>
      <w:r>
        <w:rPr>
          <w:rFonts w:ascii="Microsoft YaHei" w:hAnsi="Microsoft YaHei" w:eastAsia="Microsoft YaHei"/>
          <w:b w:val="0"/>
          <w:color w:val="404040"/>
          <w:sz w:val="19"/>
        </w:rPr>
        <w:t>观点/判断：Marvin Ellison认为：专业客户、家装服务和线上渠道共同对冲了DIY可选消费承压。</w:t>
      </w:r>
    </w:p>
    <w:p>
      <w:pPr>
        <w:spacing w:after="40"/>
        <w:ind w:firstLine="317"/>
      </w:pPr>
      <w:r>
        <w:rPr>
          <w:rFonts w:ascii="Microsoft YaHei" w:hAnsi="Microsoft YaHei" w:eastAsia="Microsoft YaHei"/>
          <w:b w:val="0"/>
          <w:sz w:val="21"/>
        </w:rPr>
        <w:t>Lowe's Marvin Ellison表示，第二季度同店销售增长0.2%，专业客户、家装服务与线上渠道是主要支撑，其中线上销售增长15.7%，部分抵消DIY可选消费持续承压。其经验在于把商品零售延伸为“材料供应+专业服务+履约配送”。可复制路径是围绕专业客户建立专属库存和报价，打通线上选购、门店提货及上门服务，再以履约时效和复购率衡量效果。</w:t>
      </w:r>
    </w:p>
    <w:p>
      <w:pPr>
        <w:spacing w:after="100"/>
        <w:pBdr>
          <w:bottom w:val="single" w:sz="4" w:space="4" w:color="E7E6E6"/>
        </w:pBdr>
      </w:pPr>
      <w:r>
        <w:rPr>
          <w:rFonts w:ascii="Microsoft YaHei" w:hAnsi="Microsoft YaHei" w:eastAsia="Microsoft YaHei"/>
          <w:b w:val="0"/>
          <w:sz w:val="18"/>
        </w:rPr>
        <w:t>原文链接：</w:t>
      </w:r>
      <w:hyperlink r:id="rId20">
        <w:r>
          <w:rPr>
            <w:color w:val="0563C1"/>
            <w:u w:val="single"/>
          </w:rPr>
          <w:t>https://corporate.lowes.com/newsroom/press-releases</w:t>
        </w:r>
      </w:hyperlink>
    </w:p>
    <w:p>
      <w:pPr>
        <w:spacing w:before="200" w:after="80"/>
        <w:pBdr>
          <w:bottom w:val="single" w:sz="6" w:space="2" w:color="BFBFBF"/>
        </w:pBdr>
      </w:pPr>
      <w:r>
        <w:rPr>
          <w:rFonts w:ascii="Microsoft YaHei" w:hAnsi="Microsoft YaHei" w:eastAsia="Microsoft YaHei"/>
          <w:b/>
          <w:color w:val="202020"/>
          <w:sz w:val="26"/>
        </w:rPr>
        <w:t>就业</w:t>
      </w:r>
    </w:p>
    <w:p>
      <w:pPr>
        <w:spacing w:before="140" w:after="40"/>
      </w:pPr>
      <w:r>
        <w:rPr>
          <w:rFonts w:ascii="Microsoft YaHei" w:hAnsi="Microsoft YaHei" w:eastAsia="Microsoft YaHei"/>
          <w:b/>
          <w:color w:val="202020"/>
          <w:sz w:val="24"/>
        </w:rPr>
        <w:t>13. AI对就业冲击尚未全面显现，技能错配比岗位总量更值得警惕</w:t>
      </w:r>
    </w:p>
    <w:p>
      <w:pPr>
        <w:spacing w:after="40"/>
      </w:pPr>
      <w:r>
        <w:rPr>
          <w:rFonts w:ascii="Microsoft YaHei" w:hAnsi="Microsoft YaHei" w:eastAsia="Microsoft YaHei"/>
          <w:b w:val="0"/>
          <w:color w:val="595959"/>
          <w:sz w:val="19"/>
        </w:rPr>
        <w:t>领域：就业    来源：美国联邦储备委员会（2026-08-19），《Minutes of the Federal Open Market Committee, July 28–29, 2026》</w:t>
      </w:r>
    </w:p>
    <w:p>
      <w:pPr>
        <w:spacing w:after="40"/>
      </w:pPr>
      <w:r>
        <w:rPr>
          <w:rFonts w:ascii="Microsoft YaHei" w:hAnsi="Microsoft YaHei" w:eastAsia="Microsoft YaHei"/>
          <w:b w:val="0"/>
          <w:color w:val="404040"/>
          <w:sz w:val="19"/>
        </w:rPr>
        <w:t>观点/判断：美国联邦储备委员会表示/指出：AI尚未造成广泛净裁员，但电工、机械师和工程师等技能需求明显偏紧。</w:t>
      </w:r>
    </w:p>
    <w:p>
      <w:pPr>
        <w:spacing w:after="40"/>
        <w:ind w:firstLine="317"/>
      </w:pPr>
      <w:r>
        <w:rPr>
          <w:rFonts w:ascii="Microsoft YaHei" w:hAnsi="Microsoft YaHei" w:eastAsia="Microsoft YaHei"/>
          <w:b w:val="0"/>
          <w:sz w:val="21"/>
        </w:rPr>
        <w:t>美国联邦储备委员会会议纪要显示，企业应用AI对就业总量的净影响仍有限，市场担忧的广泛裁员尚未出现；与此同时，数据中心和基础设施建设推高了对电工、机械师、工程师等技能人才的需求。当前矛盾更像技能错配而非岗位突然消失。建议短期扩大项目制培训和资格互认，长期把职业教育课程与AI基础设施、先进制造的真实岗位需求联动。</w:t>
      </w:r>
    </w:p>
    <w:p>
      <w:pPr>
        <w:spacing w:after="100"/>
        <w:pBdr>
          <w:bottom w:val="single" w:sz="4" w:space="4" w:color="E7E6E6"/>
        </w:pBdr>
      </w:pPr>
      <w:r>
        <w:rPr>
          <w:rFonts w:ascii="Microsoft YaHei" w:hAnsi="Microsoft YaHei" w:eastAsia="Microsoft YaHei"/>
          <w:b w:val="0"/>
          <w:sz w:val="18"/>
        </w:rPr>
        <w:t>原文链接：</w:t>
      </w:r>
      <w:hyperlink r:id="rId21">
        <w:r>
          <w:rPr>
            <w:color w:val="0563C1"/>
            <w:u w:val="single"/>
          </w:rPr>
          <w:t>https://www.federalreserve.gov/monetarypolicy/fomcminutes20260729.htm</w:t>
        </w:r>
      </w:hyperlink>
    </w:p>
    <w:p>
      <w:pPr>
        <w:spacing w:before="140" w:after="40"/>
      </w:pPr>
      <w:r>
        <w:rPr>
          <w:rFonts w:ascii="Microsoft YaHei" w:hAnsi="Microsoft YaHei" w:eastAsia="Microsoft YaHei"/>
          <w:b/>
          <w:color w:val="202020"/>
          <w:sz w:val="24"/>
        </w:rPr>
        <w:t>14. 新就业形态劳动者保障引关注，工会服务须从覆盖转向协商</w:t>
      </w:r>
    </w:p>
    <w:p>
      <w:pPr>
        <w:spacing w:after="40"/>
      </w:pPr>
      <w:r>
        <w:rPr>
          <w:rFonts w:ascii="Microsoft YaHei" w:hAnsi="Microsoft YaHei" w:eastAsia="Microsoft YaHei"/>
          <w:b w:val="0"/>
          <w:color w:val="595959"/>
          <w:sz w:val="19"/>
        </w:rPr>
        <w:t>领域：就业    来源：中国新闻网（2026-08-20），《新就业形态劳动者权益保障：全国工会“十五五”规划这样做》</w:t>
      </w:r>
    </w:p>
    <w:p>
      <w:pPr>
        <w:spacing w:after="40"/>
      </w:pPr>
      <w:r>
        <w:rPr>
          <w:rFonts w:ascii="Microsoft YaHei" w:hAnsi="Microsoft YaHei" w:eastAsia="Microsoft YaHei"/>
          <w:b w:val="0"/>
          <w:color w:val="404040"/>
          <w:sz w:val="19"/>
        </w:rPr>
        <w:t>观点/判断：中华全国总工会表示/指出：平台劳动规则和算法治理应纳入常态化协商，权益服务不能停留在建会入会。</w:t>
      </w:r>
    </w:p>
    <w:p>
      <w:pPr>
        <w:spacing w:after="40"/>
        <w:ind w:firstLine="317"/>
      </w:pPr>
      <w:r>
        <w:rPr>
          <w:rFonts w:ascii="Microsoft YaHei" w:hAnsi="Microsoft YaHei" w:eastAsia="Microsoft YaHei"/>
          <w:b w:val="0"/>
          <w:sz w:val="21"/>
        </w:rPr>
        <w:t>中华全国总工会提出，“十五五”时期将进一步加强新就业形态劳动者权益保障。问题在于，劳动关系分散、算法规则不透明，传统以单位为中心的维权方式覆盖有限。建议一是推动平台企业就计价、派单和申诉规则开展协商；二是扩大职业伤害、休息和劳动报酬保障；三是依托工会驿站建立法律、健康与技能服务入口，把组织覆盖转化为可执行的权益标准。</w:t>
      </w:r>
    </w:p>
    <w:p>
      <w:pPr>
        <w:spacing w:after="100"/>
        <w:pBdr>
          <w:bottom w:val="single" w:sz="4" w:space="4" w:color="E7E6E6"/>
        </w:pBdr>
      </w:pPr>
      <w:r>
        <w:rPr>
          <w:rFonts w:ascii="Microsoft YaHei" w:hAnsi="Microsoft YaHei" w:eastAsia="Microsoft YaHei"/>
          <w:b w:val="0"/>
          <w:sz w:val="18"/>
        </w:rPr>
        <w:t>原文链接：</w:t>
      </w:r>
      <w:hyperlink r:id="rId22">
        <w:r>
          <w:rPr>
            <w:color w:val="0563C1"/>
            <w:u w:val="single"/>
          </w:rPr>
          <w:t>https://www.chinanews.com.cn/gn/2026/08-20/10680756.shtml</w:t>
        </w:r>
      </w:hyperlink>
    </w:p>
    <w:p>
      <w:pPr>
        <w:spacing w:before="200" w:after="80"/>
        <w:pBdr>
          <w:bottom w:val="single" w:sz="6" w:space="2" w:color="BFBFBF"/>
        </w:pBdr>
      </w:pPr>
      <w:r>
        <w:rPr>
          <w:rFonts w:ascii="Microsoft YaHei" w:hAnsi="Microsoft YaHei" w:eastAsia="Microsoft YaHei"/>
          <w:b/>
          <w:color w:val="202020"/>
          <w:sz w:val="26"/>
        </w:rPr>
        <w:t>货币金融/投资</w:t>
      </w:r>
    </w:p>
    <w:p>
      <w:pPr>
        <w:spacing w:before="140" w:after="40"/>
      </w:pPr>
      <w:r>
        <w:rPr>
          <w:rFonts w:ascii="Microsoft YaHei" w:hAnsi="Microsoft YaHei" w:eastAsia="Microsoft YaHei"/>
          <w:b/>
          <w:color w:val="202020"/>
          <w:sz w:val="24"/>
        </w:rPr>
        <w:t>15. 美联储内部转向更鹰，通胀黏性提高政策再收紧概率</w:t>
      </w:r>
    </w:p>
    <w:p>
      <w:pPr>
        <w:spacing w:after="40"/>
      </w:pPr>
      <w:r>
        <w:rPr>
          <w:rFonts w:ascii="Microsoft YaHei" w:hAnsi="Microsoft YaHei" w:eastAsia="Microsoft YaHei"/>
          <w:b w:val="0"/>
          <w:color w:val="595959"/>
          <w:sz w:val="19"/>
        </w:rPr>
        <w:t>领域：货币金融/投资    来源：美国联邦储备委员会（2026-08-19），《Minutes of the Federal Open Market Committee, July 28–29, 2026》</w:t>
      </w:r>
    </w:p>
    <w:p>
      <w:pPr>
        <w:spacing w:after="40"/>
      </w:pPr>
      <w:r>
        <w:rPr>
          <w:rFonts w:ascii="Microsoft YaHei" w:hAnsi="Microsoft YaHei" w:eastAsia="Microsoft YaHei"/>
          <w:b w:val="0"/>
          <w:color w:val="404040"/>
          <w:sz w:val="19"/>
        </w:rPr>
        <w:t>观点/判断：美国联邦储备委员会表示/指出：若通胀不能继续回落，多名与会者认为进一步收紧政策可能有必要。</w:t>
      </w:r>
    </w:p>
    <w:p>
      <w:pPr>
        <w:spacing w:after="40"/>
        <w:ind w:firstLine="317"/>
      </w:pPr>
      <w:r>
        <w:rPr>
          <w:rFonts w:ascii="Microsoft YaHei" w:hAnsi="Microsoft YaHei" w:eastAsia="Microsoft YaHei"/>
          <w:b w:val="0"/>
          <w:sz w:val="21"/>
        </w:rPr>
        <w:t>美国联邦储备委员会7月会议以9票对3票维持联邦基金利率目标区间在3.5%至3.75%，三名成员主张加息25个基点。纪要显示，多名与会者认为，若通胀不继续回落，进一步收紧政策可能有必要。AI建设还在推高芯片、钢材、软件和电力价格。市场短期应降低单向降息押注，长期关注供给扩张能否把AI投资从通胀压力转为生产率改善。</w:t>
      </w:r>
    </w:p>
    <w:p>
      <w:pPr>
        <w:spacing w:after="100"/>
        <w:pBdr>
          <w:bottom w:val="single" w:sz="4" w:space="4" w:color="E7E6E6"/>
        </w:pBdr>
      </w:pPr>
      <w:r>
        <w:rPr>
          <w:rFonts w:ascii="Microsoft YaHei" w:hAnsi="Microsoft YaHei" w:eastAsia="Microsoft YaHei"/>
          <w:b w:val="0"/>
          <w:sz w:val="18"/>
        </w:rPr>
        <w:t>原文链接：</w:t>
      </w:r>
      <w:hyperlink r:id="rId23">
        <w:r>
          <w:rPr>
            <w:color w:val="0563C1"/>
            <w:u w:val="single"/>
          </w:rPr>
          <w:t>https://www.federalreserve.gov/monetarypolicy/files/fomcminutes20260729.pdf</w:t>
        </w:r>
      </w:hyperlink>
    </w:p>
    <w:p>
      <w:pPr>
        <w:spacing w:before="140" w:after="40"/>
      </w:pPr>
      <w:r>
        <w:rPr>
          <w:rFonts w:ascii="Microsoft YaHei" w:hAnsi="Microsoft YaHei" w:eastAsia="Microsoft YaHei"/>
          <w:b/>
          <w:color w:val="202020"/>
          <w:sz w:val="24"/>
        </w:rPr>
        <w:t>16. 美国扩大长期国债回购，流动性支持难替代财政约束</w:t>
      </w:r>
    </w:p>
    <w:p>
      <w:pPr>
        <w:spacing w:after="40"/>
      </w:pPr>
      <w:r>
        <w:rPr>
          <w:rFonts w:ascii="Microsoft YaHei" w:hAnsi="Microsoft YaHei" w:eastAsia="Microsoft YaHei"/>
          <w:b w:val="0"/>
          <w:color w:val="595959"/>
          <w:sz w:val="19"/>
        </w:rPr>
        <w:t>领域：货币金融/投资    来源：美国财政部（2026-08-19），《Treasury Announces Increase in Long-End Buybacks》</w:t>
      </w:r>
    </w:p>
    <w:p>
      <w:pPr>
        <w:spacing w:after="40"/>
      </w:pPr>
      <w:r>
        <w:rPr>
          <w:rFonts w:ascii="Microsoft YaHei" w:hAnsi="Microsoft YaHei" w:eastAsia="Microsoft YaHei"/>
          <w:b w:val="0"/>
          <w:color w:val="404040"/>
          <w:sz w:val="19"/>
        </w:rPr>
        <w:t>观点/判断：美国财政部表示/指出：长期名义附息国债单次回购上限至少翻倍，主要用于改善市场流动性。</w:t>
      </w:r>
    </w:p>
    <w:p>
      <w:pPr>
        <w:spacing w:after="40"/>
        <w:ind w:firstLine="317"/>
      </w:pPr>
      <w:r>
        <w:rPr>
          <w:rFonts w:ascii="Microsoft YaHei" w:hAnsi="Microsoft YaHei" w:eastAsia="Microsoft YaHei"/>
          <w:b w:val="0"/>
          <w:sz w:val="21"/>
        </w:rPr>
        <w:t>美国财政部宣布，自9月9日至11月4日，将长期名义附息国债流动性支持回购的单次最高规模由20亿美元至少提高到40亿美元。该工具可吸收流动性较差的旧券、改善价格发现，并缓解长端交易压力，但不等同于减少财政赤字或永久压低利率。观察重点是一句话：回购能改善债券结构和流动性，却不能替代对发债规模、利息负担与财政路径的约束。</w:t>
      </w:r>
    </w:p>
    <w:p>
      <w:pPr>
        <w:spacing w:after="100"/>
        <w:pBdr>
          <w:bottom w:val="single" w:sz="4" w:space="4" w:color="E7E6E6"/>
        </w:pBdr>
      </w:pPr>
      <w:r>
        <w:rPr>
          <w:rFonts w:ascii="Microsoft YaHei" w:hAnsi="Microsoft YaHei" w:eastAsia="Microsoft YaHei"/>
          <w:b w:val="0"/>
          <w:sz w:val="18"/>
        </w:rPr>
        <w:t>原文链接：</w:t>
      </w:r>
      <w:hyperlink r:id="rId24">
        <w:r>
          <w:rPr>
            <w:color w:val="0563C1"/>
            <w:u w:val="single"/>
          </w:rPr>
          <w:t>https://home.treasury.gov/news/press-releases/sb0607</w:t>
        </w:r>
      </w:hyperlink>
    </w:p>
    <w:p>
      <w:pPr>
        <w:spacing w:before="140" w:after="40"/>
      </w:pPr>
      <w:r>
        <w:rPr>
          <w:rFonts w:ascii="Microsoft YaHei" w:hAnsi="Microsoft YaHei" w:eastAsia="Microsoft YaHei"/>
          <w:b/>
          <w:color w:val="202020"/>
          <w:sz w:val="24"/>
        </w:rPr>
        <w:t>17. FTX相关责任人禁业落地，合作减责边界释放执法信号</w:t>
      </w:r>
    </w:p>
    <w:p>
      <w:pPr>
        <w:spacing w:after="40"/>
      </w:pPr>
      <w:r>
        <w:rPr>
          <w:rFonts w:ascii="Microsoft YaHei" w:hAnsi="Microsoft YaHei" w:eastAsia="Microsoft YaHei"/>
          <w:b w:val="0"/>
          <w:color w:val="595959"/>
          <w:sz w:val="19"/>
        </w:rPr>
        <w:t>领域：货币金融/投资    来源：美国商品期货交易委员会（2026-08-19），《CFTC Resolves Actions Against Former Alameda CEO, and Alameda and FTX Co-Founder》</w:t>
      </w:r>
    </w:p>
    <w:p>
      <w:pPr>
        <w:spacing w:after="40"/>
      </w:pPr>
      <w:r>
        <w:rPr>
          <w:rFonts w:ascii="Microsoft YaHei" w:hAnsi="Microsoft YaHei" w:eastAsia="Microsoft YaHei"/>
          <w:b w:val="0"/>
          <w:color w:val="404040"/>
          <w:sz w:val="19"/>
        </w:rPr>
        <w:t>观点/判断：David Miller认为：严厉禁业与对实质合作从宽并行，体现数字资产执法的激励机制。</w:t>
      </w:r>
    </w:p>
    <w:p>
      <w:pPr>
        <w:spacing w:after="40"/>
        <w:ind w:firstLine="317"/>
      </w:pPr>
      <w:r>
        <w:rPr>
          <w:rFonts w:ascii="Microsoft YaHei" w:hAnsi="Microsoft YaHei" w:eastAsia="Microsoft YaHei"/>
          <w:b w:val="0"/>
          <w:sz w:val="21"/>
        </w:rPr>
        <w:t>商品期货交易委员会David Miller表示，对Alameda前负责人Caroline Ellison和FTX联合创始人Gary Wang的处理，体现监管对实质合作的重视。法院分别施加5年交易禁令及10年、8年注册禁令；监管暂不追索赔偿、追缴或罚款，部分考虑其协助调查及刑事程序中110亿美元没收令。信号是：合作可影响制裁幅度，但不能消除欺诈责任和市场禁入。</w:t>
      </w:r>
    </w:p>
    <w:p>
      <w:pPr>
        <w:spacing w:after="100"/>
        <w:pBdr>
          <w:bottom w:val="single" w:sz="4" w:space="4" w:color="E7E6E6"/>
        </w:pBdr>
      </w:pPr>
      <w:r>
        <w:rPr>
          <w:rFonts w:ascii="Microsoft YaHei" w:hAnsi="Microsoft YaHei" w:eastAsia="Microsoft YaHei"/>
          <w:b w:val="0"/>
          <w:sz w:val="18"/>
        </w:rPr>
        <w:t>原文链接：</w:t>
      </w:r>
      <w:hyperlink r:id="rId25">
        <w:r>
          <w:rPr>
            <w:color w:val="0563C1"/>
            <w:u w:val="single"/>
          </w:rPr>
          <w:t>https://www.cftc.gov/PressRoom/PressReleases/9285-26</w:t>
        </w:r>
      </w:hyperlink>
    </w:p>
    <w:p>
      <w:pPr>
        <w:spacing w:before="140" w:after="40"/>
      </w:pPr>
      <w:r>
        <w:rPr>
          <w:rFonts w:ascii="Microsoft YaHei" w:hAnsi="Microsoft YaHei" w:eastAsia="Microsoft YaHei"/>
          <w:b/>
          <w:color w:val="202020"/>
          <w:sz w:val="24"/>
        </w:rPr>
        <w:t>18. 美国拟收紧四类可退税抵免资格，低收入家庭影响须先评估</w:t>
      </w:r>
    </w:p>
    <w:p>
      <w:pPr>
        <w:spacing w:after="40"/>
      </w:pPr>
      <w:r>
        <w:rPr>
          <w:rFonts w:ascii="Microsoft YaHei" w:hAnsi="Microsoft YaHei" w:eastAsia="Microsoft YaHei"/>
          <w:b w:val="0"/>
          <w:color w:val="595959"/>
          <w:sz w:val="19"/>
        </w:rPr>
        <w:t>领域：货币金融/投资    来源：美国财政部（2026-08-19），《Treasury Proposes Rules on Refundable Tax Credits》</w:t>
      </w:r>
    </w:p>
    <w:p>
      <w:pPr>
        <w:spacing w:after="40"/>
      </w:pPr>
      <w:r>
        <w:rPr>
          <w:rFonts w:ascii="Microsoft YaHei" w:hAnsi="Microsoft YaHei" w:eastAsia="Microsoft YaHei"/>
          <w:b w:val="0"/>
          <w:color w:val="404040"/>
          <w:sz w:val="19"/>
        </w:rPr>
        <w:t>观点/判断：美国财政部表示/指出：将可退税部分视为联邦公共福利，可能改变收养、子女、教育和劳动所得抵免的资格范围。</w:t>
      </w:r>
    </w:p>
    <w:p>
      <w:pPr>
        <w:spacing w:after="40"/>
        <w:ind w:firstLine="317"/>
      </w:pPr>
      <w:r>
        <w:rPr>
          <w:rFonts w:ascii="Microsoft YaHei" w:hAnsi="Microsoft YaHei" w:eastAsia="Microsoft YaHei"/>
          <w:b w:val="0"/>
          <w:sz w:val="21"/>
        </w:rPr>
        <w:t>美国财政部提出，将收养、子女、美国机会和劳动所得四类税收抵免的可退税部分视为联邦公共福利，并据此限制部分申请资格。政策争议不只在财政节支，还涉及低收入劳动家庭和在校人员的现金流。一是应公开受影响人数与收入分布，二是设置清晰过渡期，三是简化资格核验，四是评估是否削弱就业和教育激励，避免合规成本抵消政策目标。</w:t>
      </w:r>
    </w:p>
    <w:p>
      <w:pPr>
        <w:spacing w:after="100"/>
        <w:pBdr>
          <w:bottom w:val="single" w:sz="4" w:space="4" w:color="E7E6E6"/>
        </w:pBdr>
      </w:pPr>
      <w:r>
        <w:rPr>
          <w:rFonts w:ascii="Microsoft YaHei" w:hAnsi="Microsoft YaHei" w:eastAsia="Microsoft YaHei"/>
          <w:b w:val="0"/>
          <w:sz w:val="18"/>
        </w:rPr>
        <w:t>原文链接：</w:t>
      </w:r>
      <w:hyperlink r:id="rId26">
        <w:r>
          <w:rPr>
            <w:color w:val="0563C1"/>
            <w:u w:val="single"/>
          </w:rPr>
          <w:t>https://home.treasury.gov/news/press-releases/sb0608</w:t>
        </w:r>
      </w:hyperlink>
    </w:p>
    <w:p>
      <w:pPr>
        <w:spacing w:before="200" w:after="80"/>
        <w:pBdr>
          <w:bottom w:val="single" w:sz="6" w:space="2" w:color="BFBFBF"/>
        </w:pBdr>
      </w:pPr>
      <w:r>
        <w:rPr>
          <w:rFonts w:ascii="Microsoft YaHei" w:hAnsi="Microsoft YaHei" w:eastAsia="Microsoft YaHei"/>
          <w:b/>
          <w:color w:val="202020"/>
          <w:sz w:val="26"/>
        </w:rPr>
        <w:t>外资外贸</w:t>
      </w:r>
    </w:p>
    <w:p>
      <w:pPr>
        <w:spacing w:before="140" w:after="40"/>
      </w:pPr>
      <w:r>
        <w:rPr>
          <w:rFonts w:ascii="Microsoft YaHei" w:hAnsi="Microsoft YaHei" w:eastAsia="Microsoft YaHei"/>
          <w:b/>
          <w:color w:val="202020"/>
          <w:sz w:val="24"/>
        </w:rPr>
        <w:t>19. 中澳扩大本币互换，贸易投资结算韧性进一步增强</w:t>
      </w:r>
    </w:p>
    <w:p>
      <w:pPr>
        <w:spacing w:after="40"/>
      </w:pPr>
      <w:r>
        <w:rPr>
          <w:rFonts w:ascii="Microsoft YaHei" w:hAnsi="Microsoft YaHei" w:eastAsia="Microsoft YaHei"/>
          <w:b w:val="0"/>
          <w:color w:val="595959"/>
          <w:sz w:val="19"/>
        </w:rPr>
        <w:t>领域：外资外贸    来源：中国人民银行（2026-08-19），《中国人民银行与澳大利亚储备银行续签双边本币互换协议》</w:t>
      </w:r>
    </w:p>
    <w:p>
      <w:pPr>
        <w:spacing w:after="40"/>
      </w:pPr>
      <w:r>
        <w:rPr>
          <w:rFonts w:ascii="Microsoft YaHei" w:hAnsi="Microsoft YaHei" w:eastAsia="Microsoft YaHei"/>
          <w:b w:val="0"/>
          <w:color w:val="404040"/>
          <w:sz w:val="19"/>
        </w:rPr>
        <w:t>观点/判断：中国人民银行表示/指出：互换规模扩大并延长五年，可为双边贸易投资和金融稳定提供流动性支持。</w:t>
      </w:r>
    </w:p>
    <w:p>
      <w:pPr>
        <w:spacing w:after="40"/>
        <w:ind w:firstLine="317"/>
      </w:pPr>
      <w:r>
        <w:rPr>
          <w:rFonts w:ascii="Microsoft YaHei" w:hAnsi="Microsoft YaHei" w:eastAsia="Microsoft YaHei"/>
          <w:b w:val="0"/>
          <w:sz w:val="21"/>
        </w:rPr>
        <w:t>中国人民银行与澳大利亚储备银行续签并扩大双边本币互换协议，规模由2000亿元人民币、410亿澳元提高至2200亿元人民币、460亿澳元，有效期五年，经双方同意可展期。该安排可为双边贸易投资提供本币流动性，并在市场波动时增强金融稳定。一句话观察：互换额度扩容并不自动带来结算增长，实际效果仍取决于企业使用便利度和真实贸易需求。</w:t>
      </w:r>
    </w:p>
    <w:p>
      <w:pPr>
        <w:spacing w:after="100"/>
        <w:pBdr>
          <w:bottom w:val="single" w:sz="4" w:space="4" w:color="E7E6E6"/>
        </w:pBdr>
      </w:pPr>
      <w:r>
        <w:rPr>
          <w:rFonts w:ascii="Microsoft YaHei" w:hAnsi="Microsoft YaHei" w:eastAsia="Microsoft YaHei"/>
          <w:b w:val="0"/>
          <w:sz w:val="18"/>
        </w:rPr>
        <w:t>原文链接：</w:t>
      </w:r>
      <w:hyperlink r:id="rId27">
        <w:r>
          <w:rPr>
            <w:color w:val="0563C1"/>
            <w:u w:val="single"/>
          </w:rPr>
          <w:t>https://www.pbc.gov.cn/goutongjiaoliu/113456/113469/2026081915294182128/index.html</w:t>
        </w:r>
      </w:hyperlink>
    </w:p>
    <w:p>
      <w:pPr>
        <w:spacing w:before="140" w:after="40"/>
      </w:pPr>
      <w:r>
        <w:rPr>
          <w:rFonts w:ascii="Microsoft YaHei" w:hAnsi="Microsoft YaHei" w:eastAsia="Microsoft YaHei"/>
          <w:b/>
          <w:color w:val="202020"/>
          <w:sz w:val="24"/>
        </w:rPr>
        <w:t>20. 美加暂缓加征关税，框架协议仍需用完整文本校准预期</w:t>
      </w:r>
    </w:p>
    <w:p>
      <w:pPr>
        <w:spacing w:after="40"/>
      </w:pPr>
      <w:r>
        <w:rPr>
          <w:rFonts w:ascii="Microsoft YaHei" w:hAnsi="Microsoft YaHei" w:eastAsia="Microsoft YaHei"/>
          <w:b w:val="0"/>
          <w:color w:val="595959"/>
          <w:sz w:val="19"/>
        </w:rPr>
        <w:t>领域：外资外贸    来源：Axios（2026-08-19），《Trump postpones 50% tariffs on Canadian goods》</w:t>
      </w:r>
    </w:p>
    <w:p>
      <w:pPr>
        <w:spacing w:after="40"/>
      </w:pPr>
      <w:r>
        <w:rPr>
          <w:rFonts w:ascii="Microsoft YaHei" w:hAnsi="Microsoft YaHei" w:eastAsia="Microsoft YaHei"/>
          <w:b w:val="0"/>
          <w:color w:val="404040"/>
          <w:sz w:val="19"/>
        </w:rPr>
        <w:t>观点/判断：加拿大政府表示/指出：双方取得实质进展但协议尚未完成，企业不宜把短期延期视为风险解除。</w:t>
      </w:r>
    </w:p>
    <w:p>
      <w:pPr>
        <w:spacing w:after="40"/>
        <w:ind w:firstLine="317"/>
      </w:pPr>
      <w:r>
        <w:rPr>
          <w:rFonts w:ascii="Microsoft YaHei" w:hAnsi="Microsoft YaHei" w:eastAsia="Microsoft YaHei"/>
          <w:b w:val="0"/>
          <w:sz w:val="21"/>
        </w:rPr>
        <w:t>美国将原定对约200亿美元加拿大商品加征的50%关税暂缓三天，双方表示已形成待完善的协议框架。现阶段可确认的是制裁未立即生效，但钢铝、乳制品、汽车和酒类等关键条款仍待文本披露。企业短期应保留关税情景报价和替代物流安排；长期应根据最终原产地、配额与豁免规则重算供应链成本，避免把政治表态直接当作可执行贸易条款。</w:t>
      </w:r>
    </w:p>
    <w:p>
      <w:pPr>
        <w:spacing w:after="100"/>
        <w:pBdr>
          <w:bottom w:val="single" w:sz="4" w:space="4" w:color="E7E6E6"/>
        </w:pBdr>
      </w:pPr>
      <w:r>
        <w:rPr>
          <w:rFonts w:ascii="Microsoft YaHei" w:hAnsi="Microsoft YaHei" w:eastAsia="Microsoft YaHei"/>
          <w:b w:val="0"/>
          <w:sz w:val="18"/>
        </w:rPr>
        <w:t>原文链接：</w:t>
      </w:r>
      <w:hyperlink r:id="rId28">
        <w:r>
          <w:rPr>
            <w:color w:val="0563C1"/>
            <w:u w:val="single"/>
          </w:rPr>
          <w:t>https://www.axios.com/2026/08/19/trump-canada-tariffs-50-percent-postponed</w:t>
        </w:r>
      </w:hyperlink>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hinanews.com.cn/cj/2026/08-19/10680697.shtml" TargetMode="External"/><Relationship Id="rId10" Type="http://schemas.openxmlformats.org/officeDocument/2006/relationships/hyperlink" Target="https://www.itiger.com/news/2660844018" TargetMode="External"/><Relationship Id="rId11" Type="http://schemas.openxmlformats.org/officeDocument/2006/relationships/hyperlink" Target="https://www.axios.com/newsletters/axios-closer-74649dc6-fb50-490b-b4a4-d4fc2e8e3389" TargetMode="External"/><Relationship Id="rId12" Type="http://schemas.openxmlformats.org/officeDocument/2006/relationships/hyperlink" Target="https://www.merck.com/news/merck-and-moderna-announce-phase-3-interpath-001-trial-of-intismeran-autogene-plus-keytruda-met-endpoints-of-recurrence-free-survival-rfs-and-distant-metastasis-free-survival-dmfs-in-patient/" TargetMode="External"/><Relationship Id="rId13" Type="http://schemas.openxmlformats.org/officeDocument/2006/relationships/hyperlink" Target="https://apnews.com/article/a54907d62a2482bd462410c0778266b9" TargetMode="External"/><Relationship Id="rId14" Type="http://schemas.openxmlformats.org/officeDocument/2006/relationships/hyperlink" Target="https://apnews.com/article/cbcdef7292e48acfb420d01c32055547" TargetMode="External"/><Relationship Id="rId15" Type="http://schemas.openxmlformats.org/officeDocument/2006/relationships/hyperlink" Target="https://www.ftc.gov/news-events/news/press-releases/2026/08/ftc-seeks-comment-enforcement-policy-statement-regarding-personalized-pricing" TargetMode="External"/><Relationship Id="rId16" Type="http://schemas.openxmlformats.org/officeDocument/2006/relationships/hyperlink" Target="https://www.cftc.gov/PressRoom/PressReleases/9286-26" TargetMode="External"/><Relationship Id="rId17" Type="http://schemas.openxmlformats.org/officeDocument/2006/relationships/hyperlink" Target="https://www.chinanews.com.cn/cj/2026/08-19/10680662.shtml" TargetMode="External"/><Relationship Id="rId18" Type="http://schemas.openxmlformats.org/officeDocument/2006/relationships/hyperlink" Target="https://corporate.target.com/press/release/2026/08/target-corporation-reports-second-quarter-earnings" TargetMode="External"/><Relationship Id="rId19" Type="http://schemas.openxmlformats.org/officeDocument/2006/relationships/hyperlink" Target="https://www.ftc.gov/news-events/news/press-releases/2026/08/ftc-connecticut-secure-4-million-settlement-manchester-city-nissan-over-deceptive-fees-allegations" TargetMode="External"/><Relationship Id="rId20" Type="http://schemas.openxmlformats.org/officeDocument/2006/relationships/hyperlink" Target="https://corporate.lowes.com/newsroom/press-releases" TargetMode="External"/><Relationship Id="rId21" Type="http://schemas.openxmlformats.org/officeDocument/2006/relationships/hyperlink" Target="https://www.federalreserve.gov/monetarypolicy/fomcminutes20260729.htm" TargetMode="External"/><Relationship Id="rId22" Type="http://schemas.openxmlformats.org/officeDocument/2006/relationships/hyperlink" Target="https://www.chinanews.com.cn/gn/2026/08-20/10680756.shtml" TargetMode="External"/><Relationship Id="rId23" Type="http://schemas.openxmlformats.org/officeDocument/2006/relationships/hyperlink" Target="https://www.federalreserve.gov/monetarypolicy/files/fomcminutes20260729.pdf" TargetMode="External"/><Relationship Id="rId24" Type="http://schemas.openxmlformats.org/officeDocument/2006/relationships/hyperlink" Target="https://home.treasury.gov/news/press-releases/sb0607" TargetMode="External"/><Relationship Id="rId25" Type="http://schemas.openxmlformats.org/officeDocument/2006/relationships/hyperlink" Target="https://www.cftc.gov/PressRoom/PressReleases/9285-26" TargetMode="External"/><Relationship Id="rId26" Type="http://schemas.openxmlformats.org/officeDocument/2006/relationships/hyperlink" Target="https://home.treasury.gov/news/press-releases/sb0608" TargetMode="External"/><Relationship Id="rId27" Type="http://schemas.openxmlformats.org/officeDocument/2006/relationships/hyperlink" Target="https://www.pbc.gov.cn/goutongjiaoliu/113456/113469/2026081915294182128/index.html" TargetMode="External"/><Relationship Id="rId28" Type="http://schemas.openxmlformats.org/officeDocument/2006/relationships/hyperlink" Target="https://www.axios.com/2026/08/19/trump-canada-tariffs-50-percent-postpo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每日信息动态</dc:title>
  <dc:subject>新闻项目简报</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