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1A37" w14:textId="65FD2464" w:rsidR="005A3FF3" w:rsidRPr="00D62E95" w:rsidRDefault="00D62E95" w:rsidP="00D62E95">
      <w:pPr>
        <w:jc w:val="center"/>
        <w:rPr>
          <w:rFonts w:ascii="Garamond" w:hAnsi="Garamond"/>
          <w:b/>
          <w:bCs/>
          <w:sz w:val="24"/>
          <w:szCs w:val="24"/>
        </w:rPr>
      </w:pPr>
      <w:r w:rsidRPr="00D62E95">
        <w:rPr>
          <w:rFonts w:ascii="Garamond" w:hAnsi="Garamond"/>
          <w:b/>
          <w:bCs/>
          <w:sz w:val="24"/>
          <w:szCs w:val="24"/>
        </w:rPr>
        <w:t>INTRODUCTION</w:t>
      </w:r>
    </w:p>
    <w:p w14:paraId="6F090313" w14:textId="7997E224" w:rsidR="00D62E95" w:rsidRDefault="00D62E95" w:rsidP="00E07B7F">
      <w:pPr>
        <w:spacing w:line="360" w:lineRule="auto"/>
        <w:rPr>
          <w:rFonts w:ascii="Garamond" w:hAnsi="Garamond"/>
          <w:sz w:val="24"/>
          <w:szCs w:val="24"/>
        </w:rPr>
      </w:pPr>
      <w:r w:rsidRPr="00D62E95">
        <w:rPr>
          <w:rFonts w:ascii="Garamond" w:hAnsi="Garamond"/>
          <w:sz w:val="24"/>
          <w:szCs w:val="24"/>
        </w:rPr>
        <w:t>Understanding the external environment is crucial for organizations, particularly in the context of sustainable development (Uitto, 2016). This understanding is negotiated through communication and shapes organizational strategic norms</w:t>
      </w:r>
      <w:r w:rsidR="008B05A7">
        <w:rPr>
          <w:rFonts w:ascii="Garamond" w:hAnsi="Garamond"/>
          <w:sz w:val="24"/>
          <w:szCs w:val="24"/>
        </w:rPr>
        <w:t xml:space="preserve"> </w:t>
      </w:r>
      <w:r w:rsidR="008B05A7" w:rsidRPr="008B05A7">
        <w:rPr>
          <w:rFonts w:ascii="Garamond" w:hAnsi="Garamond"/>
          <w:sz w:val="24"/>
          <w:szCs w:val="24"/>
        </w:rPr>
        <w:t>(Dirsmith and Covaleski 2023</w:t>
      </w:r>
      <w:r w:rsidR="00C16A86" w:rsidRPr="008B05A7">
        <w:rPr>
          <w:rFonts w:ascii="Garamond" w:hAnsi="Garamond"/>
          <w:sz w:val="24"/>
          <w:szCs w:val="24"/>
        </w:rPr>
        <w:t>)</w:t>
      </w:r>
      <w:r w:rsidR="00C16A86" w:rsidRPr="00D62E95">
        <w:rPr>
          <w:rFonts w:ascii="Garamond" w:hAnsi="Garamond"/>
          <w:sz w:val="24"/>
          <w:szCs w:val="24"/>
        </w:rPr>
        <w:t>. However</w:t>
      </w:r>
      <w:r w:rsidRPr="00D62E95">
        <w:rPr>
          <w:rFonts w:ascii="Garamond" w:hAnsi="Garamond"/>
          <w:sz w:val="24"/>
          <w:szCs w:val="24"/>
        </w:rPr>
        <w:t>, the assessment of the external environment is complex and requires clear definitions and measures (Miller</w:t>
      </w:r>
      <w:r w:rsidR="008B05A7">
        <w:rPr>
          <w:rFonts w:ascii="Garamond" w:hAnsi="Garamond"/>
          <w:sz w:val="24"/>
          <w:szCs w:val="24"/>
        </w:rPr>
        <w:t xml:space="preserve"> </w:t>
      </w:r>
      <w:r w:rsidR="008B05A7" w:rsidRPr="008B05A7">
        <w:rPr>
          <w:rFonts w:ascii="Garamond" w:hAnsi="Garamond"/>
          <w:i/>
          <w:iCs/>
          <w:sz w:val="24"/>
          <w:szCs w:val="24"/>
        </w:rPr>
        <w:t>et al</w:t>
      </w:r>
      <w:r w:rsidRPr="00D62E95">
        <w:rPr>
          <w:rFonts w:ascii="Garamond" w:hAnsi="Garamond"/>
          <w:sz w:val="24"/>
          <w:szCs w:val="24"/>
        </w:rPr>
        <w:t>, 20</w:t>
      </w:r>
      <w:r w:rsidR="008B05A7">
        <w:rPr>
          <w:rFonts w:ascii="Garamond" w:hAnsi="Garamond"/>
          <w:sz w:val="24"/>
          <w:szCs w:val="24"/>
        </w:rPr>
        <w:t>1</w:t>
      </w:r>
      <w:r w:rsidRPr="00D62E95">
        <w:rPr>
          <w:rFonts w:ascii="Garamond" w:hAnsi="Garamond"/>
          <w:sz w:val="24"/>
          <w:szCs w:val="24"/>
        </w:rPr>
        <w:t xml:space="preserve">6). The impact of the external environment on management information systems is also significant, with different states of the environment requiring different information characteristics and collection approaches (Ewusi-Mensah, </w:t>
      </w:r>
      <w:r w:rsidR="008B05A7">
        <w:rPr>
          <w:rFonts w:ascii="Garamond" w:hAnsi="Garamond"/>
          <w:sz w:val="24"/>
          <w:szCs w:val="24"/>
        </w:rPr>
        <w:t>202</w:t>
      </w:r>
      <w:r w:rsidRPr="00D62E95">
        <w:rPr>
          <w:rFonts w:ascii="Garamond" w:hAnsi="Garamond"/>
          <w:sz w:val="24"/>
          <w:szCs w:val="24"/>
        </w:rPr>
        <w:t>1). Therefore, a critical evaluation of the external environment is essential for organizations to effectively navigate and respond to its challenges and opportunities.</w:t>
      </w:r>
    </w:p>
    <w:p w14:paraId="5EBCB733" w14:textId="77777777" w:rsidR="000C36D7" w:rsidRDefault="00AE56B6" w:rsidP="00E07B7F">
      <w:pPr>
        <w:spacing w:line="360" w:lineRule="auto"/>
        <w:rPr>
          <w:rFonts w:ascii="Garamond" w:hAnsi="Garamond"/>
          <w:sz w:val="24"/>
          <w:szCs w:val="24"/>
        </w:rPr>
      </w:pPr>
      <w:r w:rsidRPr="00AE56B6">
        <w:rPr>
          <w:rFonts w:ascii="Garamond" w:hAnsi="Garamond"/>
          <w:sz w:val="24"/>
          <w:szCs w:val="24"/>
        </w:rPr>
        <w:t xml:space="preserve">The PESTEL analysis framework, which considers political, economic, social, technological, environmental, and legal factors, has been widely used in various industries to assess the external environment. Mokhtar (2021) and Schütz </w:t>
      </w:r>
      <w:r w:rsidR="00841A8E">
        <w:rPr>
          <w:rFonts w:ascii="Garamond" w:hAnsi="Garamond"/>
          <w:i/>
          <w:iCs/>
          <w:sz w:val="24"/>
          <w:szCs w:val="24"/>
        </w:rPr>
        <w:t xml:space="preserve">et al </w:t>
      </w:r>
      <w:r w:rsidRPr="00AE56B6">
        <w:rPr>
          <w:rFonts w:ascii="Garamond" w:hAnsi="Garamond"/>
          <w:sz w:val="24"/>
          <w:szCs w:val="24"/>
        </w:rPr>
        <w:t xml:space="preserve">(2018) both highlight the relevance of this framework in strategic management, with Mokhtar specifically applying it to event management and Schütz demonstrating its use in </w:t>
      </w:r>
      <w:r w:rsidRPr="00AE56B6">
        <w:rPr>
          <w:rFonts w:ascii="Garamond" w:hAnsi="Garamond"/>
          <w:sz w:val="24"/>
          <w:szCs w:val="24"/>
        </w:rPr>
        <w:t>analysing</w:t>
      </w:r>
      <w:r w:rsidRPr="00AE56B6">
        <w:rPr>
          <w:rFonts w:ascii="Garamond" w:hAnsi="Garamond"/>
          <w:sz w:val="24"/>
          <w:szCs w:val="24"/>
        </w:rPr>
        <w:t xml:space="preserve"> a company's macroenvironment. The environmental aspect of the PESTEL framework is particularly important for companies like Microsoft, as it helps them understand the impact of environmental factors on their operations and strategic position. This is further supported by Zhang</w:t>
      </w:r>
      <w:r w:rsidR="00841A8E">
        <w:rPr>
          <w:rFonts w:ascii="Garamond" w:hAnsi="Garamond"/>
          <w:sz w:val="24"/>
          <w:szCs w:val="24"/>
        </w:rPr>
        <w:t xml:space="preserve"> </w:t>
      </w:r>
      <w:r w:rsidR="00841A8E" w:rsidRPr="00841A8E">
        <w:rPr>
          <w:rFonts w:ascii="Garamond" w:hAnsi="Garamond"/>
          <w:i/>
          <w:iCs/>
          <w:sz w:val="24"/>
          <w:szCs w:val="24"/>
        </w:rPr>
        <w:t>et al</w:t>
      </w:r>
      <w:r w:rsidRPr="00AE56B6">
        <w:rPr>
          <w:rFonts w:ascii="Garamond" w:hAnsi="Garamond"/>
          <w:sz w:val="24"/>
          <w:szCs w:val="24"/>
        </w:rPr>
        <w:t xml:space="preserve"> (2011), who emphasizes the need for a holistic strategic analysis framework, and Galindro</w:t>
      </w:r>
      <w:r w:rsidR="00763B9B">
        <w:rPr>
          <w:rFonts w:ascii="Garamond" w:hAnsi="Garamond"/>
          <w:sz w:val="24"/>
          <w:szCs w:val="24"/>
        </w:rPr>
        <w:t xml:space="preserve"> </w:t>
      </w:r>
      <w:r w:rsidR="00763B9B">
        <w:rPr>
          <w:rFonts w:ascii="Garamond" w:hAnsi="Garamond"/>
          <w:i/>
          <w:iCs/>
          <w:sz w:val="24"/>
          <w:szCs w:val="24"/>
        </w:rPr>
        <w:t>et al</w:t>
      </w:r>
      <w:r w:rsidRPr="00AE56B6">
        <w:rPr>
          <w:rFonts w:ascii="Garamond" w:hAnsi="Garamond"/>
          <w:sz w:val="24"/>
          <w:szCs w:val="24"/>
        </w:rPr>
        <w:t xml:space="preserve"> (2019), who suggests the use of data envelopment analysis to benchmark environmental product declarations. These studies collectively underscore the rationale for using the PESTEL framework to explain the environmental analysis of Microsoft, as it provides a comprehensive and structured approach to understanding the environmental factors that can influence the company's performance.</w:t>
      </w:r>
    </w:p>
    <w:p w14:paraId="605E8CBF" w14:textId="77777777" w:rsidR="000C36D7" w:rsidRDefault="000C36D7" w:rsidP="000C36D7">
      <w:pPr>
        <w:spacing w:line="360" w:lineRule="auto"/>
        <w:jc w:val="center"/>
        <w:rPr>
          <w:rFonts w:ascii="Garamond" w:hAnsi="Garamond"/>
          <w:b/>
          <w:bCs/>
          <w:sz w:val="24"/>
          <w:szCs w:val="24"/>
        </w:rPr>
      </w:pPr>
      <w:r w:rsidRPr="000C36D7">
        <w:rPr>
          <w:rFonts w:ascii="Garamond" w:hAnsi="Garamond"/>
          <w:b/>
          <w:bCs/>
          <w:sz w:val="24"/>
          <w:szCs w:val="24"/>
        </w:rPr>
        <w:t>MACRO-ENVIRONMENT ANALYSIS</w:t>
      </w:r>
    </w:p>
    <w:p w14:paraId="31CAA975" w14:textId="0AF47CA5" w:rsidR="00303F86" w:rsidRPr="000C36D7" w:rsidRDefault="00303F86" w:rsidP="000C36D7">
      <w:pPr>
        <w:spacing w:line="360" w:lineRule="auto"/>
        <w:rPr>
          <w:rFonts w:ascii="Garamond" w:hAnsi="Garamond"/>
          <w:b/>
          <w:bCs/>
          <w:sz w:val="24"/>
          <w:szCs w:val="24"/>
        </w:rPr>
      </w:pPr>
      <w:r w:rsidRPr="000C36D7">
        <w:rPr>
          <w:rFonts w:ascii="Garamond" w:hAnsi="Garamond"/>
          <w:b/>
          <w:bCs/>
          <w:sz w:val="24"/>
          <w:szCs w:val="24"/>
        </w:rPr>
        <w:br w:type="page"/>
      </w:r>
    </w:p>
    <w:p w14:paraId="45540F7C" w14:textId="44E2EF5F" w:rsidR="00303F86" w:rsidRDefault="00303F86">
      <w:pPr>
        <w:rPr>
          <w:rFonts w:ascii="Garamond" w:hAnsi="Garamond"/>
          <w:sz w:val="24"/>
          <w:szCs w:val="24"/>
        </w:rPr>
      </w:pPr>
      <w:r>
        <w:rPr>
          <w:rFonts w:ascii="Garamond" w:hAnsi="Garamond"/>
          <w:sz w:val="24"/>
          <w:szCs w:val="24"/>
        </w:rPr>
        <w:lastRenderedPageBreak/>
        <w:br w:type="page"/>
      </w:r>
    </w:p>
    <w:p w14:paraId="5105FBDB" w14:textId="6D9BF36C" w:rsidR="00303F86" w:rsidRDefault="00303F86">
      <w:pPr>
        <w:rPr>
          <w:rFonts w:ascii="Garamond" w:hAnsi="Garamond"/>
          <w:sz w:val="24"/>
          <w:szCs w:val="24"/>
        </w:rPr>
      </w:pPr>
      <w:r>
        <w:rPr>
          <w:rFonts w:ascii="Garamond" w:hAnsi="Garamond"/>
          <w:sz w:val="24"/>
          <w:szCs w:val="24"/>
        </w:rPr>
        <w:lastRenderedPageBreak/>
        <w:br w:type="page"/>
      </w:r>
    </w:p>
    <w:p w14:paraId="12D66189" w14:textId="45687C71" w:rsidR="00303F86" w:rsidRDefault="00303F86">
      <w:pPr>
        <w:rPr>
          <w:rFonts w:ascii="Garamond" w:hAnsi="Garamond"/>
          <w:sz w:val="24"/>
          <w:szCs w:val="24"/>
        </w:rPr>
      </w:pPr>
      <w:r>
        <w:rPr>
          <w:rFonts w:ascii="Garamond" w:hAnsi="Garamond"/>
          <w:sz w:val="24"/>
          <w:szCs w:val="24"/>
        </w:rPr>
        <w:lastRenderedPageBreak/>
        <w:br w:type="page"/>
      </w:r>
    </w:p>
    <w:p w14:paraId="547AD351" w14:textId="0709A338" w:rsidR="00303F86" w:rsidRDefault="00303F86">
      <w:pPr>
        <w:rPr>
          <w:rFonts w:ascii="Garamond" w:hAnsi="Garamond"/>
          <w:sz w:val="24"/>
          <w:szCs w:val="24"/>
        </w:rPr>
      </w:pPr>
      <w:r>
        <w:rPr>
          <w:rFonts w:ascii="Garamond" w:hAnsi="Garamond"/>
          <w:sz w:val="24"/>
          <w:szCs w:val="24"/>
        </w:rPr>
        <w:lastRenderedPageBreak/>
        <w:br w:type="page"/>
      </w:r>
    </w:p>
    <w:p w14:paraId="17C75830" w14:textId="558EEFCB" w:rsidR="00303F86" w:rsidRDefault="00303F86">
      <w:pPr>
        <w:rPr>
          <w:rFonts w:ascii="Garamond" w:hAnsi="Garamond"/>
          <w:sz w:val="24"/>
          <w:szCs w:val="24"/>
        </w:rPr>
      </w:pPr>
      <w:r>
        <w:rPr>
          <w:rFonts w:ascii="Garamond" w:hAnsi="Garamond"/>
          <w:sz w:val="24"/>
          <w:szCs w:val="24"/>
        </w:rPr>
        <w:lastRenderedPageBreak/>
        <w:br w:type="page"/>
      </w:r>
    </w:p>
    <w:p w14:paraId="67922E16" w14:textId="6DFEFF0C" w:rsidR="00303F86" w:rsidRDefault="00303F86">
      <w:pPr>
        <w:rPr>
          <w:rFonts w:ascii="Garamond" w:hAnsi="Garamond"/>
          <w:sz w:val="24"/>
          <w:szCs w:val="24"/>
        </w:rPr>
      </w:pPr>
      <w:r>
        <w:rPr>
          <w:rFonts w:ascii="Garamond" w:hAnsi="Garamond"/>
          <w:sz w:val="24"/>
          <w:szCs w:val="24"/>
        </w:rPr>
        <w:lastRenderedPageBreak/>
        <w:br w:type="page"/>
      </w:r>
    </w:p>
    <w:p w14:paraId="6A8B4F44" w14:textId="07E9E146" w:rsidR="00303F86" w:rsidRDefault="00303F86" w:rsidP="00303F86">
      <w:pPr>
        <w:spacing w:line="360" w:lineRule="auto"/>
        <w:jc w:val="center"/>
        <w:rPr>
          <w:rFonts w:ascii="Garamond" w:hAnsi="Garamond"/>
          <w:b/>
          <w:bCs/>
          <w:sz w:val="24"/>
          <w:szCs w:val="24"/>
        </w:rPr>
      </w:pPr>
      <w:r w:rsidRPr="00303F86">
        <w:rPr>
          <w:rFonts w:ascii="Garamond" w:hAnsi="Garamond"/>
          <w:b/>
          <w:bCs/>
          <w:sz w:val="24"/>
          <w:szCs w:val="24"/>
        </w:rPr>
        <w:lastRenderedPageBreak/>
        <w:t>REFERENCES</w:t>
      </w:r>
    </w:p>
    <w:p w14:paraId="21F10C2F" w14:textId="74ECC41F" w:rsidR="00303F86" w:rsidRPr="00303F86" w:rsidRDefault="00303F86" w:rsidP="00303F86">
      <w:pPr>
        <w:spacing w:line="360" w:lineRule="auto"/>
        <w:jc w:val="both"/>
        <w:rPr>
          <w:rFonts w:ascii="Garamond" w:hAnsi="Garamond"/>
          <w:sz w:val="24"/>
          <w:szCs w:val="24"/>
        </w:rPr>
      </w:pPr>
      <w:r w:rsidRPr="00303F86">
        <w:rPr>
          <w:rFonts w:ascii="Garamond" w:hAnsi="Garamond"/>
          <w:sz w:val="24"/>
          <w:szCs w:val="24"/>
        </w:rPr>
        <w:t>EWUSI-MENSAH, K., 2021. The external organizational environment and its impact on management information systems. Accounting, Organizations and Society, vol. 6, no. 4, pp. 301–316.</w:t>
      </w:r>
    </w:p>
    <w:p w14:paraId="203D83A3" w14:textId="664F9A19" w:rsidR="00303F86" w:rsidRDefault="00303F86" w:rsidP="00303F86">
      <w:pPr>
        <w:spacing w:line="360" w:lineRule="auto"/>
        <w:jc w:val="both"/>
        <w:rPr>
          <w:rFonts w:ascii="Garamond" w:hAnsi="Garamond"/>
          <w:sz w:val="24"/>
          <w:szCs w:val="24"/>
        </w:rPr>
      </w:pPr>
      <w:r w:rsidRPr="00303F86">
        <w:rPr>
          <w:rFonts w:ascii="Garamond" w:hAnsi="Garamond"/>
          <w:sz w:val="24"/>
          <w:szCs w:val="24"/>
        </w:rPr>
        <w:t xml:space="preserve">MILLER, C.C., </w:t>
      </w:r>
      <w:r w:rsidRPr="00303F86">
        <w:rPr>
          <w:rFonts w:ascii="Garamond" w:hAnsi="Garamond"/>
          <w:sz w:val="24"/>
          <w:szCs w:val="24"/>
        </w:rPr>
        <w:t>OGILVIE, DT</w:t>
      </w:r>
      <w:r w:rsidRPr="00303F86">
        <w:rPr>
          <w:rFonts w:ascii="Garamond" w:hAnsi="Garamond"/>
          <w:sz w:val="24"/>
          <w:szCs w:val="24"/>
        </w:rPr>
        <w:t>, and GLICK, W.H., 2016. Assessing the External Environment: An Enrichment of the Archival Tradition. Research Methodology in Strategy and Management, pp. 97–122.</w:t>
      </w:r>
    </w:p>
    <w:p w14:paraId="682F97ED" w14:textId="6B1E3F1D" w:rsidR="00303F86" w:rsidRDefault="00303F86" w:rsidP="00303F86">
      <w:pPr>
        <w:spacing w:line="360" w:lineRule="auto"/>
        <w:jc w:val="both"/>
        <w:rPr>
          <w:rFonts w:ascii="Garamond" w:hAnsi="Garamond"/>
          <w:sz w:val="24"/>
          <w:szCs w:val="24"/>
        </w:rPr>
      </w:pPr>
      <w:r w:rsidRPr="00303F86">
        <w:rPr>
          <w:rFonts w:ascii="Garamond" w:hAnsi="Garamond"/>
          <w:sz w:val="24"/>
          <w:szCs w:val="24"/>
        </w:rPr>
        <w:t xml:space="preserve">DIRSMITH, M.W. and COVALESKI, M.A., 2023. Strategy, external </w:t>
      </w:r>
      <w:proofErr w:type="gramStart"/>
      <w:r w:rsidRPr="00303F86">
        <w:rPr>
          <w:rFonts w:ascii="Garamond" w:hAnsi="Garamond"/>
          <w:sz w:val="24"/>
          <w:szCs w:val="24"/>
        </w:rPr>
        <w:t>communication</w:t>
      </w:r>
      <w:proofErr w:type="gramEnd"/>
      <w:r w:rsidRPr="00303F86">
        <w:rPr>
          <w:rFonts w:ascii="Garamond" w:hAnsi="Garamond"/>
          <w:sz w:val="24"/>
          <w:szCs w:val="24"/>
        </w:rPr>
        <w:t xml:space="preserve"> and environmental context. Strategic Management Journal, vol. 4, no. 2, pp. 137–151.</w:t>
      </w:r>
    </w:p>
    <w:p w14:paraId="388B4E60" w14:textId="530243BF" w:rsidR="00303F86" w:rsidRDefault="00303F86" w:rsidP="00303F86">
      <w:pPr>
        <w:spacing w:line="360" w:lineRule="auto"/>
        <w:jc w:val="both"/>
        <w:rPr>
          <w:rFonts w:ascii="Garamond" w:hAnsi="Garamond"/>
          <w:sz w:val="24"/>
          <w:szCs w:val="24"/>
        </w:rPr>
      </w:pPr>
      <w:r w:rsidRPr="00303F86">
        <w:rPr>
          <w:rFonts w:ascii="Garamond" w:hAnsi="Garamond"/>
          <w:sz w:val="24"/>
          <w:szCs w:val="24"/>
        </w:rPr>
        <w:t>UITTO, J.I., 2016. The Environment</w:t>
      </w:r>
      <w:r w:rsidRPr="00303F86">
        <w:rPr>
          <w:rFonts w:ascii="Times New Roman" w:hAnsi="Times New Roman" w:cs="Times New Roman"/>
          <w:sz w:val="24"/>
          <w:szCs w:val="24"/>
        </w:rPr>
        <w:t>‐</w:t>
      </w:r>
      <w:r w:rsidRPr="00303F86">
        <w:rPr>
          <w:rFonts w:ascii="Garamond" w:hAnsi="Garamond"/>
          <w:sz w:val="24"/>
          <w:szCs w:val="24"/>
        </w:rPr>
        <w:t>poverty Nexus in Evaluation: Implications for the Sustainable Development Goals. Global Policy, vol. 7, no. 3, pp. 441</w:t>
      </w:r>
      <w:r w:rsidRPr="00303F86">
        <w:rPr>
          <w:rFonts w:ascii="Garamond" w:hAnsi="Garamond" w:cs="Garamond"/>
          <w:sz w:val="24"/>
          <w:szCs w:val="24"/>
        </w:rPr>
        <w:t>–</w:t>
      </w:r>
      <w:r w:rsidRPr="00303F86">
        <w:rPr>
          <w:rFonts w:ascii="Garamond" w:hAnsi="Garamond"/>
          <w:sz w:val="24"/>
          <w:szCs w:val="24"/>
        </w:rPr>
        <w:t>447.</w:t>
      </w:r>
    </w:p>
    <w:p w14:paraId="615B495D" w14:textId="3BC1A64B" w:rsidR="00A06B4D" w:rsidRDefault="00A06B4D" w:rsidP="00303F86">
      <w:pPr>
        <w:spacing w:line="360" w:lineRule="auto"/>
        <w:jc w:val="both"/>
        <w:rPr>
          <w:rFonts w:ascii="Garamond" w:hAnsi="Garamond"/>
          <w:sz w:val="24"/>
          <w:szCs w:val="24"/>
        </w:rPr>
      </w:pPr>
      <w:r w:rsidRPr="00A06B4D">
        <w:rPr>
          <w:rFonts w:ascii="Garamond" w:hAnsi="Garamond"/>
          <w:sz w:val="24"/>
          <w:szCs w:val="24"/>
        </w:rPr>
        <w:t>EGAMI, N. and HARTMAN, E., 2020. Elements of External Validity: Framework, Design, and Analysis. SSRN Electronic Journal.</w:t>
      </w:r>
    </w:p>
    <w:p w14:paraId="51FB3216" w14:textId="63B9EC3F" w:rsidR="00195FF0" w:rsidRDefault="00195FF0" w:rsidP="00303F86">
      <w:pPr>
        <w:spacing w:line="360" w:lineRule="auto"/>
        <w:jc w:val="both"/>
        <w:rPr>
          <w:rFonts w:ascii="Garamond" w:hAnsi="Garamond"/>
          <w:sz w:val="24"/>
          <w:szCs w:val="24"/>
        </w:rPr>
      </w:pPr>
      <w:r w:rsidRPr="00195FF0">
        <w:rPr>
          <w:rFonts w:ascii="Garamond" w:hAnsi="Garamond"/>
          <w:sz w:val="24"/>
          <w:szCs w:val="24"/>
        </w:rPr>
        <w:t>M. GALINDRO, B., BEY, N., I. OLSEN, S., E. FRIES, C., and R. SOARES, S., 2019. Use of data envelopment analysis to benchmark environmental product declarations—a suggested framework. The International Journal of Life Cycle Assessment, vol. 25, no. 12, pp. 2417–2431.</w:t>
      </w:r>
    </w:p>
    <w:p w14:paraId="65EC99CF" w14:textId="0F7DFED0" w:rsidR="00195FF0" w:rsidRDefault="00195FF0" w:rsidP="00303F86">
      <w:pPr>
        <w:spacing w:line="360" w:lineRule="auto"/>
        <w:jc w:val="both"/>
        <w:rPr>
          <w:rFonts w:ascii="Garamond" w:hAnsi="Garamond"/>
          <w:sz w:val="24"/>
          <w:szCs w:val="24"/>
        </w:rPr>
      </w:pPr>
      <w:r w:rsidRPr="00195FF0">
        <w:rPr>
          <w:rFonts w:ascii="Garamond" w:hAnsi="Garamond"/>
          <w:sz w:val="24"/>
          <w:szCs w:val="24"/>
        </w:rPr>
        <w:t>ZHANG, H., LIU, L., and LI, T., 2011. Designing IT systems according to environmental settings: A strategic analysis framework. The Journal of Strategic Information Systems, vol. 20, no. 1, pp. 80–95.</w:t>
      </w:r>
    </w:p>
    <w:p w14:paraId="7456F3A5" w14:textId="798069E3" w:rsidR="00303F86" w:rsidRDefault="00841A8E" w:rsidP="00841A8E">
      <w:pPr>
        <w:spacing w:line="360" w:lineRule="auto"/>
        <w:jc w:val="both"/>
        <w:rPr>
          <w:rFonts w:ascii="Garamond" w:hAnsi="Garamond"/>
          <w:sz w:val="24"/>
          <w:szCs w:val="24"/>
        </w:rPr>
      </w:pPr>
      <w:r w:rsidRPr="00841A8E">
        <w:rPr>
          <w:rFonts w:ascii="Garamond" w:hAnsi="Garamond"/>
          <w:sz w:val="24"/>
          <w:szCs w:val="24"/>
        </w:rPr>
        <w:t xml:space="preserve">SCHUETZ, C.G., MAIR, E., and SCHREFL, M., 2018. PESTEL Modeler: Strategy Analysis Using </w:t>
      </w:r>
      <w:proofErr w:type="spellStart"/>
      <w:r w:rsidRPr="00841A8E">
        <w:rPr>
          <w:rFonts w:ascii="Garamond" w:hAnsi="Garamond"/>
          <w:sz w:val="24"/>
          <w:szCs w:val="24"/>
        </w:rPr>
        <w:t>MetaEdit</w:t>
      </w:r>
      <w:proofErr w:type="spellEnd"/>
      <w:r w:rsidRPr="00841A8E">
        <w:rPr>
          <w:rFonts w:ascii="Garamond" w:hAnsi="Garamond"/>
          <w:sz w:val="24"/>
          <w:szCs w:val="24"/>
        </w:rPr>
        <w:t xml:space="preserve">+, </w:t>
      </w:r>
      <w:proofErr w:type="spellStart"/>
      <w:r w:rsidRPr="00841A8E">
        <w:rPr>
          <w:rFonts w:ascii="Garamond" w:hAnsi="Garamond"/>
          <w:sz w:val="24"/>
          <w:szCs w:val="24"/>
        </w:rPr>
        <w:t>iStar</w:t>
      </w:r>
      <w:proofErr w:type="spellEnd"/>
      <w:r w:rsidRPr="00841A8E">
        <w:rPr>
          <w:rFonts w:ascii="Garamond" w:hAnsi="Garamond"/>
          <w:sz w:val="24"/>
          <w:szCs w:val="24"/>
        </w:rPr>
        <w:t xml:space="preserve"> 2.0, and Semantic Technologies. 2018 IEEE 22nd International Enterprise Distributed Object Computing Workshop (EDOCW).</w:t>
      </w:r>
    </w:p>
    <w:p w14:paraId="777B9CC5" w14:textId="0413B69C" w:rsidR="00841A8E" w:rsidRDefault="00841A8E" w:rsidP="00841A8E">
      <w:pPr>
        <w:spacing w:line="360" w:lineRule="auto"/>
        <w:jc w:val="both"/>
        <w:rPr>
          <w:rFonts w:ascii="Garamond" w:hAnsi="Garamond"/>
          <w:sz w:val="24"/>
          <w:szCs w:val="24"/>
        </w:rPr>
      </w:pPr>
      <w:r w:rsidRPr="00841A8E">
        <w:rPr>
          <w:rFonts w:ascii="Garamond" w:hAnsi="Garamond"/>
          <w:sz w:val="24"/>
          <w:szCs w:val="24"/>
        </w:rPr>
        <w:t>MOKHTAR, S., 2021. A framework for sustainable environmental analysis. IOP Conference Series: Earth and Environmental Science, vol. 685, no. 1, p. 012005.</w:t>
      </w:r>
    </w:p>
    <w:p w14:paraId="5D2E8B47" w14:textId="77777777" w:rsidR="00841A8E" w:rsidRPr="00303F86" w:rsidRDefault="00841A8E" w:rsidP="00841A8E">
      <w:pPr>
        <w:spacing w:line="360" w:lineRule="auto"/>
        <w:jc w:val="both"/>
        <w:rPr>
          <w:rFonts w:ascii="Garamond" w:hAnsi="Garamond"/>
          <w:sz w:val="24"/>
          <w:szCs w:val="24"/>
        </w:rPr>
      </w:pPr>
    </w:p>
    <w:sectPr w:rsidR="00841A8E" w:rsidRPr="0030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B7"/>
    <w:rsid w:val="000C36D7"/>
    <w:rsid w:val="00195FF0"/>
    <w:rsid w:val="00303F86"/>
    <w:rsid w:val="00485444"/>
    <w:rsid w:val="004F20B7"/>
    <w:rsid w:val="005A3FF3"/>
    <w:rsid w:val="00763B9B"/>
    <w:rsid w:val="007D3FB5"/>
    <w:rsid w:val="00841A8E"/>
    <w:rsid w:val="00884545"/>
    <w:rsid w:val="008A643F"/>
    <w:rsid w:val="008B05A7"/>
    <w:rsid w:val="00A06B4D"/>
    <w:rsid w:val="00AE56B6"/>
    <w:rsid w:val="00B37B76"/>
    <w:rsid w:val="00C16A86"/>
    <w:rsid w:val="00D62E95"/>
    <w:rsid w:val="00E0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E895"/>
  <w15:chartTrackingRefBased/>
  <w15:docId w15:val="{0FA73C9A-76EA-4B7A-B5AE-9888CE57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F2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B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F20B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F20B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F20B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F20B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F20B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F20B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F20B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F20B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F2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B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F2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B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F20B7"/>
    <w:pPr>
      <w:spacing w:before="160"/>
      <w:jc w:val="center"/>
    </w:pPr>
    <w:rPr>
      <w:i/>
      <w:iCs/>
      <w:color w:val="404040" w:themeColor="text1" w:themeTint="BF"/>
    </w:rPr>
  </w:style>
  <w:style w:type="character" w:customStyle="1" w:styleId="QuoteChar">
    <w:name w:val="Quote Char"/>
    <w:basedOn w:val="DefaultParagraphFont"/>
    <w:link w:val="Quote"/>
    <w:uiPriority w:val="29"/>
    <w:rsid w:val="004F20B7"/>
    <w:rPr>
      <w:i/>
      <w:iCs/>
      <w:color w:val="404040" w:themeColor="text1" w:themeTint="BF"/>
      <w:lang w:val="en-GB"/>
    </w:rPr>
  </w:style>
  <w:style w:type="paragraph" w:styleId="ListParagraph">
    <w:name w:val="List Paragraph"/>
    <w:basedOn w:val="Normal"/>
    <w:uiPriority w:val="34"/>
    <w:qFormat/>
    <w:rsid w:val="004F20B7"/>
    <w:pPr>
      <w:ind w:left="720"/>
      <w:contextualSpacing/>
    </w:pPr>
  </w:style>
  <w:style w:type="character" w:styleId="IntenseEmphasis">
    <w:name w:val="Intense Emphasis"/>
    <w:basedOn w:val="DefaultParagraphFont"/>
    <w:uiPriority w:val="21"/>
    <w:qFormat/>
    <w:rsid w:val="004F20B7"/>
    <w:rPr>
      <w:i/>
      <w:iCs/>
      <w:color w:val="0F4761" w:themeColor="accent1" w:themeShade="BF"/>
    </w:rPr>
  </w:style>
  <w:style w:type="paragraph" w:styleId="IntenseQuote">
    <w:name w:val="Intense Quote"/>
    <w:basedOn w:val="Normal"/>
    <w:next w:val="Normal"/>
    <w:link w:val="IntenseQuoteChar"/>
    <w:uiPriority w:val="30"/>
    <w:qFormat/>
    <w:rsid w:val="004F2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B7"/>
    <w:rPr>
      <w:i/>
      <w:iCs/>
      <w:color w:val="0F4761" w:themeColor="accent1" w:themeShade="BF"/>
      <w:lang w:val="en-GB"/>
    </w:rPr>
  </w:style>
  <w:style w:type="character" w:styleId="IntenseReference">
    <w:name w:val="Intense Reference"/>
    <w:basedOn w:val="DefaultParagraphFont"/>
    <w:uiPriority w:val="32"/>
    <w:qFormat/>
    <w:rsid w:val="004F2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8934">
      <w:bodyDiv w:val="1"/>
      <w:marLeft w:val="0"/>
      <w:marRight w:val="0"/>
      <w:marTop w:val="0"/>
      <w:marBottom w:val="0"/>
      <w:divBdr>
        <w:top w:val="none" w:sz="0" w:space="0" w:color="auto"/>
        <w:left w:val="none" w:sz="0" w:space="0" w:color="auto"/>
        <w:bottom w:val="none" w:sz="0" w:space="0" w:color="auto"/>
        <w:right w:val="none" w:sz="0" w:space="0" w:color="auto"/>
      </w:divBdr>
    </w:div>
    <w:div w:id="213083854">
      <w:bodyDiv w:val="1"/>
      <w:marLeft w:val="0"/>
      <w:marRight w:val="0"/>
      <w:marTop w:val="0"/>
      <w:marBottom w:val="0"/>
      <w:divBdr>
        <w:top w:val="none" w:sz="0" w:space="0" w:color="auto"/>
        <w:left w:val="none" w:sz="0" w:space="0" w:color="auto"/>
        <w:bottom w:val="none" w:sz="0" w:space="0" w:color="auto"/>
        <w:right w:val="none" w:sz="0" w:space="0" w:color="auto"/>
      </w:divBdr>
    </w:div>
    <w:div w:id="313678136">
      <w:bodyDiv w:val="1"/>
      <w:marLeft w:val="0"/>
      <w:marRight w:val="0"/>
      <w:marTop w:val="0"/>
      <w:marBottom w:val="0"/>
      <w:divBdr>
        <w:top w:val="none" w:sz="0" w:space="0" w:color="auto"/>
        <w:left w:val="none" w:sz="0" w:space="0" w:color="auto"/>
        <w:bottom w:val="none" w:sz="0" w:space="0" w:color="auto"/>
        <w:right w:val="none" w:sz="0" w:space="0" w:color="auto"/>
      </w:divBdr>
    </w:div>
    <w:div w:id="604076908">
      <w:bodyDiv w:val="1"/>
      <w:marLeft w:val="0"/>
      <w:marRight w:val="0"/>
      <w:marTop w:val="0"/>
      <w:marBottom w:val="0"/>
      <w:divBdr>
        <w:top w:val="none" w:sz="0" w:space="0" w:color="auto"/>
        <w:left w:val="none" w:sz="0" w:space="0" w:color="auto"/>
        <w:bottom w:val="none" w:sz="0" w:space="0" w:color="auto"/>
        <w:right w:val="none" w:sz="0" w:space="0" w:color="auto"/>
      </w:divBdr>
    </w:div>
    <w:div w:id="802620643">
      <w:bodyDiv w:val="1"/>
      <w:marLeft w:val="0"/>
      <w:marRight w:val="0"/>
      <w:marTop w:val="0"/>
      <w:marBottom w:val="0"/>
      <w:divBdr>
        <w:top w:val="none" w:sz="0" w:space="0" w:color="auto"/>
        <w:left w:val="none" w:sz="0" w:space="0" w:color="auto"/>
        <w:bottom w:val="none" w:sz="0" w:space="0" w:color="auto"/>
        <w:right w:val="none" w:sz="0" w:space="0" w:color="auto"/>
      </w:divBdr>
    </w:div>
    <w:div w:id="1083180068">
      <w:bodyDiv w:val="1"/>
      <w:marLeft w:val="0"/>
      <w:marRight w:val="0"/>
      <w:marTop w:val="0"/>
      <w:marBottom w:val="0"/>
      <w:divBdr>
        <w:top w:val="none" w:sz="0" w:space="0" w:color="auto"/>
        <w:left w:val="none" w:sz="0" w:space="0" w:color="auto"/>
        <w:bottom w:val="none" w:sz="0" w:space="0" w:color="auto"/>
        <w:right w:val="none" w:sz="0" w:space="0" w:color="auto"/>
      </w:divBdr>
    </w:div>
    <w:div w:id="1099719377">
      <w:bodyDiv w:val="1"/>
      <w:marLeft w:val="0"/>
      <w:marRight w:val="0"/>
      <w:marTop w:val="0"/>
      <w:marBottom w:val="0"/>
      <w:divBdr>
        <w:top w:val="none" w:sz="0" w:space="0" w:color="auto"/>
        <w:left w:val="none" w:sz="0" w:space="0" w:color="auto"/>
        <w:bottom w:val="none" w:sz="0" w:space="0" w:color="auto"/>
        <w:right w:val="none" w:sz="0" w:space="0" w:color="auto"/>
      </w:divBdr>
    </w:div>
    <w:div w:id="1296108813">
      <w:bodyDiv w:val="1"/>
      <w:marLeft w:val="0"/>
      <w:marRight w:val="0"/>
      <w:marTop w:val="0"/>
      <w:marBottom w:val="0"/>
      <w:divBdr>
        <w:top w:val="none" w:sz="0" w:space="0" w:color="auto"/>
        <w:left w:val="none" w:sz="0" w:space="0" w:color="auto"/>
        <w:bottom w:val="none" w:sz="0" w:space="0" w:color="auto"/>
        <w:right w:val="none" w:sz="0" w:space="0" w:color="auto"/>
      </w:divBdr>
    </w:div>
    <w:div w:id="1412238618">
      <w:bodyDiv w:val="1"/>
      <w:marLeft w:val="0"/>
      <w:marRight w:val="0"/>
      <w:marTop w:val="0"/>
      <w:marBottom w:val="0"/>
      <w:divBdr>
        <w:top w:val="none" w:sz="0" w:space="0" w:color="auto"/>
        <w:left w:val="none" w:sz="0" w:space="0" w:color="auto"/>
        <w:bottom w:val="none" w:sz="0" w:space="0" w:color="auto"/>
        <w:right w:val="none" w:sz="0" w:space="0" w:color="auto"/>
      </w:divBdr>
    </w:div>
    <w:div w:id="1670594838">
      <w:bodyDiv w:val="1"/>
      <w:marLeft w:val="0"/>
      <w:marRight w:val="0"/>
      <w:marTop w:val="0"/>
      <w:marBottom w:val="0"/>
      <w:divBdr>
        <w:top w:val="none" w:sz="0" w:space="0" w:color="auto"/>
        <w:left w:val="none" w:sz="0" w:space="0" w:color="auto"/>
        <w:bottom w:val="none" w:sz="0" w:space="0" w:color="auto"/>
        <w:right w:val="none" w:sz="0" w:space="0" w:color="auto"/>
      </w:divBdr>
    </w:div>
    <w:div w:id="2009289051">
      <w:bodyDiv w:val="1"/>
      <w:marLeft w:val="0"/>
      <w:marRight w:val="0"/>
      <w:marTop w:val="0"/>
      <w:marBottom w:val="0"/>
      <w:divBdr>
        <w:top w:val="none" w:sz="0" w:space="0" w:color="auto"/>
        <w:left w:val="none" w:sz="0" w:space="0" w:color="auto"/>
        <w:bottom w:val="none" w:sz="0" w:space="0" w:color="auto"/>
        <w:right w:val="none" w:sz="0" w:space="0" w:color="auto"/>
      </w:divBdr>
    </w:div>
    <w:div w:id="2030258831">
      <w:bodyDiv w:val="1"/>
      <w:marLeft w:val="0"/>
      <w:marRight w:val="0"/>
      <w:marTop w:val="0"/>
      <w:marBottom w:val="0"/>
      <w:divBdr>
        <w:top w:val="none" w:sz="0" w:space="0" w:color="auto"/>
        <w:left w:val="none" w:sz="0" w:space="0" w:color="auto"/>
        <w:bottom w:val="none" w:sz="0" w:space="0" w:color="auto"/>
        <w:right w:val="none" w:sz="0" w:space="0" w:color="auto"/>
      </w:divBdr>
    </w:div>
    <w:div w:id="20502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8</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14</cp:revision>
  <dcterms:created xsi:type="dcterms:W3CDTF">2024-02-11T12:41:00Z</dcterms:created>
  <dcterms:modified xsi:type="dcterms:W3CDTF">2024-02-11T18:04:00Z</dcterms:modified>
</cp:coreProperties>
</file>