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1A37" w14:textId="65FD2464" w:rsidR="005A3FF3" w:rsidRPr="00D62E95" w:rsidRDefault="00D62E95" w:rsidP="00D62E95">
      <w:pPr>
        <w:jc w:val="center"/>
        <w:rPr>
          <w:rFonts w:ascii="Garamond" w:hAnsi="Garamond"/>
          <w:b/>
          <w:bCs/>
          <w:sz w:val="24"/>
          <w:szCs w:val="24"/>
        </w:rPr>
      </w:pPr>
      <w:r w:rsidRPr="00D62E95">
        <w:rPr>
          <w:rFonts w:ascii="Garamond" w:hAnsi="Garamond"/>
          <w:b/>
          <w:bCs/>
          <w:sz w:val="24"/>
          <w:szCs w:val="24"/>
        </w:rPr>
        <w:t>INTRODUCTION</w:t>
      </w:r>
    </w:p>
    <w:p w14:paraId="17F4396F" w14:textId="77777777"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t>Organizations are particularly dependent on their external environments for sustainable development (Uitto, 2016). This understanding is negotiated through communication and shapes organizational strategic norms (</w:t>
      </w:r>
      <w:proofErr w:type="spellStart"/>
      <w:r w:rsidRPr="00AF1765">
        <w:rPr>
          <w:rFonts w:ascii="Garamond" w:hAnsi="Garamond"/>
          <w:sz w:val="24"/>
          <w:szCs w:val="24"/>
          <w:lang w:val="en-US"/>
        </w:rPr>
        <w:t>Dirsmith</w:t>
      </w:r>
      <w:proofErr w:type="spellEnd"/>
      <w:r w:rsidRPr="00AF1765">
        <w:rPr>
          <w:rFonts w:ascii="Garamond" w:hAnsi="Garamond"/>
          <w:sz w:val="24"/>
          <w:szCs w:val="24"/>
          <w:lang w:val="en-US"/>
        </w:rPr>
        <w:t xml:space="preserve"> and Covaleski 2023). A clear definition and measure of the external environment are required (Miller </w:t>
      </w:r>
      <w:r w:rsidRPr="005036A7">
        <w:rPr>
          <w:rFonts w:ascii="Garamond" w:hAnsi="Garamond"/>
          <w:i/>
          <w:iCs/>
          <w:sz w:val="24"/>
          <w:szCs w:val="24"/>
          <w:lang w:val="en-US"/>
        </w:rPr>
        <w:t>et al</w:t>
      </w:r>
      <w:r w:rsidRPr="00AF1765">
        <w:rPr>
          <w:rFonts w:ascii="Garamond" w:hAnsi="Garamond"/>
          <w:sz w:val="24"/>
          <w:szCs w:val="24"/>
          <w:lang w:val="en-US"/>
        </w:rPr>
        <w:t>, 2016) to assess the external environment. External environments also have a significant impact on management information systems, with different environments requiring different information characteristics and collection methods (</w:t>
      </w:r>
      <w:proofErr w:type="spellStart"/>
      <w:r w:rsidRPr="00AF1765">
        <w:rPr>
          <w:rFonts w:ascii="Garamond" w:hAnsi="Garamond"/>
          <w:sz w:val="24"/>
          <w:szCs w:val="24"/>
          <w:lang w:val="en-US"/>
        </w:rPr>
        <w:t>Ewusi</w:t>
      </w:r>
      <w:proofErr w:type="spellEnd"/>
      <w:r w:rsidRPr="00AF1765">
        <w:rPr>
          <w:rFonts w:ascii="Garamond" w:hAnsi="Garamond"/>
          <w:sz w:val="24"/>
          <w:szCs w:val="24"/>
          <w:lang w:val="en-US"/>
        </w:rPr>
        <w:t>-Mensah, 2021). To effectively navigate and respond to the external environment, organizations must conduct a critical evaluation of it.</w:t>
      </w:r>
    </w:p>
    <w:p w14:paraId="0BEEBF8B" w14:textId="16B00CDF"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t xml:space="preserve">PESTEL analysis is a framework for assessing the external environment based on a combination of factors, including politics, economics, society, technology, the environment, and law. Both Mokhtar (2021) and Schütz </w:t>
      </w:r>
      <w:r w:rsidRPr="005036A7">
        <w:rPr>
          <w:rFonts w:ascii="Garamond" w:hAnsi="Garamond"/>
          <w:i/>
          <w:iCs/>
          <w:sz w:val="24"/>
          <w:szCs w:val="24"/>
          <w:lang w:val="en-US"/>
        </w:rPr>
        <w:t>et al</w:t>
      </w:r>
      <w:r w:rsidRPr="00AF1765">
        <w:rPr>
          <w:rFonts w:ascii="Garamond" w:hAnsi="Garamond"/>
          <w:sz w:val="24"/>
          <w:szCs w:val="24"/>
          <w:lang w:val="en-US"/>
        </w:rPr>
        <w:t xml:space="preserve"> (2018) emphasize how this framework is relevant for strategic management, with Mokhtar applying it specifically to event management and Schütz illustrating its use in analyzing a company's macroenvironment. As a result of the environmental aspect of the PESTEL framework, Microsoft is better able to understand how environmental factors can impact their operations and strategic positioning. In support of this, Zhang </w:t>
      </w:r>
      <w:r w:rsidRPr="005036A7">
        <w:rPr>
          <w:rFonts w:ascii="Garamond" w:hAnsi="Garamond"/>
          <w:i/>
          <w:iCs/>
          <w:sz w:val="24"/>
          <w:szCs w:val="24"/>
          <w:lang w:val="en-US"/>
        </w:rPr>
        <w:t>et al</w:t>
      </w:r>
      <w:r w:rsidRPr="00AF1765">
        <w:rPr>
          <w:rFonts w:ascii="Garamond" w:hAnsi="Garamond"/>
          <w:sz w:val="24"/>
          <w:szCs w:val="24"/>
          <w:lang w:val="en-US"/>
        </w:rPr>
        <w:t xml:space="preserve"> (2011) emphasize the need for a holistic strategic analysis framework, and </w:t>
      </w:r>
      <w:proofErr w:type="spellStart"/>
      <w:r w:rsidRPr="00AF1765">
        <w:rPr>
          <w:rFonts w:ascii="Garamond" w:hAnsi="Garamond"/>
          <w:sz w:val="24"/>
          <w:szCs w:val="24"/>
          <w:lang w:val="en-US"/>
        </w:rPr>
        <w:t>Galindro</w:t>
      </w:r>
      <w:proofErr w:type="spellEnd"/>
      <w:r w:rsidRPr="00AF1765">
        <w:rPr>
          <w:rFonts w:ascii="Garamond" w:hAnsi="Garamond"/>
          <w:sz w:val="24"/>
          <w:szCs w:val="24"/>
          <w:lang w:val="en-US"/>
        </w:rPr>
        <w:t xml:space="preserve"> </w:t>
      </w:r>
      <w:r w:rsidRPr="005036A7">
        <w:rPr>
          <w:rFonts w:ascii="Garamond" w:hAnsi="Garamond"/>
          <w:i/>
          <w:iCs/>
          <w:sz w:val="24"/>
          <w:szCs w:val="24"/>
          <w:lang w:val="en-US"/>
        </w:rPr>
        <w:t>et al</w:t>
      </w:r>
      <w:r w:rsidRPr="00AF1765">
        <w:rPr>
          <w:rFonts w:ascii="Garamond" w:hAnsi="Garamond"/>
          <w:sz w:val="24"/>
          <w:szCs w:val="24"/>
          <w:lang w:val="en-US"/>
        </w:rPr>
        <w:t xml:space="preserve"> (2019) suggest benchmarking environmental product declarations using data envelopment analysis. </w:t>
      </w:r>
    </w:p>
    <w:p w14:paraId="42FB74A4" w14:textId="13039819" w:rsidR="00471EC6" w:rsidRDefault="000C36D7" w:rsidP="00471EC6">
      <w:pPr>
        <w:spacing w:line="360" w:lineRule="auto"/>
        <w:jc w:val="center"/>
        <w:rPr>
          <w:rFonts w:ascii="Garamond" w:hAnsi="Garamond"/>
          <w:b/>
          <w:bCs/>
          <w:sz w:val="24"/>
          <w:szCs w:val="24"/>
        </w:rPr>
      </w:pPr>
      <w:r w:rsidRPr="000C36D7">
        <w:rPr>
          <w:rFonts w:ascii="Garamond" w:hAnsi="Garamond"/>
          <w:b/>
          <w:bCs/>
          <w:sz w:val="24"/>
          <w:szCs w:val="24"/>
        </w:rPr>
        <w:t>MACRO-ENVIRONMENT ANALYSIS</w:t>
      </w:r>
    </w:p>
    <w:p w14:paraId="4282CC64" w14:textId="5BA1E833"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t xml:space="preserve">A global tech giant like Microsoft operates in a dynamic macro-environment that is influenced by various factors (Microsoft Corporation, 2024). Political factors present both opportunities and threats for Microsoft (Microsoft Corporation, 2023). Moreover, Microsoft faces challenges in navigating diverse political landscapes due to issues with the European Union, including fines imposed. A changing political environment and the requirement for lobbying efforts complicate the company's strategic decisions (Modak, Sinha &amp; Ghosh 2023). </w:t>
      </w:r>
    </w:p>
    <w:p w14:paraId="2EE7F265" w14:textId="6C1ADE0C"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t>The performance of Microsoft is heavily influenced by economic factors. The stable economy of developed countries contributes to a steady market, while the growth of developing countries contributes to increased sales (U.S. Department of Commerce – International Trade Administration Year). By enforcing higher wages, the H-1B visa program overhaul could benefit Microsoft's growth and profitability by limiting foreign workers (Microsoft Corporation, 2022).</w:t>
      </w:r>
    </w:p>
    <w:p w14:paraId="134ACCE8" w14:textId="77777777"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lastRenderedPageBreak/>
        <w:t>Microsoft thrived as its operating system dominated computer and laptop adoption. However, with the rise of smartphones, the company must pivot its strategy. Mobiles have become indispensable, but Microsoft still primarily focuses on computers (</w:t>
      </w:r>
      <w:proofErr w:type="spellStart"/>
      <w:r w:rsidRPr="00AF1765">
        <w:rPr>
          <w:rFonts w:ascii="Garamond" w:hAnsi="Garamond"/>
          <w:sz w:val="24"/>
          <w:szCs w:val="24"/>
          <w:lang w:val="en-US"/>
        </w:rPr>
        <w:t>Seitova</w:t>
      </w:r>
      <w:proofErr w:type="spellEnd"/>
      <w:r w:rsidRPr="00AF1765">
        <w:rPr>
          <w:rFonts w:ascii="Garamond" w:hAnsi="Garamond"/>
          <w:sz w:val="24"/>
          <w:szCs w:val="24"/>
          <w:lang w:val="en-US"/>
        </w:rPr>
        <w:t xml:space="preserve"> 2022). Microsoft's products are computer-centric, and its sales will be enhanced by aligning with changing customer preferences and the mobile-centric culture (Williams and Figueiredo, 2021). </w:t>
      </w:r>
    </w:p>
    <w:p w14:paraId="37A3AD4F" w14:textId="0FE884E8"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t xml:space="preserve">Technology underscores the competitive nature of the tech industry. Microsoft must continuously innovate </w:t>
      </w:r>
      <w:r w:rsidR="005E1C14" w:rsidRPr="00AF1765">
        <w:rPr>
          <w:rFonts w:ascii="Garamond" w:hAnsi="Garamond"/>
          <w:sz w:val="24"/>
          <w:szCs w:val="24"/>
          <w:lang w:val="en-US"/>
        </w:rPr>
        <w:t>to</w:t>
      </w:r>
      <w:r w:rsidRPr="00AF1765">
        <w:rPr>
          <w:rFonts w:ascii="Garamond" w:hAnsi="Garamond"/>
          <w:sz w:val="24"/>
          <w:szCs w:val="24"/>
          <w:lang w:val="en-US"/>
        </w:rPr>
        <w:t xml:space="preserve"> keep up with Google and Apple (Bakri </w:t>
      </w:r>
      <w:r w:rsidRPr="005036A7">
        <w:rPr>
          <w:rFonts w:ascii="Garamond" w:hAnsi="Garamond"/>
          <w:i/>
          <w:iCs/>
          <w:sz w:val="24"/>
          <w:szCs w:val="24"/>
          <w:lang w:val="en-US"/>
        </w:rPr>
        <w:t>et al</w:t>
      </w:r>
      <w:r w:rsidRPr="00AF1765">
        <w:rPr>
          <w:rFonts w:ascii="Garamond" w:hAnsi="Garamond"/>
          <w:sz w:val="24"/>
          <w:szCs w:val="24"/>
          <w:lang w:val="en-US"/>
        </w:rPr>
        <w:t>, 2012). Microsoft can maintain a leading position in the market by investing in research and development, especially in artificial intelligence (</w:t>
      </w:r>
      <w:proofErr w:type="spellStart"/>
      <w:r w:rsidRPr="00AF1765">
        <w:rPr>
          <w:rFonts w:ascii="Garamond" w:hAnsi="Garamond"/>
          <w:sz w:val="24"/>
          <w:szCs w:val="24"/>
          <w:lang w:val="en-US"/>
        </w:rPr>
        <w:t>Nkang</w:t>
      </w:r>
      <w:proofErr w:type="spellEnd"/>
      <w:r w:rsidRPr="00AF1765">
        <w:rPr>
          <w:rFonts w:ascii="Garamond" w:hAnsi="Garamond"/>
          <w:sz w:val="24"/>
          <w:szCs w:val="24"/>
          <w:lang w:val="en-US"/>
        </w:rPr>
        <w:t>, 2023).</w:t>
      </w:r>
    </w:p>
    <w:p w14:paraId="1D3C7F0D" w14:textId="795FD27C" w:rsidR="00AF1765" w:rsidRPr="00AF1765" w:rsidRDefault="00AF1765" w:rsidP="00AF1765">
      <w:pPr>
        <w:spacing w:line="360" w:lineRule="auto"/>
        <w:rPr>
          <w:rFonts w:ascii="Garamond" w:hAnsi="Garamond"/>
          <w:sz w:val="24"/>
          <w:szCs w:val="24"/>
          <w:lang w:val="en-US"/>
        </w:rPr>
      </w:pPr>
      <w:r w:rsidRPr="00AF1765">
        <w:rPr>
          <w:rFonts w:ascii="Garamond" w:hAnsi="Garamond"/>
          <w:sz w:val="24"/>
          <w:szCs w:val="24"/>
          <w:lang w:val="en-US"/>
        </w:rPr>
        <w:t xml:space="preserve">As a result of its commitment to environmental responsibility, Microsoft was ranked the world's most environmentally friendly company in 2019 (Microsoft Corporation, 2024). Microsoft implements an internal carbon tax that allocates $50,000 over five years for using AI and machine learning technology to address environmental challenges (Jahan &amp; </w:t>
      </w:r>
      <w:proofErr w:type="spellStart"/>
      <w:r w:rsidRPr="00AF1765">
        <w:rPr>
          <w:rFonts w:ascii="Garamond" w:hAnsi="Garamond"/>
          <w:sz w:val="24"/>
          <w:szCs w:val="24"/>
          <w:lang w:val="en-US"/>
        </w:rPr>
        <w:t>Sazu</w:t>
      </w:r>
      <w:proofErr w:type="spellEnd"/>
      <w:r w:rsidRPr="00AF1765">
        <w:rPr>
          <w:rFonts w:ascii="Garamond" w:hAnsi="Garamond"/>
          <w:sz w:val="24"/>
          <w:szCs w:val="24"/>
          <w:lang w:val="en-US"/>
        </w:rPr>
        <w:t xml:space="preserve"> 2023) as part of its commitment to being a 100% carbon-neutral company.</w:t>
      </w:r>
    </w:p>
    <w:p w14:paraId="24408878" w14:textId="5DC56E11" w:rsidR="0031651E" w:rsidRPr="000163CC" w:rsidRDefault="00AF1765" w:rsidP="00F17EEC">
      <w:pPr>
        <w:spacing w:line="360" w:lineRule="auto"/>
        <w:rPr>
          <w:rFonts w:ascii="Garamond" w:hAnsi="Garamond"/>
          <w:sz w:val="24"/>
          <w:szCs w:val="24"/>
          <w:lang w:val="en-US"/>
        </w:rPr>
      </w:pPr>
      <w:r w:rsidRPr="00AF1765">
        <w:rPr>
          <w:rFonts w:ascii="Garamond" w:hAnsi="Garamond"/>
          <w:sz w:val="24"/>
          <w:szCs w:val="24"/>
          <w:lang w:val="en-US"/>
        </w:rPr>
        <w:t>Microsoft faces a high risk of legal challenges since it is the world's largest company. Microsoft has already paid $9 billion in lawsuits (Microsoft Corporation, 2023</w:t>
      </w:r>
      <w:r w:rsidR="000163CC">
        <w:rPr>
          <w:rFonts w:ascii="Garamond" w:hAnsi="Garamond"/>
          <w:sz w:val="24"/>
          <w:szCs w:val="24"/>
          <w:lang w:val="en-US"/>
        </w:rPr>
        <w:t>)</w:t>
      </w:r>
      <w:r w:rsidRPr="00AF1765">
        <w:rPr>
          <w:rFonts w:ascii="Garamond" w:hAnsi="Garamond"/>
          <w:sz w:val="24"/>
          <w:szCs w:val="24"/>
          <w:lang w:val="en-US"/>
        </w:rPr>
        <w:t>. A customer sued Microsoft in 2018 after forced Windows upgrades rendered his PC unusable, emphasizing Microsoft's commitment to customer satisfaction while avoiding discrimination (Microsoft Legal Issues, 2022).</w:t>
      </w:r>
    </w:p>
    <w:tbl>
      <w:tblPr>
        <w:tblStyle w:val="TableGrid"/>
        <w:tblW w:w="0" w:type="auto"/>
        <w:tblLook w:val="04A0" w:firstRow="1" w:lastRow="0" w:firstColumn="1" w:lastColumn="0" w:noHBand="0" w:noVBand="1"/>
      </w:tblPr>
      <w:tblGrid>
        <w:gridCol w:w="1826"/>
        <w:gridCol w:w="3556"/>
        <w:gridCol w:w="3906"/>
      </w:tblGrid>
      <w:tr w:rsidR="0031651E" w:rsidRPr="0031651E" w14:paraId="3D9788A9" w14:textId="77777777" w:rsidTr="0031651E">
        <w:trPr>
          <w:trHeight w:val="428"/>
        </w:trPr>
        <w:tc>
          <w:tcPr>
            <w:tcW w:w="1826" w:type="dxa"/>
            <w:noWrap/>
            <w:hideMark/>
          </w:tcPr>
          <w:p w14:paraId="34E5FBBC" w14:textId="77777777" w:rsidR="0031651E" w:rsidRPr="0031651E" w:rsidRDefault="0031651E" w:rsidP="0031651E">
            <w:pPr>
              <w:jc w:val="center"/>
              <w:rPr>
                <w:rFonts w:ascii="Garamond" w:hAnsi="Garamond"/>
                <w:b/>
                <w:bCs/>
                <w:sz w:val="24"/>
                <w:szCs w:val="24"/>
                <w:lang w:val="en-US"/>
              </w:rPr>
            </w:pPr>
            <w:r w:rsidRPr="0031651E">
              <w:rPr>
                <w:rFonts w:ascii="Garamond" w:hAnsi="Garamond"/>
                <w:b/>
                <w:bCs/>
                <w:sz w:val="24"/>
                <w:szCs w:val="24"/>
              </w:rPr>
              <w:t>Factor</w:t>
            </w:r>
          </w:p>
        </w:tc>
        <w:tc>
          <w:tcPr>
            <w:tcW w:w="3556" w:type="dxa"/>
            <w:noWrap/>
            <w:hideMark/>
          </w:tcPr>
          <w:p w14:paraId="75F730DD" w14:textId="77777777" w:rsidR="0031651E" w:rsidRPr="0031651E" w:rsidRDefault="0031651E" w:rsidP="0031651E">
            <w:pPr>
              <w:jc w:val="center"/>
              <w:rPr>
                <w:rFonts w:ascii="Garamond" w:hAnsi="Garamond"/>
                <w:b/>
                <w:bCs/>
                <w:sz w:val="24"/>
                <w:szCs w:val="24"/>
              </w:rPr>
            </w:pPr>
            <w:r w:rsidRPr="0031651E">
              <w:rPr>
                <w:rFonts w:ascii="Garamond" w:hAnsi="Garamond"/>
                <w:b/>
                <w:bCs/>
                <w:sz w:val="24"/>
                <w:szCs w:val="24"/>
              </w:rPr>
              <w:t>Advantage</w:t>
            </w:r>
          </w:p>
        </w:tc>
        <w:tc>
          <w:tcPr>
            <w:tcW w:w="3906" w:type="dxa"/>
            <w:noWrap/>
            <w:hideMark/>
          </w:tcPr>
          <w:p w14:paraId="271A78C3" w14:textId="77777777" w:rsidR="0031651E" w:rsidRPr="0031651E" w:rsidRDefault="0031651E" w:rsidP="0031651E">
            <w:pPr>
              <w:jc w:val="center"/>
              <w:rPr>
                <w:rFonts w:ascii="Garamond" w:hAnsi="Garamond"/>
                <w:b/>
                <w:bCs/>
                <w:sz w:val="24"/>
                <w:szCs w:val="24"/>
              </w:rPr>
            </w:pPr>
            <w:r w:rsidRPr="0031651E">
              <w:rPr>
                <w:rFonts w:ascii="Garamond" w:hAnsi="Garamond"/>
                <w:b/>
                <w:bCs/>
                <w:sz w:val="24"/>
                <w:szCs w:val="24"/>
              </w:rPr>
              <w:t>Disadvantage</w:t>
            </w:r>
          </w:p>
        </w:tc>
      </w:tr>
      <w:tr w:rsidR="0031651E" w:rsidRPr="0031651E" w14:paraId="2A57971A" w14:textId="77777777" w:rsidTr="0031651E">
        <w:trPr>
          <w:trHeight w:val="756"/>
        </w:trPr>
        <w:tc>
          <w:tcPr>
            <w:tcW w:w="1826" w:type="dxa"/>
            <w:noWrap/>
            <w:hideMark/>
          </w:tcPr>
          <w:p w14:paraId="7962A198"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Political</w:t>
            </w:r>
          </w:p>
        </w:tc>
        <w:tc>
          <w:tcPr>
            <w:tcW w:w="3556" w:type="dxa"/>
            <w:noWrap/>
            <w:hideMark/>
          </w:tcPr>
          <w:p w14:paraId="57DE3B21"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Proactive engagement and lobbying demonstrate commitment</w:t>
            </w:r>
          </w:p>
        </w:tc>
        <w:tc>
          <w:tcPr>
            <w:tcW w:w="3906" w:type="dxa"/>
            <w:noWrap/>
            <w:hideMark/>
          </w:tcPr>
          <w:p w14:paraId="038F450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Tensions impact distribution and supply chain operations</w:t>
            </w:r>
          </w:p>
        </w:tc>
      </w:tr>
      <w:tr w:rsidR="0031651E" w:rsidRPr="0031651E" w14:paraId="1E94A6A0" w14:textId="77777777" w:rsidTr="0031651E">
        <w:trPr>
          <w:trHeight w:val="428"/>
        </w:trPr>
        <w:tc>
          <w:tcPr>
            <w:tcW w:w="1826" w:type="dxa"/>
            <w:noWrap/>
            <w:hideMark/>
          </w:tcPr>
          <w:p w14:paraId="7D4C8274" w14:textId="77777777" w:rsidR="0031651E" w:rsidRPr="0031651E" w:rsidRDefault="0031651E" w:rsidP="0031651E">
            <w:pPr>
              <w:spacing w:line="360" w:lineRule="auto"/>
              <w:rPr>
                <w:rFonts w:ascii="Garamond" w:hAnsi="Garamond"/>
                <w:sz w:val="24"/>
                <w:szCs w:val="24"/>
              </w:rPr>
            </w:pPr>
          </w:p>
        </w:tc>
        <w:tc>
          <w:tcPr>
            <w:tcW w:w="3556" w:type="dxa"/>
            <w:noWrap/>
            <w:hideMark/>
          </w:tcPr>
          <w:p w14:paraId="7B359D50"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Stability in developed countries offers market expansion</w:t>
            </w:r>
          </w:p>
        </w:tc>
        <w:tc>
          <w:tcPr>
            <w:tcW w:w="3906" w:type="dxa"/>
            <w:noWrap/>
            <w:hideMark/>
          </w:tcPr>
          <w:p w14:paraId="52E10BF5"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Accusations of monopoly raise concerns</w:t>
            </w:r>
          </w:p>
        </w:tc>
      </w:tr>
      <w:tr w:rsidR="0031651E" w:rsidRPr="0031651E" w14:paraId="637D6637" w14:textId="77777777" w:rsidTr="0031651E">
        <w:trPr>
          <w:trHeight w:val="428"/>
        </w:trPr>
        <w:tc>
          <w:tcPr>
            <w:tcW w:w="1826" w:type="dxa"/>
            <w:noWrap/>
            <w:hideMark/>
          </w:tcPr>
          <w:p w14:paraId="47C8FBD3"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Economic</w:t>
            </w:r>
          </w:p>
        </w:tc>
        <w:tc>
          <w:tcPr>
            <w:tcW w:w="3556" w:type="dxa"/>
            <w:noWrap/>
            <w:hideMark/>
          </w:tcPr>
          <w:p w14:paraId="0471B43C"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Stability in developed countries provides a steady market</w:t>
            </w:r>
          </w:p>
        </w:tc>
        <w:tc>
          <w:tcPr>
            <w:tcW w:w="3906" w:type="dxa"/>
            <w:noWrap/>
            <w:hideMark/>
          </w:tcPr>
          <w:p w14:paraId="191C087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Exchange rates and protectionist policies impact MNCs</w:t>
            </w:r>
          </w:p>
        </w:tc>
      </w:tr>
      <w:tr w:rsidR="0031651E" w:rsidRPr="0031651E" w14:paraId="1B405DCF" w14:textId="77777777" w:rsidTr="0031651E">
        <w:trPr>
          <w:trHeight w:val="428"/>
        </w:trPr>
        <w:tc>
          <w:tcPr>
            <w:tcW w:w="1826" w:type="dxa"/>
            <w:noWrap/>
            <w:hideMark/>
          </w:tcPr>
          <w:p w14:paraId="5CC73388" w14:textId="77777777" w:rsidR="0031651E" w:rsidRPr="0031651E" w:rsidRDefault="0031651E" w:rsidP="0031651E">
            <w:pPr>
              <w:spacing w:line="360" w:lineRule="auto"/>
              <w:rPr>
                <w:rFonts w:ascii="Garamond" w:hAnsi="Garamond"/>
                <w:sz w:val="24"/>
                <w:szCs w:val="24"/>
              </w:rPr>
            </w:pPr>
          </w:p>
        </w:tc>
        <w:tc>
          <w:tcPr>
            <w:tcW w:w="3556" w:type="dxa"/>
            <w:noWrap/>
            <w:hideMark/>
          </w:tcPr>
          <w:p w14:paraId="6110C34B"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Growth opportunities in developing countries</w:t>
            </w:r>
          </w:p>
        </w:tc>
        <w:tc>
          <w:tcPr>
            <w:tcW w:w="3906" w:type="dxa"/>
            <w:noWrap/>
            <w:hideMark/>
          </w:tcPr>
          <w:p w14:paraId="5B20FABF"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H-1B visa program overhaul may limit foreign employees</w:t>
            </w:r>
          </w:p>
        </w:tc>
      </w:tr>
      <w:tr w:rsidR="0031651E" w:rsidRPr="0031651E" w14:paraId="1E26B290" w14:textId="77777777" w:rsidTr="0031651E">
        <w:trPr>
          <w:trHeight w:val="428"/>
        </w:trPr>
        <w:tc>
          <w:tcPr>
            <w:tcW w:w="1826" w:type="dxa"/>
            <w:noWrap/>
            <w:hideMark/>
          </w:tcPr>
          <w:p w14:paraId="0F5BA1AC"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Social (Mobile Adoption)</w:t>
            </w:r>
          </w:p>
        </w:tc>
        <w:tc>
          <w:tcPr>
            <w:tcW w:w="3556" w:type="dxa"/>
            <w:noWrap/>
            <w:hideMark/>
          </w:tcPr>
          <w:p w14:paraId="4956044C"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Historical dominance in computer adoption</w:t>
            </w:r>
          </w:p>
        </w:tc>
        <w:tc>
          <w:tcPr>
            <w:tcW w:w="3906" w:type="dxa"/>
            <w:noWrap/>
            <w:hideMark/>
          </w:tcPr>
          <w:p w14:paraId="03EFB60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Focus on computers amid the shift to mobile usage</w:t>
            </w:r>
          </w:p>
        </w:tc>
      </w:tr>
      <w:tr w:rsidR="0031651E" w:rsidRPr="0031651E" w14:paraId="181BA1C4" w14:textId="77777777" w:rsidTr="0031651E">
        <w:trPr>
          <w:trHeight w:val="428"/>
        </w:trPr>
        <w:tc>
          <w:tcPr>
            <w:tcW w:w="1826" w:type="dxa"/>
            <w:noWrap/>
            <w:hideMark/>
          </w:tcPr>
          <w:p w14:paraId="4D9D027F"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lastRenderedPageBreak/>
              <w:t>Technological</w:t>
            </w:r>
          </w:p>
        </w:tc>
        <w:tc>
          <w:tcPr>
            <w:tcW w:w="3556" w:type="dxa"/>
            <w:noWrap/>
            <w:hideMark/>
          </w:tcPr>
          <w:p w14:paraId="1B75A738"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Continuous innovation to stay ahead of strong competition</w:t>
            </w:r>
          </w:p>
        </w:tc>
        <w:tc>
          <w:tcPr>
            <w:tcW w:w="3906" w:type="dxa"/>
            <w:noWrap/>
            <w:hideMark/>
          </w:tcPr>
          <w:p w14:paraId="0B9CC419"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High competition requires ongoing R&amp;D investment</w:t>
            </w:r>
          </w:p>
        </w:tc>
      </w:tr>
      <w:tr w:rsidR="0031651E" w:rsidRPr="0031651E" w14:paraId="4817DAB3" w14:textId="77777777" w:rsidTr="0031651E">
        <w:trPr>
          <w:trHeight w:val="428"/>
        </w:trPr>
        <w:tc>
          <w:tcPr>
            <w:tcW w:w="1826" w:type="dxa"/>
            <w:noWrap/>
            <w:hideMark/>
          </w:tcPr>
          <w:p w14:paraId="771995E5"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Environmental (Sustainability)</w:t>
            </w:r>
          </w:p>
        </w:tc>
        <w:tc>
          <w:tcPr>
            <w:tcW w:w="3556" w:type="dxa"/>
            <w:noWrap/>
            <w:hideMark/>
          </w:tcPr>
          <w:p w14:paraId="2B986D2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Recognition as the world's most environmentally friendly</w:t>
            </w:r>
          </w:p>
        </w:tc>
        <w:tc>
          <w:tcPr>
            <w:tcW w:w="3906" w:type="dxa"/>
            <w:noWrap/>
            <w:hideMark/>
          </w:tcPr>
          <w:p w14:paraId="11A0277E"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Carbon-neutral practices and internal tax demonstrate commitment</w:t>
            </w:r>
          </w:p>
        </w:tc>
      </w:tr>
      <w:tr w:rsidR="0031651E" w:rsidRPr="0031651E" w14:paraId="7D898B4E" w14:textId="77777777" w:rsidTr="0031651E">
        <w:trPr>
          <w:trHeight w:val="428"/>
        </w:trPr>
        <w:tc>
          <w:tcPr>
            <w:tcW w:w="1826" w:type="dxa"/>
            <w:noWrap/>
            <w:hideMark/>
          </w:tcPr>
          <w:p w14:paraId="4D0A323A"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Legal</w:t>
            </w:r>
          </w:p>
        </w:tc>
        <w:tc>
          <w:tcPr>
            <w:tcW w:w="3556" w:type="dxa"/>
            <w:noWrap/>
            <w:hideMark/>
          </w:tcPr>
          <w:p w14:paraId="1B35C50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Proactive legal approach and spending on lobbyists</w:t>
            </w:r>
          </w:p>
        </w:tc>
        <w:tc>
          <w:tcPr>
            <w:tcW w:w="3906" w:type="dxa"/>
            <w:noWrap/>
            <w:hideMark/>
          </w:tcPr>
          <w:p w14:paraId="78D42482"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High risk of legal challenges and substantial payouts</w:t>
            </w:r>
          </w:p>
        </w:tc>
      </w:tr>
      <w:tr w:rsidR="0031651E" w:rsidRPr="0031651E" w14:paraId="6CCFCE3F" w14:textId="77777777" w:rsidTr="0031651E">
        <w:trPr>
          <w:trHeight w:val="428"/>
        </w:trPr>
        <w:tc>
          <w:tcPr>
            <w:tcW w:w="1826" w:type="dxa"/>
            <w:noWrap/>
            <w:hideMark/>
          </w:tcPr>
          <w:p w14:paraId="20B227BF" w14:textId="77777777" w:rsidR="0031651E" w:rsidRPr="0031651E" w:rsidRDefault="0031651E" w:rsidP="0031651E">
            <w:pPr>
              <w:spacing w:line="360" w:lineRule="auto"/>
              <w:rPr>
                <w:rFonts w:ascii="Garamond" w:hAnsi="Garamond"/>
                <w:sz w:val="24"/>
                <w:szCs w:val="24"/>
              </w:rPr>
            </w:pPr>
          </w:p>
        </w:tc>
        <w:tc>
          <w:tcPr>
            <w:tcW w:w="3556" w:type="dxa"/>
            <w:noWrap/>
            <w:hideMark/>
          </w:tcPr>
          <w:p w14:paraId="6DABA054"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Commitment to careful customer satisfaction strategies</w:t>
            </w:r>
          </w:p>
        </w:tc>
        <w:tc>
          <w:tcPr>
            <w:tcW w:w="3906" w:type="dxa"/>
            <w:noWrap/>
            <w:hideMark/>
          </w:tcPr>
          <w:p w14:paraId="6C329D77"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Legal entanglements and discrimination issues</w:t>
            </w:r>
          </w:p>
        </w:tc>
      </w:tr>
    </w:tbl>
    <w:p w14:paraId="44A489F9" w14:textId="00A52026" w:rsidR="0031651E" w:rsidRDefault="0031651E" w:rsidP="0031651E">
      <w:pPr>
        <w:spacing w:line="360" w:lineRule="auto"/>
        <w:jc w:val="center"/>
        <w:rPr>
          <w:rFonts w:ascii="Garamond" w:hAnsi="Garamond"/>
          <w:i/>
          <w:iCs/>
          <w:sz w:val="28"/>
          <w:szCs w:val="28"/>
        </w:rPr>
      </w:pPr>
      <w:r>
        <w:rPr>
          <w:rFonts w:ascii="Garamond" w:hAnsi="Garamond"/>
          <w:i/>
          <w:iCs/>
          <w:sz w:val="28"/>
          <w:szCs w:val="28"/>
        </w:rPr>
        <w:t xml:space="preserve">Summary of the </w:t>
      </w:r>
      <w:r w:rsidRPr="0031651E">
        <w:rPr>
          <w:rFonts w:ascii="Garamond" w:hAnsi="Garamond"/>
          <w:i/>
          <w:iCs/>
          <w:sz w:val="28"/>
          <w:szCs w:val="28"/>
        </w:rPr>
        <w:t>Macro-Environment Analysis for Microsoft</w:t>
      </w:r>
    </w:p>
    <w:p w14:paraId="071E921A" w14:textId="25E83524" w:rsidR="0031651E" w:rsidRPr="0031651E" w:rsidRDefault="0031651E" w:rsidP="0034705E">
      <w:pPr>
        <w:spacing w:line="360" w:lineRule="auto"/>
        <w:jc w:val="center"/>
        <w:rPr>
          <w:rFonts w:ascii="Garamond" w:hAnsi="Garamond"/>
          <w:i/>
          <w:iCs/>
          <w:sz w:val="28"/>
          <w:szCs w:val="28"/>
        </w:rPr>
      </w:pPr>
      <w:r>
        <w:rPr>
          <w:rFonts w:ascii="Garamond" w:hAnsi="Garamond"/>
          <w:i/>
          <w:iCs/>
          <w:sz w:val="28"/>
          <w:szCs w:val="28"/>
        </w:rPr>
        <w:t xml:space="preserve">Source: </w:t>
      </w:r>
      <w:proofErr w:type="spellStart"/>
      <w:r>
        <w:rPr>
          <w:rFonts w:ascii="Garamond" w:hAnsi="Garamond"/>
          <w:i/>
          <w:iCs/>
          <w:sz w:val="28"/>
          <w:szCs w:val="28"/>
        </w:rPr>
        <w:t>Nkang</w:t>
      </w:r>
      <w:proofErr w:type="spellEnd"/>
      <w:r>
        <w:rPr>
          <w:rFonts w:ascii="Garamond" w:hAnsi="Garamond"/>
          <w:i/>
          <w:iCs/>
          <w:sz w:val="28"/>
          <w:szCs w:val="28"/>
        </w:rPr>
        <w:t>, (2023)</w:t>
      </w:r>
    </w:p>
    <w:p w14:paraId="50D22C4D" w14:textId="124D9046" w:rsidR="00E11047" w:rsidRPr="00E11047" w:rsidRDefault="00E11047" w:rsidP="0031651E">
      <w:pPr>
        <w:spacing w:line="360" w:lineRule="auto"/>
        <w:jc w:val="center"/>
        <w:rPr>
          <w:rFonts w:ascii="Garamond" w:hAnsi="Garamond"/>
          <w:b/>
          <w:bCs/>
          <w:sz w:val="28"/>
          <w:szCs w:val="28"/>
          <w:lang w:val="en-US"/>
        </w:rPr>
      </w:pPr>
      <w:r w:rsidRPr="00E11047">
        <w:rPr>
          <w:rFonts w:ascii="Garamond" w:hAnsi="Garamond"/>
          <w:b/>
          <w:bCs/>
          <w:sz w:val="28"/>
          <w:szCs w:val="28"/>
          <w:lang w:val="en-US"/>
        </w:rPr>
        <w:t>STRATEGY AND MARKET ANALYSIS</w:t>
      </w:r>
    </w:p>
    <w:p w14:paraId="0F9B6B92" w14:textId="2C61DE5E" w:rsidR="007B132F" w:rsidRPr="005E1C14" w:rsidRDefault="005E1C14" w:rsidP="005E1C14">
      <w:pPr>
        <w:spacing w:line="360" w:lineRule="auto"/>
        <w:rPr>
          <w:rFonts w:ascii="Garamond" w:hAnsi="Garamond"/>
          <w:sz w:val="24"/>
          <w:szCs w:val="24"/>
        </w:rPr>
      </w:pPr>
      <w:r w:rsidRPr="005E1C14">
        <w:rPr>
          <w:rFonts w:ascii="Garamond" w:hAnsi="Garamond"/>
          <w:sz w:val="24"/>
          <w:szCs w:val="24"/>
        </w:rPr>
        <w:t>A key component of Microsoft's strategy and market dynamics is its commitment to anticipating and responding to changes in the market (Jae-</w:t>
      </w:r>
      <w:proofErr w:type="spellStart"/>
      <w:r w:rsidRPr="005E1C14">
        <w:rPr>
          <w:rFonts w:ascii="Garamond" w:hAnsi="Garamond"/>
          <w:sz w:val="24"/>
          <w:szCs w:val="24"/>
        </w:rPr>
        <w:t>woong</w:t>
      </w:r>
      <w:proofErr w:type="spellEnd"/>
      <w:r w:rsidRPr="005E1C14">
        <w:rPr>
          <w:rFonts w:ascii="Garamond" w:hAnsi="Garamond"/>
          <w:sz w:val="24"/>
          <w:szCs w:val="24"/>
        </w:rPr>
        <w:t xml:space="preserve"> and Geun-woo, 2010). Microsoft Corporation's success is attributed to its ability to find and retain talented employees, organize small teams, and create new mass markets. A flexible, incremental approach to product development and the relentless pursuit of future markets are complemented by this (Microsoft Corporation, 2024). In the area of business intelligence, Microsoft has employed various expansion strategies to increase its market share, including acquisitions and customer-focused initiatives (</w:t>
      </w:r>
      <w:proofErr w:type="spellStart"/>
      <w:r w:rsidRPr="005E1C14">
        <w:rPr>
          <w:rFonts w:ascii="Garamond" w:hAnsi="Garamond"/>
          <w:sz w:val="24"/>
          <w:szCs w:val="24"/>
        </w:rPr>
        <w:t>Qisman</w:t>
      </w:r>
      <w:proofErr w:type="spellEnd"/>
      <w:r w:rsidRPr="005E1C14">
        <w:rPr>
          <w:rFonts w:ascii="Garamond" w:hAnsi="Garamond"/>
          <w:sz w:val="24"/>
          <w:szCs w:val="24"/>
        </w:rPr>
        <w:t xml:space="preserve"> </w:t>
      </w:r>
      <w:r w:rsidRPr="005036A7">
        <w:rPr>
          <w:rFonts w:ascii="Garamond" w:hAnsi="Garamond"/>
          <w:i/>
          <w:iCs/>
          <w:sz w:val="24"/>
          <w:szCs w:val="24"/>
        </w:rPr>
        <w:t>et al</w:t>
      </w:r>
      <w:r w:rsidRPr="005E1C14">
        <w:rPr>
          <w:rFonts w:ascii="Garamond" w:hAnsi="Garamond"/>
          <w:sz w:val="24"/>
          <w:szCs w:val="24"/>
        </w:rPr>
        <w:t>., 2021). Microsoft has been able to maintain its leadership position in the software industry through these strategies.</w:t>
      </w:r>
    </w:p>
    <w:p w14:paraId="5D806834" w14:textId="57662019" w:rsidR="00271A72" w:rsidRPr="00271A72" w:rsidRDefault="00271A72" w:rsidP="00271A72">
      <w:pPr>
        <w:spacing w:line="360" w:lineRule="auto"/>
        <w:jc w:val="center"/>
        <w:rPr>
          <w:rFonts w:ascii="Garamond" w:hAnsi="Garamond"/>
          <w:b/>
          <w:bCs/>
          <w:sz w:val="24"/>
          <w:szCs w:val="24"/>
        </w:rPr>
      </w:pPr>
      <w:r w:rsidRPr="00271A72">
        <w:rPr>
          <w:rFonts w:ascii="Garamond" w:hAnsi="Garamond"/>
          <w:b/>
          <w:bCs/>
          <w:sz w:val="24"/>
          <w:szCs w:val="24"/>
        </w:rPr>
        <w:t>CONCLUSION</w:t>
      </w:r>
    </w:p>
    <w:p w14:paraId="3CED5F5E" w14:textId="5B2B2808" w:rsidR="0098067E" w:rsidRDefault="005E1C14" w:rsidP="005E1C14">
      <w:pPr>
        <w:spacing w:line="360" w:lineRule="auto"/>
        <w:rPr>
          <w:rFonts w:ascii="Garamond" w:hAnsi="Garamond"/>
          <w:sz w:val="24"/>
          <w:szCs w:val="24"/>
        </w:rPr>
      </w:pPr>
      <w:r w:rsidRPr="005E1C14">
        <w:rPr>
          <w:rFonts w:ascii="Garamond" w:hAnsi="Garamond"/>
          <w:sz w:val="24"/>
          <w:szCs w:val="24"/>
        </w:rPr>
        <w:t>There are several challenges the company faces, including political tensions, changing customer preferences, and legal problems. As a result of Microsoft's strategic initiatives, such as proactive political engagement, environmental responsibility, and innovation, the company is positioned for growth and resilience. Microsoft's commitment to responsible business practices is exemplified by its focus on sustainability, carbon neutrality, and artificial intelligence-driven environmental initiatives. Its market leadership is enhanced by its ability to anticipate market changes, retain talent, and develop flexible product strategies. To sustain success in the dynamic technology landscape, Microsoft must balance technological innovation with adapting to evolving customer trends.</w:t>
      </w:r>
      <w:r w:rsidR="0098067E">
        <w:rPr>
          <w:rFonts w:ascii="Garamond" w:hAnsi="Garamond"/>
          <w:sz w:val="24"/>
          <w:szCs w:val="24"/>
        </w:rPr>
        <w:br w:type="page"/>
      </w:r>
    </w:p>
    <w:p w14:paraId="6A8B4F44" w14:textId="07E9E146" w:rsidR="00303F86" w:rsidRDefault="00303F86" w:rsidP="0098067E">
      <w:pPr>
        <w:spacing w:line="360" w:lineRule="auto"/>
        <w:jc w:val="center"/>
        <w:rPr>
          <w:rFonts w:ascii="Garamond" w:hAnsi="Garamond"/>
          <w:b/>
          <w:bCs/>
          <w:sz w:val="24"/>
          <w:szCs w:val="24"/>
        </w:rPr>
      </w:pPr>
      <w:r w:rsidRPr="00303F86">
        <w:rPr>
          <w:rFonts w:ascii="Garamond" w:hAnsi="Garamond"/>
          <w:b/>
          <w:bCs/>
          <w:sz w:val="24"/>
          <w:szCs w:val="24"/>
        </w:rPr>
        <w:lastRenderedPageBreak/>
        <w:t>REFERENCES</w:t>
      </w:r>
    </w:p>
    <w:p w14:paraId="21F10C2F" w14:textId="74ECC41F" w:rsidR="00303F86" w:rsidRPr="00303F86" w:rsidRDefault="00303F86" w:rsidP="00303F86">
      <w:pPr>
        <w:spacing w:line="360" w:lineRule="auto"/>
        <w:jc w:val="both"/>
        <w:rPr>
          <w:rFonts w:ascii="Garamond" w:hAnsi="Garamond"/>
          <w:sz w:val="24"/>
          <w:szCs w:val="24"/>
        </w:rPr>
      </w:pPr>
      <w:r w:rsidRPr="00303F86">
        <w:rPr>
          <w:rFonts w:ascii="Garamond" w:hAnsi="Garamond"/>
          <w:sz w:val="24"/>
          <w:szCs w:val="24"/>
        </w:rPr>
        <w:t>EWUSI-MENSAH, K., 2021. The external organizational environment and its impact on management information systems. Accounting, Organizations and Society, vol. 6, no. 4, pp. 301–316.</w:t>
      </w:r>
    </w:p>
    <w:p w14:paraId="203D83A3" w14:textId="664F9A19" w:rsidR="00303F86" w:rsidRDefault="00303F86" w:rsidP="00303F86">
      <w:pPr>
        <w:spacing w:line="360" w:lineRule="auto"/>
        <w:jc w:val="both"/>
        <w:rPr>
          <w:rFonts w:ascii="Garamond" w:hAnsi="Garamond"/>
          <w:sz w:val="24"/>
          <w:szCs w:val="24"/>
        </w:rPr>
      </w:pPr>
      <w:r w:rsidRPr="00303F86">
        <w:rPr>
          <w:rFonts w:ascii="Garamond" w:hAnsi="Garamond"/>
          <w:sz w:val="24"/>
          <w:szCs w:val="24"/>
        </w:rPr>
        <w:t>MILLER, C.C., OGILVIE, DT, and GLICK, W.H., 2016. Assessing the External Environment: An Enrichment of the Archival Tradition. Research Methodology in Strategy and Management, pp. 97–122.</w:t>
      </w:r>
    </w:p>
    <w:p w14:paraId="682F97ED" w14:textId="6B1E3F1D" w:rsidR="00303F86" w:rsidRDefault="00303F86" w:rsidP="00303F86">
      <w:pPr>
        <w:spacing w:line="360" w:lineRule="auto"/>
        <w:jc w:val="both"/>
        <w:rPr>
          <w:rFonts w:ascii="Garamond" w:hAnsi="Garamond"/>
          <w:sz w:val="24"/>
          <w:szCs w:val="24"/>
        </w:rPr>
      </w:pPr>
      <w:r w:rsidRPr="00303F86">
        <w:rPr>
          <w:rFonts w:ascii="Garamond" w:hAnsi="Garamond"/>
          <w:sz w:val="24"/>
          <w:szCs w:val="24"/>
        </w:rPr>
        <w:t xml:space="preserve">DIRSMITH, M.W. and COVALESKI, M.A., 2023. Strategy, external </w:t>
      </w:r>
      <w:proofErr w:type="gramStart"/>
      <w:r w:rsidRPr="00303F86">
        <w:rPr>
          <w:rFonts w:ascii="Garamond" w:hAnsi="Garamond"/>
          <w:sz w:val="24"/>
          <w:szCs w:val="24"/>
        </w:rPr>
        <w:t>communication</w:t>
      </w:r>
      <w:proofErr w:type="gramEnd"/>
      <w:r w:rsidRPr="00303F86">
        <w:rPr>
          <w:rFonts w:ascii="Garamond" w:hAnsi="Garamond"/>
          <w:sz w:val="24"/>
          <w:szCs w:val="24"/>
        </w:rPr>
        <w:t xml:space="preserve"> and environmental context. Strategic Management Journal, vol. 4, no. 2, pp. 137–151.</w:t>
      </w:r>
    </w:p>
    <w:p w14:paraId="388B4E60" w14:textId="530243BF" w:rsidR="00303F86" w:rsidRDefault="00303F86" w:rsidP="00303F86">
      <w:pPr>
        <w:spacing w:line="360" w:lineRule="auto"/>
        <w:jc w:val="both"/>
        <w:rPr>
          <w:rFonts w:ascii="Garamond" w:hAnsi="Garamond"/>
          <w:sz w:val="24"/>
          <w:szCs w:val="24"/>
        </w:rPr>
      </w:pPr>
      <w:r w:rsidRPr="00303F86">
        <w:rPr>
          <w:rFonts w:ascii="Garamond" w:hAnsi="Garamond"/>
          <w:sz w:val="24"/>
          <w:szCs w:val="24"/>
        </w:rPr>
        <w:t>UITTO, J.I., 2016. The Environment</w:t>
      </w:r>
      <w:r w:rsidRPr="00303F86">
        <w:rPr>
          <w:rFonts w:ascii="Times New Roman" w:hAnsi="Times New Roman" w:cs="Times New Roman"/>
          <w:sz w:val="24"/>
          <w:szCs w:val="24"/>
        </w:rPr>
        <w:t>‐</w:t>
      </w:r>
      <w:r w:rsidRPr="00303F86">
        <w:rPr>
          <w:rFonts w:ascii="Garamond" w:hAnsi="Garamond"/>
          <w:sz w:val="24"/>
          <w:szCs w:val="24"/>
        </w:rPr>
        <w:t>poverty Nexus in Evaluation: Implications for the Sustainable Development Goals. Global Policy, vol. 7, no. 3, pp. 441</w:t>
      </w:r>
      <w:r w:rsidRPr="00303F86">
        <w:rPr>
          <w:rFonts w:ascii="Garamond" w:hAnsi="Garamond" w:cs="Garamond"/>
          <w:sz w:val="24"/>
          <w:szCs w:val="24"/>
        </w:rPr>
        <w:t>–</w:t>
      </w:r>
      <w:r w:rsidRPr="00303F86">
        <w:rPr>
          <w:rFonts w:ascii="Garamond" w:hAnsi="Garamond"/>
          <w:sz w:val="24"/>
          <w:szCs w:val="24"/>
        </w:rPr>
        <w:t>447.</w:t>
      </w:r>
    </w:p>
    <w:p w14:paraId="615B495D" w14:textId="3BC1A64B" w:rsidR="00A06B4D" w:rsidRDefault="00A06B4D" w:rsidP="00303F86">
      <w:pPr>
        <w:spacing w:line="360" w:lineRule="auto"/>
        <w:jc w:val="both"/>
        <w:rPr>
          <w:rFonts w:ascii="Garamond" w:hAnsi="Garamond"/>
          <w:sz w:val="24"/>
          <w:szCs w:val="24"/>
        </w:rPr>
      </w:pPr>
      <w:r w:rsidRPr="00A06B4D">
        <w:rPr>
          <w:rFonts w:ascii="Garamond" w:hAnsi="Garamond"/>
          <w:sz w:val="24"/>
          <w:szCs w:val="24"/>
        </w:rPr>
        <w:t>EGAMI, N. and HARTMAN, E., 2020. Elements of External Validity: Framework, Design, and Analysis. SSRN Electronic Journal.</w:t>
      </w:r>
    </w:p>
    <w:p w14:paraId="51FB3216" w14:textId="63B9EC3F" w:rsidR="00195FF0" w:rsidRDefault="00195FF0" w:rsidP="00303F86">
      <w:pPr>
        <w:spacing w:line="360" w:lineRule="auto"/>
        <w:jc w:val="both"/>
        <w:rPr>
          <w:rFonts w:ascii="Garamond" w:hAnsi="Garamond"/>
          <w:sz w:val="24"/>
          <w:szCs w:val="24"/>
        </w:rPr>
      </w:pPr>
      <w:r w:rsidRPr="00195FF0">
        <w:rPr>
          <w:rFonts w:ascii="Garamond" w:hAnsi="Garamond"/>
          <w:sz w:val="24"/>
          <w:szCs w:val="24"/>
        </w:rPr>
        <w:t>M. GALINDRO, B., BEY, N., I. OLSEN, S., E. FRIES, C., and R. SOARES, S., 2019. Use of data envelopment analysis to benchmark environmental product declarations—a suggested framework. The International Journal of Life Cycle Assessment, vol. 25, no. 12, pp. 2417–2431.</w:t>
      </w:r>
    </w:p>
    <w:p w14:paraId="65EC99CF" w14:textId="0F7DFED0" w:rsidR="00195FF0" w:rsidRDefault="00195FF0" w:rsidP="00303F86">
      <w:pPr>
        <w:spacing w:line="360" w:lineRule="auto"/>
        <w:jc w:val="both"/>
        <w:rPr>
          <w:rFonts w:ascii="Garamond" w:hAnsi="Garamond"/>
          <w:sz w:val="24"/>
          <w:szCs w:val="24"/>
        </w:rPr>
      </w:pPr>
      <w:r w:rsidRPr="00195FF0">
        <w:rPr>
          <w:rFonts w:ascii="Garamond" w:hAnsi="Garamond"/>
          <w:sz w:val="24"/>
          <w:szCs w:val="24"/>
        </w:rPr>
        <w:t>ZHANG, H., LIU, L., and LI, T., 2011. Designing IT systems according to environmental settings: A strategic analysis framework. The Journal of Strategic Information Systems, vol. 20, no. 1, pp. 80–95.</w:t>
      </w:r>
    </w:p>
    <w:p w14:paraId="7456F3A5" w14:textId="798069E3" w:rsidR="00303F86" w:rsidRDefault="00841A8E" w:rsidP="00841A8E">
      <w:pPr>
        <w:spacing w:line="360" w:lineRule="auto"/>
        <w:jc w:val="both"/>
        <w:rPr>
          <w:rFonts w:ascii="Garamond" w:hAnsi="Garamond"/>
          <w:sz w:val="24"/>
          <w:szCs w:val="24"/>
        </w:rPr>
      </w:pPr>
      <w:r w:rsidRPr="00841A8E">
        <w:rPr>
          <w:rFonts w:ascii="Garamond" w:hAnsi="Garamond"/>
          <w:sz w:val="24"/>
          <w:szCs w:val="24"/>
        </w:rPr>
        <w:t xml:space="preserve">SCHUETZ, C.G., MAIR, E., and SCHREFL, M., 2018. PESTEL Modeler: Strategy Analysis Using </w:t>
      </w:r>
      <w:proofErr w:type="spellStart"/>
      <w:r w:rsidRPr="00841A8E">
        <w:rPr>
          <w:rFonts w:ascii="Garamond" w:hAnsi="Garamond"/>
          <w:sz w:val="24"/>
          <w:szCs w:val="24"/>
        </w:rPr>
        <w:t>MetaEdit</w:t>
      </w:r>
      <w:proofErr w:type="spellEnd"/>
      <w:r w:rsidRPr="00841A8E">
        <w:rPr>
          <w:rFonts w:ascii="Garamond" w:hAnsi="Garamond"/>
          <w:sz w:val="24"/>
          <w:szCs w:val="24"/>
        </w:rPr>
        <w:t xml:space="preserve">+, </w:t>
      </w:r>
      <w:proofErr w:type="spellStart"/>
      <w:r w:rsidRPr="00841A8E">
        <w:rPr>
          <w:rFonts w:ascii="Garamond" w:hAnsi="Garamond"/>
          <w:sz w:val="24"/>
          <w:szCs w:val="24"/>
        </w:rPr>
        <w:t>iStar</w:t>
      </w:r>
      <w:proofErr w:type="spellEnd"/>
      <w:r w:rsidRPr="00841A8E">
        <w:rPr>
          <w:rFonts w:ascii="Garamond" w:hAnsi="Garamond"/>
          <w:sz w:val="24"/>
          <w:szCs w:val="24"/>
        </w:rPr>
        <w:t xml:space="preserve"> 2.0, and Semantic Technologies. 2018 IEEE 22nd International Enterprise Distributed Object Computing Workshop (EDOCW).</w:t>
      </w:r>
    </w:p>
    <w:p w14:paraId="777B9CC5" w14:textId="0413B69C" w:rsidR="00841A8E" w:rsidRDefault="00841A8E" w:rsidP="00841A8E">
      <w:pPr>
        <w:spacing w:line="360" w:lineRule="auto"/>
        <w:jc w:val="both"/>
        <w:rPr>
          <w:rFonts w:ascii="Garamond" w:hAnsi="Garamond"/>
          <w:sz w:val="24"/>
          <w:szCs w:val="24"/>
        </w:rPr>
      </w:pPr>
      <w:r w:rsidRPr="00841A8E">
        <w:rPr>
          <w:rFonts w:ascii="Garamond" w:hAnsi="Garamond"/>
          <w:sz w:val="24"/>
          <w:szCs w:val="24"/>
        </w:rPr>
        <w:t>MOKHTAR, S., 2021. A framework for sustainable environmental analysis. IOP Conference Series: Earth and Environmental Science, vol. 685, no. 1, p. 012005.</w:t>
      </w:r>
    </w:p>
    <w:p w14:paraId="7706D92D" w14:textId="77777777"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 xml:space="preserve">Jahan, S. A., &amp; </w:t>
      </w:r>
      <w:proofErr w:type="spellStart"/>
      <w:r w:rsidRPr="00471EC6">
        <w:rPr>
          <w:rFonts w:ascii="Garamond" w:hAnsi="Garamond"/>
          <w:sz w:val="24"/>
          <w:szCs w:val="24"/>
          <w:lang w:val="en-US"/>
        </w:rPr>
        <w:t>Sazu</w:t>
      </w:r>
      <w:proofErr w:type="spellEnd"/>
      <w:r w:rsidRPr="00471EC6">
        <w:rPr>
          <w:rFonts w:ascii="Garamond" w:hAnsi="Garamond"/>
          <w:sz w:val="24"/>
          <w:szCs w:val="24"/>
          <w:lang w:val="en-US"/>
        </w:rPr>
        <w:t xml:space="preserve">, M. H. (2023). Role of IoTs and analytics in efficient sustainable manufacturing of consumer electronics. </w:t>
      </w:r>
      <w:r w:rsidRPr="00471EC6">
        <w:rPr>
          <w:rFonts w:ascii="Garamond" w:hAnsi="Garamond"/>
          <w:i/>
          <w:iCs/>
          <w:sz w:val="24"/>
          <w:szCs w:val="24"/>
          <w:lang w:val="en-US"/>
        </w:rPr>
        <w:t>International Journal of Computing Sciences Research</w:t>
      </w:r>
      <w:r w:rsidRPr="00471EC6">
        <w:rPr>
          <w:rFonts w:ascii="Garamond" w:hAnsi="Garamond"/>
          <w:sz w:val="24"/>
          <w:szCs w:val="24"/>
          <w:lang w:val="en-US"/>
        </w:rPr>
        <w:t>, 7, 1337-1350.</w:t>
      </w:r>
    </w:p>
    <w:p w14:paraId="5CC687C9" w14:textId="18C16076"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Microsoft Corporation (</w:t>
      </w:r>
      <w:r>
        <w:rPr>
          <w:rFonts w:ascii="Garamond" w:hAnsi="Garamond"/>
          <w:sz w:val="24"/>
          <w:szCs w:val="24"/>
          <w:lang w:val="en-US"/>
        </w:rPr>
        <w:t>2024</w:t>
      </w:r>
      <w:r w:rsidRPr="00471EC6">
        <w:rPr>
          <w:rFonts w:ascii="Garamond" w:hAnsi="Garamond"/>
          <w:sz w:val="24"/>
          <w:szCs w:val="24"/>
          <w:lang w:val="en-US"/>
        </w:rPr>
        <w:t xml:space="preserve">). </w:t>
      </w:r>
      <w:proofErr w:type="gramStart"/>
      <w:r w:rsidRPr="00471EC6">
        <w:rPr>
          <w:rFonts w:ascii="Garamond" w:hAnsi="Garamond"/>
          <w:i/>
          <w:iCs/>
          <w:sz w:val="24"/>
          <w:szCs w:val="24"/>
          <w:lang w:val="en-US"/>
        </w:rPr>
        <w:t>Form</w:t>
      </w:r>
      <w:proofErr w:type="gramEnd"/>
      <w:r w:rsidRPr="00471EC6">
        <w:rPr>
          <w:rFonts w:ascii="Garamond" w:hAnsi="Garamond"/>
          <w:i/>
          <w:iCs/>
          <w:sz w:val="24"/>
          <w:szCs w:val="24"/>
          <w:lang w:val="en-US"/>
        </w:rPr>
        <w:t xml:space="preserve"> 10-K</w:t>
      </w:r>
      <w:r w:rsidRPr="00471EC6">
        <w:rPr>
          <w:rFonts w:ascii="Garamond" w:hAnsi="Garamond"/>
          <w:sz w:val="24"/>
          <w:szCs w:val="24"/>
          <w:lang w:val="en-US"/>
        </w:rPr>
        <w:t>.</w:t>
      </w:r>
    </w:p>
    <w:p w14:paraId="47540E59" w14:textId="21F799F4"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Microsoft Corporation (</w:t>
      </w:r>
      <w:r>
        <w:rPr>
          <w:rFonts w:ascii="Garamond" w:hAnsi="Garamond"/>
          <w:sz w:val="24"/>
          <w:szCs w:val="24"/>
          <w:lang w:val="en-US"/>
        </w:rPr>
        <w:t>2023</w:t>
      </w:r>
      <w:r w:rsidRPr="00471EC6">
        <w:rPr>
          <w:rFonts w:ascii="Garamond" w:hAnsi="Garamond"/>
          <w:sz w:val="24"/>
          <w:szCs w:val="24"/>
          <w:lang w:val="en-US"/>
        </w:rPr>
        <w:t xml:space="preserve">). </w:t>
      </w:r>
      <w:r w:rsidRPr="00471EC6">
        <w:rPr>
          <w:rFonts w:ascii="Garamond" w:hAnsi="Garamond"/>
          <w:i/>
          <w:iCs/>
          <w:sz w:val="24"/>
          <w:szCs w:val="24"/>
          <w:lang w:val="en-US"/>
        </w:rPr>
        <w:t>Our Sustainability Journey</w:t>
      </w:r>
      <w:r w:rsidRPr="00471EC6">
        <w:rPr>
          <w:rFonts w:ascii="Garamond" w:hAnsi="Garamond"/>
          <w:sz w:val="24"/>
          <w:szCs w:val="24"/>
          <w:lang w:val="en-US"/>
        </w:rPr>
        <w:t>.</w:t>
      </w:r>
    </w:p>
    <w:p w14:paraId="7EB74E7C" w14:textId="77777777"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lastRenderedPageBreak/>
        <w:t xml:space="preserve">Modak, N. M., Sinha, S., &amp; Ghosh, D. K. (2023). A review on remanufacturing, reuse, and recycling in supply chain – Exploring the evolution of information technology over two decades. </w:t>
      </w:r>
      <w:r w:rsidRPr="00471EC6">
        <w:rPr>
          <w:rFonts w:ascii="Garamond" w:hAnsi="Garamond"/>
          <w:i/>
          <w:iCs/>
          <w:sz w:val="24"/>
          <w:szCs w:val="24"/>
          <w:lang w:val="en-US"/>
        </w:rPr>
        <w:t>International Journal of Information Management Data Insights</w:t>
      </w:r>
      <w:r w:rsidRPr="00471EC6">
        <w:rPr>
          <w:rFonts w:ascii="Garamond" w:hAnsi="Garamond"/>
          <w:sz w:val="24"/>
          <w:szCs w:val="24"/>
          <w:lang w:val="en-US"/>
        </w:rPr>
        <w:t>, 3(1), 100160.</w:t>
      </w:r>
    </w:p>
    <w:p w14:paraId="5D2E8B47" w14:textId="595998F0" w:rsidR="00841A8E"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 xml:space="preserve">U.S. Department of Commerce – International Trade Administration (Year). </w:t>
      </w:r>
      <w:r w:rsidRPr="00471EC6">
        <w:rPr>
          <w:rFonts w:ascii="Garamond" w:hAnsi="Garamond"/>
          <w:i/>
          <w:iCs/>
          <w:sz w:val="24"/>
          <w:szCs w:val="24"/>
          <w:lang w:val="en-US"/>
        </w:rPr>
        <w:t>Software and Information Technology Industry</w:t>
      </w:r>
      <w:r w:rsidRPr="00471EC6">
        <w:rPr>
          <w:rFonts w:ascii="Garamond" w:hAnsi="Garamond"/>
          <w:sz w:val="24"/>
          <w:szCs w:val="24"/>
          <w:lang w:val="en-US"/>
        </w:rPr>
        <w:t>.</w:t>
      </w:r>
    </w:p>
    <w:p w14:paraId="0A16B6D2" w14:textId="28EA8D00" w:rsidR="004A634C" w:rsidRDefault="004A634C" w:rsidP="00471EC6">
      <w:pPr>
        <w:spacing w:line="360" w:lineRule="auto"/>
        <w:jc w:val="both"/>
        <w:rPr>
          <w:rFonts w:ascii="Garamond" w:hAnsi="Garamond"/>
          <w:sz w:val="24"/>
          <w:szCs w:val="24"/>
        </w:rPr>
      </w:pPr>
      <w:r w:rsidRPr="004A634C">
        <w:rPr>
          <w:rFonts w:ascii="Garamond" w:hAnsi="Garamond"/>
          <w:sz w:val="24"/>
          <w:szCs w:val="24"/>
        </w:rPr>
        <w:t xml:space="preserve">Bakri, N.A.M., </w:t>
      </w:r>
      <w:proofErr w:type="spellStart"/>
      <w:r w:rsidRPr="004A634C">
        <w:rPr>
          <w:rFonts w:ascii="Garamond" w:hAnsi="Garamond"/>
          <w:sz w:val="24"/>
          <w:szCs w:val="24"/>
        </w:rPr>
        <w:t>Zulhairi</w:t>
      </w:r>
      <w:proofErr w:type="spellEnd"/>
      <w:r w:rsidRPr="004A634C">
        <w:rPr>
          <w:rFonts w:ascii="Garamond" w:hAnsi="Garamond"/>
          <w:sz w:val="24"/>
          <w:szCs w:val="24"/>
        </w:rPr>
        <w:t xml:space="preserve">, A., </w:t>
      </w:r>
      <w:proofErr w:type="spellStart"/>
      <w:r w:rsidRPr="004A634C">
        <w:rPr>
          <w:rFonts w:ascii="Garamond" w:hAnsi="Garamond"/>
          <w:sz w:val="24"/>
          <w:szCs w:val="24"/>
        </w:rPr>
        <w:t>Yahmin</w:t>
      </w:r>
      <w:proofErr w:type="spellEnd"/>
      <w:r w:rsidRPr="004A634C">
        <w:rPr>
          <w:rFonts w:ascii="Garamond" w:hAnsi="Garamond"/>
          <w:sz w:val="24"/>
          <w:szCs w:val="24"/>
        </w:rPr>
        <w:t xml:space="preserve">, N., Hashim, K., </w:t>
      </w:r>
      <w:proofErr w:type="spellStart"/>
      <w:r w:rsidRPr="004A634C">
        <w:rPr>
          <w:rFonts w:ascii="Garamond" w:hAnsi="Garamond"/>
          <w:sz w:val="24"/>
          <w:szCs w:val="24"/>
        </w:rPr>
        <w:t>Traval</w:t>
      </w:r>
      <w:proofErr w:type="spellEnd"/>
      <w:r w:rsidRPr="004A634C">
        <w:rPr>
          <w:rFonts w:ascii="Garamond" w:hAnsi="Garamond"/>
          <w:sz w:val="24"/>
          <w:szCs w:val="24"/>
        </w:rPr>
        <w:t>, R., Khair, U.N.J. and Chew, B.C., 2012, February. PESTLE Analysis on Cloud Computing. In </w:t>
      </w:r>
      <w:r w:rsidRPr="004A634C">
        <w:rPr>
          <w:rFonts w:ascii="Garamond" w:hAnsi="Garamond"/>
          <w:i/>
          <w:iCs/>
          <w:sz w:val="24"/>
          <w:szCs w:val="24"/>
        </w:rPr>
        <w:t xml:space="preserve">Proceedings of 2012 International Conference on Technology Management and </w:t>
      </w:r>
      <w:proofErr w:type="spellStart"/>
      <w:r w:rsidRPr="004A634C">
        <w:rPr>
          <w:rFonts w:ascii="Garamond" w:hAnsi="Garamond"/>
          <w:i/>
          <w:iCs/>
          <w:sz w:val="24"/>
          <w:szCs w:val="24"/>
        </w:rPr>
        <w:t>Technopreneurship</w:t>
      </w:r>
      <w:proofErr w:type="spellEnd"/>
      <w:r w:rsidRPr="004A634C">
        <w:rPr>
          <w:rFonts w:ascii="Garamond" w:hAnsi="Garamond"/>
          <w:i/>
          <w:iCs/>
          <w:sz w:val="24"/>
          <w:szCs w:val="24"/>
        </w:rPr>
        <w:t>: IC-TMT2012</w:t>
      </w:r>
      <w:r w:rsidRPr="004A634C">
        <w:rPr>
          <w:rFonts w:ascii="Garamond" w:hAnsi="Garamond"/>
          <w:sz w:val="24"/>
          <w:szCs w:val="24"/>
        </w:rPr>
        <w:t> (pp. 6-7).</w:t>
      </w:r>
    </w:p>
    <w:p w14:paraId="3DB72FF5" w14:textId="0DC56593" w:rsidR="004A634C" w:rsidRDefault="004A634C" w:rsidP="00471EC6">
      <w:pPr>
        <w:spacing w:line="360" w:lineRule="auto"/>
        <w:jc w:val="both"/>
        <w:rPr>
          <w:rFonts w:ascii="Garamond" w:hAnsi="Garamond"/>
          <w:sz w:val="24"/>
          <w:szCs w:val="24"/>
        </w:rPr>
      </w:pPr>
      <w:proofErr w:type="spellStart"/>
      <w:r w:rsidRPr="004A634C">
        <w:rPr>
          <w:rFonts w:ascii="Garamond" w:hAnsi="Garamond"/>
          <w:sz w:val="24"/>
          <w:szCs w:val="24"/>
        </w:rPr>
        <w:t>Nkang</w:t>
      </w:r>
      <w:proofErr w:type="spellEnd"/>
      <w:r w:rsidRPr="004A634C">
        <w:rPr>
          <w:rFonts w:ascii="Garamond" w:hAnsi="Garamond"/>
          <w:sz w:val="24"/>
          <w:szCs w:val="24"/>
        </w:rPr>
        <w:t>, C.N., 2023. PESTLE Analysis Report for BAE Systems: Integrating Cloud Technology in the Defence Sector.</w:t>
      </w:r>
    </w:p>
    <w:p w14:paraId="5588DAD0" w14:textId="3411AA7F" w:rsidR="00F17EEC" w:rsidRDefault="00F17EEC" w:rsidP="00471EC6">
      <w:pPr>
        <w:spacing w:line="360" w:lineRule="auto"/>
        <w:jc w:val="both"/>
        <w:rPr>
          <w:rFonts w:ascii="Garamond" w:hAnsi="Garamond"/>
          <w:sz w:val="24"/>
          <w:szCs w:val="24"/>
        </w:rPr>
      </w:pPr>
      <w:r w:rsidRPr="00F17EEC">
        <w:rPr>
          <w:rFonts w:ascii="Garamond" w:hAnsi="Garamond"/>
          <w:sz w:val="24"/>
          <w:szCs w:val="24"/>
        </w:rPr>
        <w:t>Microsoft Legal Issues. (2024). In-depth analysis of Microsoft's legal challenges and implications</w:t>
      </w:r>
    </w:p>
    <w:p w14:paraId="7F03F47C" w14:textId="77777777" w:rsidR="0038112C" w:rsidRPr="0038112C" w:rsidRDefault="0038112C" w:rsidP="0038112C">
      <w:pPr>
        <w:spacing w:line="360" w:lineRule="auto"/>
        <w:jc w:val="both"/>
        <w:rPr>
          <w:rFonts w:ascii="Garamond" w:hAnsi="Garamond"/>
          <w:sz w:val="24"/>
          <w:szCs w:val="24"/>
          <w:lang w:val="en-US"/>
        </w:rPr>
      </w:pPr>
      <w:r w:rsidRPr="0038112C">
        <w:rPr>
          <w:rFonts w:ascii="Garamond" w:hAnsi="Garamond"/>
          <w:sz w:val="24"/>
          <w:szCs w:val="24"/>
          <w:lang w:val="en-US"/>
        </w:rPr>
        <w:t xml:space="preserve">SEITOVA, D., 2022. The terms of internationally accepted computer-based terminology. </w:t>
      </w:r>
      <w:proofErr w:type="spellStart"/>
      <w:r w:rsidRPr="0038112C">
        <w:rPr>
          <w:rFonts w:ascii="Garamond" w:hAnsi="Garamond"/>
          <w:i/>
          <w:iCs/>
          <w:sz w:val="24"/>
          <w:szCs w:val="24"/>
          <w:lang w:val="en-US"/>
        </w:rPr>
        <w:t>Ренессанс</w:t>
      </w:r>
      <w:proofErr w:type="spellEnd"/>
      <w:r w:rsidRPr="0038112C">
        <w:rPr>
          <w:rFonts w:ascii="Garamond" w:hAnsi="Garamond"/>
          <w:i/>
          <w:iCs/>
          <w:sz w:val="24"/>
          <w:szCs w:val="24"/>
          <w:lang w:val="en-US"/>
        </w:rPr>
        <w:t xml:space="preserve"> в </w:t>
      </w:r>
      <w:proofErr w:type="spellStart"/>
      <w:r w:rsidRPr="0038112C">
        <w:rPr>
          <w:rFonts w:ascii="Garamond" w:hAnsi="Garamond"/>
          <w:i/>
          <w:iCs/>
          <w:sz w:val="24"/>
          <w:szCs w:val="24"/>
          <w:lang w:val="en-US"/>
        </w:rPr>
        <w:t>парадигме</w:t>
      </w:r>
      <w:proofErr w:type="spellEnd"/>
      <w:r w:rsidRPr="0038112C">
        <w:rPr>
          <w:rFonts w:ascii="Garamond" w:hAnsi="Garamond"/>
          <w:i/>
          <w:iCs/>
          <w:sz w:val="24"/>
          <w:szCs w:val="24"/>
          <w:lang w:val="en-US"/>
        </w:rPr>
        <w:t xml:space="preserve"> </w:t>
      </w:r>
      <w:proofErr w:type="spellStart"/>
      <w:r w:rsidRPr="0038112C">
        <w:rPr>
          <w:rFonts w:ascii="Garamond" w:hAnsi="Garamond"/>
          <w:i/>
          <w:iCs/>
          <w:sz w:val="24"/>
          <w:szCs w:val="24"/>
          <w:lang w:val="en-US"/>
        </w:rPr>
        <w:t>новаций</w:t>
      </w:r>
      <w:proofErr w:type="spellEnd"/>
      <w:r w:rsidRPr="0038112C">
        <w:rPr>
          <w:rFonts w:ascii="Garamond" w:hAnsi="Garamond"/>
          <w:i/>
          <w:iCs/>
          <w:sz w:val="24"/>
          <w:szCs w:val="24"/>
          <w:lang w:val="en-US"/>
        </w:rPr>
        <w:t xml:space="preserve"> </w:t>
      </w:r>
      <w:proofErr w:type="spellStart"/>
      <w:r w:rsidRPr="0038112C">
        <w:rPr>
          <w:rFonts w:ascii="Garamond" w:hAnsi="Garamond"/>
          <w:i/>
          <w:iCs/>
          <w:sz w:val="24"/>
          <w:szCs w:val="24"/>
          <w:lang w:val="en-US"/>
        </w:rPr>
        <w:t>образования</w:t>
      </w:r>
      <w:proofErr w:type="spellEnd"/>
      <w:r w:rsidRPr="0038112C">
        <w:rPr>
          <w:rFonts w:ascii="Garamond" w:hAnsi="Garamond"/>
          <w:i/>
          <w:iCs/>
          <w:sz w:val="24"/>
          <w:szCs w:val="24"/>
          <w:lang w:val="en-US"/>
        </w:rPr>
        <w:t xml:space="preserve"> и </w:t>
      </w:r>
      <w:proofErr w:type="spellStart"/>
      <w:r w:rsidRPr="0038112C">
        <w:rPr>
          <w:rFonts w:ascii="Garamond" w:hAnsi="Garamond"/>
          <w:i/>
          <w:iCs/>
          <w:sz w:val="24"/>
          <w:szCs w:val="24"/>
          <w:lang w:val="en-US"/>
        </w:rPr>
        <w:t>технологий</w:t>
      </w:r>
      <w:proofErr w:type="spellEnd"/>
      <w:r w:rsidRPr="0038112C">
        <w:rPr>
          <w:rFonts w:ascii="Garamond" w:hAnsi="Garamond"/>
          <w:i/>
          <w:iCs/>
          <w:sz w:val="24"/>
          <w:szCs w:val="24"/>
          <w:lang w:val="en-US"/>
        </w:rPr>
        <w:t xml:space="preserve"> в XXI </w:t>
      </w:r>
      <w:proofErr w:type="spellStart"/>
      <w:r w:rsidRPr="0038112C">
        <w:rPr>
          <w:rFonts w:ascii="Garamond" w:hAnsi="Garamond"/>
          <w:i/>
          <w:iCs/>
          <w:sz w:val="24"/>
          <w:szCs w:val="24"/>
          <w:lang w:val="en-US"/>
        </w:rPr>
        <w:t>веке</w:t>
      </w:r>
      <w:proofErr w:type="spellEnd"/>
      <w:r w:rsidRPr="0038112C">
        <w:rPr>
          <w:rFonts w:ascii="Garamond" w:hAnsi="Garamond"/>
          <w:sz w:val="24"/>
          <w:szCs w:val="24"/>
          <w:lang w:val="en-US"/>
        </w:rPr>
        <w:t>, no. 1, pp. 53–54.</w:t>
      </w:r>
    </w:p>
    <w:p w14:paraId="39D590C8" w14:textId="074EB4E8" w:rsidR="0038112C" w:rsidRDefault="0038112C" w:rsidP="00471EC6">
      <w:pPr>
        <w:spacing w:line="360" w:lineRule="auto"/>
        <w:jc w:val="both"/>
        <w:rPr>
          <w:rFonts w:ascii="Garamond" w:hAnsi="Garamond"/>
          <w:sz w:val="24"/>
          <w:szCs w:val="24"/>
        </w:rPr>
      </w:pPr>
      <w:bookmarkStart w:id="0" w:name="_Hlk158629822"/>
      <w:r w:rsidRPr="0038112C">
        <w:rPr>
          <w:rFonts w:ascii="Garamond" w:hAnsi="Garamond"/>
          <w:sz w:val="24"/>
          <w:szCs w:val="24"/>
        </w:rPr>
        <w:t>Williams, B. and Figueiredo, J., 20</w:t>
      </w:r>
      <w:r>
        <w:rPr>
          <w:rFonts w:ascii="Garamond" w:hAnsi="Garamond"/>
          <w:sz w:val="24"/>
          <w:szCs w:val="24"/>
        </w:rPr>
        <w:t>2</w:t>
      </w:r>
      <w:r w:rsidRPr="0038112C">
        <w:rPr>
          <w:rFonts w:ascii="Garamond" w:hAnsi="Garamond"/>
          <w:sz w:val="24"/>
          <w:szCs w:val="24"/>
        </w:rPr>
        <w:t>1</w:t>
      </w:r>
      <w:bookmarkEnd w:id="0"/>
      <w:r w:rsidRPr="0038112C">
        <w:rPr>
          <w:rFonts w:ascii="Garamond" w:hAnsi="Garamond"/>
          <w:sz w:val="24"/>
          <w:szCs w:val="24"/>
        </w:rPr>
        <w:t>, June. Strategy and technology management: An innovation-leader case study. In </w:t>
      </w:r>
      <w:r w:rsidRPr="0038112C">
        <w:rPr>
          <w:rFonts w:ascii="Garamond" w:hAnsi="Garamond"/>
          <w:i/>
          <w:iCs/>
          <w:sz w:val="24"/>
          <w:szCs w:val="24"/>
        </w:rPr>
        <w:t>First International Technology Management Conference</w:t>
      </w:r>
      <w:r w:rsidRPr="0038112C">
        <w:rPr>
          <w:rFonts w:ascii="Garamond" w:hAnsi="Garamond"/>
          <w:sz w:val="24"/>
          <w:szCs w:val="24"/>
        </w:rPr>
        <w:t> (pp. 806-811). IEEE.</w:t>
      </w:r>
    </w:p>
    <w:p w14:paraId="301EACC0" w14:textId="77777777" w:rsidR="00271A72" w:rsidRPr="00271A72" w:rsidRDefault="00271A72" w:rsidP="00271A72">
      <w:pPr>
        <w:spacing w:line="360" w:lineRule="auto"/>
        <w:jc w:val="both"/>
        <w:rPr>
          <w:rFonts w:ascii="Garamond" w:hAnsi="Garamond"/>
          <w:sz w:val="24"/>
          <w:szCs w:val="24"/>
        </w:rPr>
      </w:pPr>
      <w:r w:rsidRPr="00271A72">
        <w:rPr>
          <w:rFonts w:ascii="Garamond" w:hAnsi="Garamond"/>
          <w:sz w:val="24"/>
          <w:szCs w:val="24"/>
        </w:rPr>
        <w:t xml:space="preserve">Jae-woong, B. and Geun-woo, R., 2010. A global brand of the </w:t>
      </w:r>
      <w:proofErr w:type="spellStart"/>
      <w:r w:rsidRPr="00271A72">
        <w:rPr>
          <w:rFonts w:ascii="Garamond" w:hAnsi="Garamond"/>
          <w:sz w:val="24"/>
          <w:szCs w:val="24"/>
        </w:rPr>
        <w:t>microsoft</w:t>
      </w:r>
      <w:proofErr w:type="spellEnd"/>
      <w:r w:rsidRPr="00271A72">
        <w:rPr>
          <w:rFonts w:ascii="Garamond" w:hAnsi="Garamond"/>
          <w:sz w:val="24"/>
          <w:szCs w:val="24"/>
        </w:rPr>
        <w:t xml:space="preserve"> company: 4ps and pest analysis. </w:t>
      </w:r>
      <w:proofErr w:type="spellStart"/>
      <w:r w:rsidRPr="00271A72">
        <w:rPr>
          <w:rFonts w:ascii="Malgun Gothic" w:eastAsia="Malgun Gothic" w:hAnsi="Malgun Gothic" w:cs="Malgun Gothic" w:hint="eastAsia"/>
          <w:i/>
          <w:iCs/>
          <w:sz w:val="24"/>
          <w:szCs w:val="24"/>
        </w:rPr>
        <w:t>문화산업연구</w:t>
      </w:r>
      <w:proofErr w:type="spellEnd"/>
      <w:r w:rsidRPr="00271A72">
        <w:rPr>
          <w:rFonts w:ascii="Garamond" w:hAnsi="Garamond"/>
          <w:sz w:val="24"/>
          <w:szCs w:val="24"/>
        </w:rPr>
        <w:t>, </w:t>
      </w:r>
      <w:r w:rsidRPr="00271A72">
        <w:rPr>
          <w:rFonts w:ascii="Garamond" w:hAnsi="Garamond"/>
          <w:i/>
          <w:iCs/>
          <w:sz w:val="24"/>
          <w:szCs w:val="24"/>
        </w:rPr>
        <w:t>10</w:t>
      </w:r>
      <w:r w:rsidRPr="00271A72">
        <w:rPr>
          <w:rFonts w:ascii="Garamond" w:hAnsi="Garamond"/>
          <w:sz w:val="24"/>
          <w:szCs w:val="24"/>
        </w:rPr>
        <w:t>(2), pp.185-196.</w:t>
      </w:r>
    </w:p>
    <w:p w14:paraId="23D61380" w14:textId="77777777" w:rsidR="00271A72" w:rsidRPr="00271A72" w:rsidRDefault="00271A72" w:rsidP="00271A72">
      <w:pPr>
        <w:spacing w:line="360" w:lineRule="auto"/>
        <w:jc w:val="both"/>
        <w:rPr>
          <w:rFonts w:ascii="Garamond" w:hAnsi="Garamond"/>
          <w:sz w:val="24"/>
          <w:szCs w:val="24"/>
        </w:rPr>
      </w:pPr>
      <w:proofErr w:type="spellStart"/>
      <w:r w:rsidRPr="00271A72">
        <w:rPr>
          <w:rFonts w:ascii="Garamond" w:hAnsi="Garamond"/>
          <w:sz w:val="24"/>
          <w:szCs w:val="24"/>
        </w:rPr>
        <w:t>Qisman</w:t>
      </w:r>
      <w:proofErr w:type="spellEnd"/>
      <w:r w:rsidRPr="00271A72">
        <w:rPr>
          <w:rFonts w:ascii="Garamond" w:hAnsi="Garamond"/>
          <w:sz w:val="24"/>
          <w:szCs w:val="24"/>
        </w:rPr>
        <w:t xml:space="preserve">, M., </w:t>
      </w:r>
      <w:proofErr w:type="spellStart"/>
      <w:r w:rsidRPr="00271A72">
        <w:rPr>
          <w:rFonts w:ascii="Garamond" w:hAnsi="Garamond"/>
          <w:sz w:val="24"/>
          <w:szCs w:val="24"/>
        </w:rPr>
        <w:t>Rosadi</w:t>
      </w:r>
      <w:proofErr w:type="spellEnd"/>
      <w:r w:rsidRPr="00271A72">
        <w:rPr>
          <w:rFonts w:ascii="Garamond" w:hAnsi="Garamond"/>
          <w:sz w:val="24"/>
          <w:szCs w:val="24"/>
        </w:rPr>
        <w:t xml:space="preserve">, R. and Abdullah, A.S., 2021. Market basket analysis using </w:t>
      </w:r>
      <w:proofErr w:type="spellStart"/>
      <w:r w:rsidRPr="00271A72">
        <w:rPr>
          <w:rFonts w:ascii="Garamond" w:hAnsi="Garamond"/>
          <w:sz w:val="24"/>
          <w:szCs w:val="24"/>
        </w:rPr>
        <w:t>apriori</w:t>
      </w:r>
      <w:proofErr w:type="spellEnd"/>
      <w:r w:rsidRPr="00271A72">
        <w:rPr>
          <w:rFonts w:ascii="Garamond" w:hAnsi="Garamond"/>
          <w:sz w:val="24"/>
          <w:szCs w:val="24"/>
        </w:rPr>
        <w:t xml:space="preserve"> algorithm to find consumer patterns in buying goods through transaction data (case study of Mizan computer retail stores). In </w:t>
      </w:r>
      <w:r w:rsidRPr="00271A72">
        <w:rPr>
          <w:rFonts w:ascii="Garamond" w:hAnsi="Garamond"/>
          <w:i/>
          <w:iCs/>
          <w:sz w:val="24"/>
          <w:szCs w:val="24"/>
        </w:rPr>
        <w:t>Journal of Physics: Conference Series</w:t>
      </w:r>
      <w:r w:rsidRPr="00271A72">
        <w:rPr>
          <w:rFonts w:ascii="Garamond" w:hAnsi="Garamond"/>
          <w:sz w:val="24"/>
          <w:szCs w:val="24"/>
        </w:rPr>
        <w:t> (Vol. 1722, No. 1, p. 012020). IOP Publishing.</w:t>
      </w:r>
    </w:p>
    <w:p w14:paraId="582B7FFD" w14:textId="77777777" w:rsidR="00271A72" w:rsidRPr="00471EC6" w:rsidRDefault="00271A72" w:rsidP="00471EC6">
      <w:pPr>
        <w:spacing w:line="360" w:lineRule="auto"/>
        <w:jc w:val="both"/>
        <w:rPr>
          <w:rFonts w:ascii="Garamond" w:hAnsi="Garamond"/>
          <w:sz w:val="24"/>
          <w:szCs w:val="24"/>
          <w:lang w:val="en-US"/>
        </w:rPr>
      </w:pPr>
    </w:p>
    <w:sectPr w:rsidR="00271A72" w:rsidRPr="0047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3C5"/>
    <w:multiLevelType w:val="multilevel"/>
    <w:tmpl w:val="3942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75CE6"/>
    <w:multiLevelType w:val="multilevel"/>
    <w:tmpl w:val="6632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301601">
    <w:abstractNumId w:val="0"/>
  </w:num>
  <w:num w:numId="2" w16cid:durableId="45410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B7"/>
    <w:rsid w:val="000163CC"/>
    <w:rsid w:val="000C36D7"/>
    <w:rsid w:val="00167CC6"/>
    <w:rsid w:val="00195FF0"/>
    <w:rsid w:val="00271A72"/>
    <w:rsid w:val="00303F86"/>
    <w:rsid w:val="0031651E"/>
    <w:rsid w:val="0034705E"/>
    <w:rsid w:val="0038112C"/>
    <w:rsid w:val="00447C76"/>
    <w:rsid w:val="00471EC6"/>
    <w:rsid w:val="00485444"/>
    <w:rsid w:val="004A634C"/>
    <w:rsid w:val="004D6B3B"/>
    <w:rsid w:val="004F20B7"/>
    <w:rsid w:val="005036A7"/>
    <w:rsid w:val="005A3FF3"/>
    <w:rsid w:val="005E1C14"/>
    <w:rsid w:val="00763B9B"/>
    <w:rsid w:val="007B132F"/>
    <w:rsid w:val="007D3FB5"/>
    <w:rsid w:val="00841A8E"/>
    <w:rsid w:val="00855A8C"/>
    <w:rsid w:val="00884545"/>
    <w:rsid w:val="008A643F"/>
    <w:rsid w:val="008B05A7"/>
    <w:rsid w:val="0098067E"/>
    <w:rsid w:val="009E1E7F"/>
    <w:rsid w:val="00A06B4D"/>
    <w:rsid w:val="00AE56B6"/>
    <w:rsid w:val="00AF1765"/>
    <w:rsid w:val="00B37B76"/>
    <w:rsid w:val="00C16A86"/>
    <w:rsid w:val="00D62E95"/>
    <w:rsid w:val="00E07B7F"/>
    <w:rsid w:val="00E11047"/>
    <w:rsid w:val="00F01AC3"/>
    <w:rsid w:val="00F1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E895"/>
  <w15:chartTrackingRefBased/>
  <w15:docId w15:val="{0FA73C9A-76EA-4B7A-B5AE-9888CE57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EC6"/>
    <w:rPr>
      <w:lang w:val="en-GB"/>
    </w:rPr>
  </w:style>
  <w:style w:type="paragraph" w:styleId="Heading1">
    <w:name w:val="heading 1"/>
    <w:basedOn w:val="Normal"/>
    <w:next w:val="Normal"/>
    <w:link w:val="Heading1Char"/>
    <w:uiPriority w:val="9"/>
    <w:qFormat/>
    <w:rsid w:val="004F2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B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F20B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F20B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F20B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F20B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F20B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F20B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F20B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F20B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F2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B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F2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B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F20B7"/>
    <w:pPr>
      <w:spacing w:before="160"/>
      <w:jc w:val="center"/>
    </w:pPr>
    <w:rPr>
      <w:i/>
      <w:iCs/>
      <w:color w:val="404040" w:themeColor="text1" w:themeTint="BF"/>
    </w:rPr>
  </w:style>
  <w:style w:type="character" w:customStyle="1" w:styleId="QuoteChar">
    <w:name w:val="Quote Char"/>
    <w:basedOn w:val="DefaultParagraphFont"/>
    <w:link w:val="Quote"/>
    <w:uiPriority w:val="29"/>
    <w:rsid w:val="004F20B7"/>
    <w:rPr>
      <w:i/>
      <w:iCs/>
      <w:color w:val="404040" w:themeColor="text1" w:themeTint="BF"/>
      <w:lang w:val="en-GB"/>
    </w:rPr>
  </w:style>
  <w:style w:type="paragraph" w:styleId="ListParagraph">
    <w:name w:val="List Paragraph"/>
    <w:basedOn w:val="Normal"/>
    <w:uiPriority w:val="34"/>
    <w:qFormat/>
    <w:rsid w:val="004F20B7"/>
    <w:pPr>
      <w:ind w:left="720"/>
      <w:contextualSpacing/>
    </w:pPr>
  </w:style>
  <w:style w:type="character" w:styleId="IntenseEmphasis">
    <w:name w:val="Intense Emphasis"/>
    <w:basedOn w:val="DefaultParagraphFont"/>
    <w:uiPriority w:val="21"/>
    <w:qFormat/>
    <w:rsid w:val="004F20B7"/>
    <w:rPr>
      <w:i/>
      <w:iCs/>
      <w:color w:val="0F4761" w:themeColor="accent1" w:themeShade="BF"/>
    </w:rPr>
  </w:style>
  <w:style w:type="paragraph" w:styleId="IntenseQuote">
    <w:name w:val="Intense Quote"/>
    <w:basedOn w:val="Normal"/>
    <w:next w:val="Normal"/>
    <w:link w:val="IntenseQuoteChar"/>
    <w:uiPriority w:val="30"/>
    <w:qFormat/>
    <w:rsid w:val="004F2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B7"/>
    <w:rPr>
      <w:i/>
      <w:iCs/>
      <w:color w:val="0F4761" w:themeColor="accent1" w:themeShade="BF"/>
      <w:lang w:val="en-GB"/>
    </w:rPr>
  </w:style>
  <w:style w:type="character" w:styleId="IntenseReference">
    <w:name w:val="Intense Reference"/>
    <w:basedOn w:val="DefaultParagraphFont"/>
    <w:uiPriority w:val="32"/>
    <w:qFormat/>
    <w:rsid w:val="004F20B7"/>
    <w:rPr>
      <w:b/>
      <w:bCs/>
      <w:smallCaps/>
      <w:color w:val="0F4761" w:themeColor="accent1" w:themeShade="BF"/>
      <w:spacing w:val="5"/>
    </w:rPr>
  </w:style>
  <w:style w:type="table" w:styleId="TableGrid">
    <w:name w:val="Table Grid"/>
    <w:basedOn w:val="TableNormal"/>
    <w:uiPriority w:val="39"/>
    <w:rsid w:val="00316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583">
      <w:bodyDiv w:val="1"/>
      <w:marLeft w:val="0"/>
      <w:marRight w:val="0"/>
      <w:marTop w:val="0"/>
      <w:marBottom w:val="0"/>
      <w:divBdr>
        <w:top w:val="none" w:sz="0" w:space="0" w:color="auto"/>
        <w:left w:val="none" w:sz="0" w:space="0" w:color="auto"/>
        <w:bottom w:val="none" w:sz="0" w:space="0" w:color="auto"/>
        <w:right w:val="none" w:sz="0" w:space="0" w:color="auto"/>
      </w:divBdr>
    </w:div>
    <w:div w:id="209148934">
      <w:bodyDiv w:val="1"/>
      <w:marLeft w:val="0"/>
      <w:marRight w:val="0"/>
      <w:marTop w:val="0"/>
      <w:marBottom w:val="0"/>
      <w:divBdr>
        <w:top w:val="none" w:sz="0" w:space="0" w:color="auto"/>
        <w:left w:val="none" w:sz="0" w:space="0" w:color="auto"/>
        <w:bottom w:val="none" w:sz="0" w:space="0" w:color="auto"/>
        <w:right w:val="none" w:sz="0" w:space="0" w:color="auto"/>
      </w:divBdr>
    </w:div>
    <w:div w:id="213083854">
      <w:bodyDiv w:val="1"/>
      <w:marLeft w:val="0"/>
      <w:marRight w:val="0"/>
      <w:marTop w:val="0"/>
      <w:marBottom w:val="0"/>
      <w:divBdr>
        <w:top w:val="none" w:sz="0" w:space="0" w:color="auto"/>
        <w:left w:val="none" w:sz="0" w:space="0" w:color="auto"/>
        <w:bottom w:val="none" w:sz="0" w:space="0" w:color="auto"/>
        <w:right w:val="none" w:sz="0" w:space="0" w:color="auto"/>
      </w:divBdr>
    </w:div>
    <w:div w:id="313678136">
      <w:bodyDiv w:val="1"/>
      <w:marLeft w:val="0"/>
      <w:marRight w:val="0"/>
      <w:marTop w:val="0"/>
      <w:marBottom w:val="0"/>
      <w:divBdr>
        <w:top w:val="none" w:sz="0" w:space="0" w:color="auto"/>
        <w:left w:val="none" w:sz="0" w:space="0" w:color="auto"/>
        <w:bottom w:val="none" w:sz="0" w:space="0" w:color="auto"/>
        <w:right w:val="none" w:sz="0" w:space="0" w:color="auto"/>
      </w:divBdr>
    </w:div>
    <w:div w:id="604076908">
      <w:bodyDiv w:val="1"/>
      <w:marLeft w:val="0"/>
      <w:marRight w:val="0"/>
      <w:marTop w:val="0"/>
      <w:marBottom w:val="0"/>
      <w:divBdr>
        <w:top w:val="none" w:sz="0" w:space="0" w:color="auto"/>
        <w:left w:val="none" w:sz="0" w:space="0" w:color="auto"/>
        <w:bottom w:val="none" w:sz="0" w:space="0" w:color="auto"/>
        <w:right w:val="none" w:sz="0" w:space="0" w:color="auto"/>
      </w:divBdr>
    </w:div>
    <w:div w:id="802620643">
      <w:bodyDiv w:val="1"/>
      <w:marLeft w:val="0"/>
      <w:marRight w:val="0"/>
      <w:marTop w:val="0"/>
      <w:marBottom w:val="0"/>
      <w:divBdr>
        <w:top w:val="none" w:sz="0" w:space="0" w:color="auto"/>
        <w:left w:val="none" w:sz="0" w:space="0" w:color="auto"/>
        <w:bottom w:val="none" w:sz="0" w:space="0" w:color="auto"/>
        <w:right w:val="none" w:sz="0" w:space="0" w:color="auto"/>
      </w:divBdr>
    </w:div>
    <w:div w:id="876745552">
      <w:bodyDiv w:val="1"/>
      <w:marLeft w:val="0"/>
      <w:marRight w:val="0"/>
      <w:marTop w:val="0"/>
      <w:marBottom w:val="0"/>
      <w:divBdr>
        <w:top w:val="none" w:sz="0" w:space="0" w:color="auto"/>
        <w:left w:val="none" w:sz="0" w:space="0" w:color="auto"/>
        <w:bottom w:val="none" w:sz="0" w:space="0" w:color="auto"/>
        <w:right w:val="none" w:sz="0" w:space="0" w:color="auto"/>
      </w:divBdr>
    </w:div>
    <w:div w:id="878274036">
      <w:bodyDiv w:val="1"/>
      <w:marLeft w:val="0"/>
      <w:marRight w:val="0"/>
      <w:marTop w:val="0"/>
      <w:marBottom w:val="0"/>
      <w:divBdr>
        <w:top w:val="none" w:sz="0" w:space="0" w:color="auto"/>
        <w:left w:val="none" w:sz="0" w:space="0" w:color="auto"/>
        <w:bottom w:val="none" w:sz="0" w:space="0" w:color="auto"/>
        <w:right w:val="none" w:sz="0" w:space="0" w:color="auto"/>
      </w:divBdr>
    </w:div>
    <w:div w:id="903683613">
      <w:bodyDiv w:val="1"/>
      <w:marLeft w:val="0"/>
      <w:marRight w:val="0"/>
      <w:marTop w:val="0"/>
      <w:marBottom w:val="0"/>
      <w:divBdr>
        <w:top w:val="none" w:sz="0" w:space="0" w:color="auto"/>
        <w:left w:val="none" w:sz="0" w:space="0" w:color="auto"/>
        <w:bottom w:val="none" w:sz="0" w:space="0" w:color="auto"/>
        <w:right w:val="none" w:sz="0" w:space="0" w:color="auto"/>
      </w:divBdr>
    </w:div>
    <w:div w:id="926304696">
      <w:bodyDiv w:val="1"/>
      <w:marLeft w:val="0"/>
      <w:marRight w:val="0"/>
      <w:marTop w:val="0"/>
      <w:marBottom w:val="0"/>
      <w:divBdr>
        <w:top w:val="none" w:sz="0" w:space="0" w:color="auto"/>
        <w:left w:val="none" w:sz="0" w:space="0" w:color="auto"/>
        <w:bottom w:val="none" w:sz="0" w:space="0" w:color="auto"/>
        <w:right w:val="none" w:sz="0" w:space="0" w:color="auto"/>
      </w:divBdr>
    </w:div>
    <w:div w:id="1025863820">
      <w:bodyDiv w:val="1"/>
      <w:marLeft w:val="0"/>
      <w:marRight w:val="0"/>
      <w:marTop w:val="0"/>
      <w:marBottom w:val="0"/>
      <w:divBdr>
        <w:top w:val="none" w:sz="0" w:space="0" w:color="auto"/>
        <w:left w:val="none" w:sz="0" w:space="0" w:color="auto"/>
        <w:bottom w:val="none" w:sz="0" w:space="0" w:color="auto"/>
        <w:right w:val="none" w:sz="0" w:space="0" w:color="auto"/>
      </w:divBdr>
      <w:divsChild>
        <w:div w:id="1756049589">
          <w:marLeft w:val="0"/>
          <w:marRight w:val="0"/>
          <w:marTop w:val="0"/>
          <w:marBottom w:val="0"/>
          <w:divBdr>
            <w:top w:val="none" w:sz="0" w:space="0" w:color="auto"/>
            <w:left w:val="none" w:sz="0" w:space="0" w:color="auto"/>
            <w:bottom w:val="none" w:sz="0" w:space="0" w:color="auto"/>
            <w:right w:val="none" w:sz="0" w:space="0" w:color="auto"/>
          </w:divBdr>
        </w:div>
      </w:divsChild>
    </w:div>
    <w:div w:id="1046947807">
      <w:bodyDiv w:val="1"/>
      <w:marLeft w:val="0"/>
      <w:marRight w:val="0"/>
      <w:marTop w:val="0"/>
      <w:marBottom w:val="0"/>
      <w:divBdr>
        <w:top w:val="none" w:sz="0" w:space="0" w:color="auto"/>
        <w:left w:val="none" w:sz="0" w:space="0" w:color="auto"/>
        <w:bottom w:val="none" w:sz="0" w:space="0" w:color="auto"/>
        <w:right w:val="none" w:sz="0" w:space="0" w:color="auto"/>
      </w:divBdr>
    </w:div>
    <w:div w:id="1083180068">
      <w:bodyDiv w:val="1"/>
      <w:marLeft w:val="0"/>
      <w:marRight w:val="0"/>
      <w:marTop w:val="0"/>
      <w:marBottom w:val="0"/>
      <w:divBdr>
        <w:top w:val="none" w:sz="0" w:space="0" w:color="auto"/>
        <w:left w:val="none" w:sz="0" w:space="0" w:color="auto"/>
        <w:bottom w:val="none" w:sz="0" w:space="0" w:color="auto"/>
        <w:right w:val="none" w:sz="0" w:space="0" w:color="auto"/>
      </w:divBdr>
    </w:div>
    <w:div w:id="1099719377">
      <w:bodyDiv w:val="1"/>
      <w:marLeft w:val="0"/>
      <w:marRight w:val="0"/>
      <w:marTop w:val="0"/>
      <w:marBottom w:val="0"/>
      <w:divBdr>
        <w:top w:val="none" w:sz="0" w:space="0" w:color="auto"/>
        <w:left w:val="none" w:sz="0" w:space="0" w:color="auto"/>
        <w:bottom w:val="none" w:sz="0" w:space="0" w:color="auto"/>
        <w:right w:val="none" w:sz="0" w:space="0" w:color="auto"/>
      </w:divBdr>
    </w:div>
    <w:div w:id="1296108813">
      <w:bodyDiv w:val="1"/>
      <w:marLeft w:val="0"/>
      <w:marRight w:val="0"/>
      <w:marTop w:val="0"/>
      <w:marBottom w:val="0"/>
      <w:divBdr>
        <w:top w:val="none" w:sz="0" w:space="0" w:color="auto"/>
        <w:left w:val="none" w:sz="0" w:space="0" w:color="auto"/>
        <w:bottom w:val="none" w:sz="0" w:space="0" w:color="auto"/>
        <w:right w:val="none" w:sz="0" w:space="0" w:color="auto"/>
      </w:divBdr>
    </w:div>
    <w:div w:id="1412238618">
      <w:bodyDiv w:val="1"/>
      <w:marLeft w:val="0"/>
      <w:marRight w:val="0"/>
      <w:marTop w:val="0"/>
      <w:marBottom w:val="0"/>
      <w:divBdr>
        <w:top w:val="none" w:sz="0" w:space="0" w:color="auto"/>
        <w:left w:val="none" w:sz="0" w:space="0" w:color="auto"/>
        <w:bottom w:val="none" w:sz="0" w:space="0" w:color="auto"/>
        <w:right w:val="none" w:sz="0" w:space="0" w:color="auto"/>
      </w:divBdr>
    </w:div>
    <w:div w:id="1493986113">
      <w:bodyDiv w:val="1"/>
      <w:marLeft w:val="0"/>
      <w:marRight w:val="0"/>
      <w:marTop w:val="0"/>
      <w:marBottom w:val="0"/>
      <w:divBdr>
        <w:top w:val="none" w:sz="0" w:space="0" w:color="auto"/>
        <w:left w:val="none" w:sz="0" w:space="0" w:color="auto"/>
        <w:bottom w:val="none" w:sz="0" w:space="0" w:color="auto"/>
        <w:right w:val="none" w:sz="0" w:space="0" w:color="auto"/>
      </w:divBdr>
    </w:div>
    <w:div w:id="1621640991">
      <w:bodyDiv w:val="1"/>
      <w:marLeft w:val="0"/>
      <w:marRight w:val="0"/>
      <w:marTop w:val="0"/>
      <w:marBottom w:val="0"/>
      <w:divBdr>
        <w:top w:val="none" w:sz="0" w:space="0" w:color="auto"/>
        <w:left w:val="none" w:sz="0" w:space="0" w:color="auto"/>
        <w:bottom w:val="none" w:sz="0" w:space="0" w:color="auto"/>
        <w:right w:val="none" w:sz="0" w:space="0" w:color="auto"/>
      </w:divBdr>
    </w:div>
    <w:div w:id="1670594838">
      <w:bodyDiv w:val="1"/>
      <w:marLeft w:val="0"/>
      <w:marRight w:val="0"/>
      <w:marTop w:val="0"/>
      <w:marBottom w:val="0"/>
      <w:divBdr>
        <w:top w:val="none" w:sz="0" w:space="0" w:color="auto"/>
        <w:left w:val="none" w:sz="0" w:space="0" w:color="auto"/>
        <w:bottom w:val="none" w:sz="0" w:space="0" w:color="auto"/>
        <w:right w:val="none" w:sz="0" w:space="0" w:color="auto"/>
      </w:divBdr>
    </w:div>
    <w:div w:id="1823882816">
      <w:bodyDiv w:val="1"/>
      <w:marLeft w:val="0"/>
      <w:marRight w:val="0"/>
      <w:marTop w:val="0"/>
      <w:marBottom w:val="0"/>
      <w:divBdr>
        <w:top w:val="none" w:sz="0" w:space="0" w:color="auto"/>
        <w:left w:val="none" w:sz="0" w:space="0" w:color="auto"/>
        <w:bottom w:val="none" w:sz="0" w:space="0" w:color="auto"/>
        <w:right w:val="none" w:sz="0" w:space="0" w:color="auto"/>
      </w:divBdr>
    </w:div>
    <w:div w:id="1967659669">
      <w:bodyDiv w:val="1"/>
      <w:marLeft w:val="0"/>
      <w:marRight w:val="0"/>
      <w:marTop w:val="0"/>
      <w:marBottom w:val="0"/>
      <w:divBdr>
        <w:top w:val="none" w:sz="0" w:space="0" w:color="auto"/>
        <w:left w:val="none" w:sz="0" w:space="0" w:color="auto"/>
        <w:bottom w:val="none" w:sz="0" w:space="0" w:color="auto"/>
        <w:right w:val="none" w:sz="0" w:space="0" w:color="auto"/>
      </w:divBdr>
    </w:div>
    <w:div w:id="2009289051">
      <w:bodyDiv w:val="1"/>
      <w:marLeft w:val="0"/>
      <w:marRight w:val="0"/>
      <w:marTop w:val="0"/>
      <w:marBottom w:val="0"/>
      <w:divBdr>
        <w:top w:val="none" w:sz="0" w:space="0" w:color="auto"/>
        <w:left w:val="none" w:sz="0" w:space="0" w:color="auto"/>
        <w:bottom w:val="none" w:sz="0" w:space="0" w:color="auto"/>
        <w:right w:val="none" w:sz="0" w:space="0" w:color="auto"/>
      </w:divBdr>
    </w:div>
    <w:div w:id="2030258831">
      <w:bodyDiv w:val="1"/>
      <w:marLeft w:val="0"/>
      <w:marRight w:val="0"/>
      <w:marTop w:val="0"/>
      <w:marBottom w:val="0"/>
      <w:divBdr>
        <w:top w:val="none" w:sz="0" w:space="0" w:color="auto"/>
        <w:left w:val="none" w:sz="0" w:space="0" w:color="auto"/>
        <w:bottom w:val="none" w:sz="0" w:space="0" w:color="auto"/>
        <w:right w:val="none" w:sz="0" w:space="0" w:color="auto"/>
      </w:divBdr>
    </w:div>
    <w:div w:id="20502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5</Pages>
  <Words>1448</Words>
  <Characters>9100</Characters>
  <Application>Microsoft Office Word</Application>
  <DocSecurity>0</DocSecurity>
  <Lines>171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39</cp:revision>
  <dcterms:created xsi:type="dcterms:W3CDTF">2024-02-11T12:41:00Z</dcterms:created>
  <dcterms:modified xsi:type="dcterms:W3CDTF">2024-02-13T14:07:00Z</dcterms:modified>
</cp:coreProperties>
</file>