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1A37" w14:textId="65FD2464" w:rsidR="005A3FF3" w:rsidRPr="00D62E95" w:rsidRDefault="00D62E95" w:rsidP="00D62E95">
      <w:pPr>
        <w:jc w:val="center"/>
        <w:rPr>
          <w:rFonts w:ascii="Garamond" w:hAnsi="Garamond"/>
          <w:b/>
          <w:bCs/>
          <w:sz w:val="24"/>
          <w:szCs w:val="24"/>
        </w:rPr>
      </w:pPr>
      <w:r w:rsidRPr="00D62E95">
        <w:rPr>
          <w:rFonts w:ascii="Garamond" w:hAnsi="Garamond"/>
          <w:b/>
          <w:bCs/>
          <w:sz w:val="24"/>
          <w:szCs w:val="24"/>
        </w:rPr>
        <w:t>INTRODUCTION</w:t>
      </w:r>
    </w:p>
    <w:p w14:paraId="6F090313" w14:textId="7997E224" w:rsidR="00D62E95" w:rsidRDefault="00D62E95" w:rsidP="00E07B7F">
      <w:pPr>
        <w:spacing w:line="360" w:lineRule="auto"/>
        <w:rPr>
          <w:rFonts w:ascii="Garamond" w:hAnsi="Garamond"/>
          <w:sz w:val="24"/>
          <w:szCs w:val="24"/>
        </w:rPr>
      </w:pPr>
      <w:r w:rsidRPr="00D62E95">
        <w:rPr>
          <w:rFonts w:ascii="Garamond" w:hAnsi="Garamond"/>
          <w:sz w:val="24"/>
          <w:szCs w:val="24"/>
        </w:rPr>
        <w:t>Understanding the external environment is crucial for organizations, particularly in the context of sustainable development (Uitto, 2016). This understanding is negotiated through communication and shapes organizational strategic norms</w:t>
      </w:r>
      <w:r w:rsidR="008B05A7">
        <w:rPr>
          <w:rFonts w:ascii="Garamond" w:hAnsi="Garamond"/>
          <w:sz w:val="24"/>
          <w:szCs w:val="24"/>
        </w:rPr>
        <w:t xml:space="preserve"> </w:t>
      </w:r>
      <w:r w:rsidR="008B05A7" w:rsidRPr="008B05A7">
        <w:rPr>
          <w:rFonts w:ascii="Garamond" w:hAnsi="Garamond"/>
          <w:sz w:val="24"/>
          <w:szCs w:val="24"/>
        </w:rPr>
        <w:t>(Dirsmith and Covaleski 2023</w:t>
      </w:r>
      <w:r w:rsidR="00C16A86" w:rsidRPr="008B05A7">
        <w:rPr>
          <w:rFonts w:ascii="Garamond" w:hAnsi="Garamond"/>
          <w:sz w:val="24"/>
          <w:szCs w:val="24"/>
        </w:rPr>
        <w:t>)</w:t>
      </w:r>
      <w:r w:rsidR="00C16A86" w:rsidRPr="00D62E95">
        <w:rPr>
          <w:rFonts w:ascii="Garamond" w:hAnsi="Garamond"/>
          <w:sz w:val="24"/>
          <w:szCs w:val="24"/>
        </w:rPr>
        <w:t>. However</w:t>
      </w:r>
      <w:r w:rsidRPr="00D62E95">
        <w:rPr>
          <w:rFonts w:ascii="Garamond" w:hAnsi="Garamond"/>
          <w:sz w:val="24"/>
          <w:szCs w:val="24"/>
        </w:rPr>
        <w:t>, the assessment of the external environment is complex and requires clear definitions and measures (Miller</w:t>
      </w:r>
      <w:r w:rsidR="008B05A7">
        <w:rPr>
          <w:rFonts w:ascii="Garamond" w:hAnsi="Garamond"/>
          <w:sz w:val="24"/>
          <w:szCs w:val="24"/>
        </w:rPr>
        <w:t xml:space="preserve"> </w:t>
      </w:r>
      <w:r w:rsidR="008B05A7" w:rsidRPr="008B05A7">
        <w:rPr>
          <w:rFonts w:ascii="Garamond" w:hAnsi="Garamond"/>
          <w:i/>
          <w:iCs/>
          <w:sz w:val="24"/>
          <w:szCs w:val="24"/>
        </w:rPr>
        <w:t>et al</w:t>
      </w:r>
      <w:r w:rsidRPr="00D62E95">
        <w:rPr>
          <w:rFonts w:ascii="Garamond" w:hAnsi="Garamond"/>
          <w:sz w:val="24"/>
          <w:szCs w:val="24"/>
        </w:rPr>
        <w:t>, 20</w:t>
      </w:r>
      <w:r w:rsidR="008B05A7">
        <w:rPr>
          <w:rFonts w:ascii="Garamond" w:hAnsi="Garamond"/>
          <w:sz w:val="24"/>
          <w:szCs w:val="24"/>
        </w:rPr>
        <w:t>1</w:t>
      </w:r>
      <w:r w:rsidRPr="00D62E95">
        <w:rPr>
          <w:rFonts w:ascii="Garamond" w:hAnsi="Garamond"/>
          <w:sz w:val="24"/>
          <w:szCs w:val="24"/>
        </w:rPr>
        <w:t xml:space="preserve">6). The impact of the external environment on management information systems is also significant, with different states of the environment requiring different information characteristics and collection approaches (Ewusi-Mensah, </w:t>
      </w:r>
      <w:r w:rsidR="008B05A7">
        <w:rPr>
          <w:rFonts w:ascii="Garamond" w:hAnsi="Garamond"/>
          <w:sz w:val="24"/>
          <w:szCs w:val="24"/>
        </w:rPr>
        <w:t>202</w:t>
      </w:r>
      <w:r w:rsidRPr="00D62E95">
        <w:rPr>
          <w:rFonts w:ascii="Garamond" w:hAnsi="Garamond"/>
          <w:sz w:val="24"/>
          <w:szCs w:val="24"/>
        </w:rPr>
        <w:t>1). Therefore, a critical evaluation of the external environment is essential for organizations to effectively navigate and respond to its challenges and opportunities.</w:t>
      </w:r>
    </w:p>
    <w:p w14:paraId="5EBCB733" w14:textId="7BB14959" w:rsidR="000C36D7" w:rsidRDefault="00AE56B6" w:rsidP="00E07B7F">
      <w:pPr>
        <w:spacing w:line="360" w:lineRule="auto"/>
        <w:rPr>
          <w:rFonts w:ascii="Garamond" w:hAnsi="Garamond"/>
          <w:sz w:val="24"/>
          <w:szCs w:val="24"/>
        </w:rPr>
      </w:pPr>
      <w:r w:rsidRPr="00AE56B6">
        <w:rPr>
          <w:rFonts w:ascii="Garamond" w:hAnsi="Garamond"/>
          <w:sz w:val="24"/>
          <w:szCs w:val="24"/>
        </w:rPr>
        <w:t xml:space="preserve">The PESTEL analysis framework, which considers political, economic, social, technological, environmental, and legal factors, has been widely used in various industries to assess the external environment. Mokhtar (2021) and Schütz </w:t>
      </w:r>
      <w:r w:rsidR="00841A8E">
        <w:rPr>
          <w:rFonts w:ascii="Garamond" w:hAnsi="Garamond"/>
          <w:i/>
          <w:iCs/>
          <w:sz w:val="24"/>
          <w:szCs w:val="24"/>
        </w:rPr>
        <w:t xml:space="preserve">et al </w:t>
      </w:r>
      <w:r w:rsidRPr="00AE56B6">
        <w:rPr>
          <w:rFonts w:ascii="Garamond" w:hAnsi="Garamond"/>
          <w:sz w:val="24"/>
          <w:szCs w:val="24"/>
        </w:rPr>
        <w:t xml:space="preserve">(2018) both highlight the relevance of this framework in strategic management, with Mokhtar specifically applying it to event management and Schütz demonstrating its use in </w:t>
      </w:r>
      <w:r w:rsidRPr="00AE56B6">
        <w:rPr>
          <w:rFonts w:ascii="Garamond" w:hAnsi="Garamond"/>
          <w:sz w:val="24"/>
          <w:szCs w:val="24"/>
        </w:rPr>
        <w:t>analysing</w:t>
      </w:r>
      <w:r w:rsidRPr="00AE56B6">
        <w:rPr>
          <w:rFonts w:ascii="Garamond" w:hAnsi="Garamond"/>
          <w:sz w:val="24"/>
          <w:szCs w:val="24"/>
        </w:rPr>
        <w:t xml:space="preserve"> a company's macroenvironment. The environmental aspect of the PESTEL framework is particularly important for companies like Microsoft, as it helps them understand the impact of environmental factors on their operations and strategic position. This is further supported by Zhang</w:t>
      </w:r>
      <w:r w:rsidR="00841A8E">
        <w:rPr>
          <w:rFonts w:ascii="Garamond" w:hAnsi="Garamond"/>
          <w:sz w:val="24"/>
          <w:szCs w:val="24"/>
        </w:rPr>
        <w:t xml:space="preserve"> </w:t>
      </w:r>
      <w:r w:rsidR="00841A8E" w:rsidRPr="00841A8E">
        <w:rPr>
          <w:rFonts w:ascii="Garamond" w:hAnsi="Garamond"/>
          <w:i/>
          <w:iCs/>
          <w:sz w:val="24"/>
          <w:szCs w:val="24"/>
        </w:rPr>
        <w:t>et al</w:t>
      </w:r>
      <w:r w:rsidRPr="00AE56B6">
        <w:rPr>
          <w:rFonts w:ascii="Garamond" w:hAnsi="Garamond"/>
          <w:sz w:val="24"/>
          <w:szCs w:val="24"/>
        </w:rPr>
        <w:t xml:space="preserve"> (2011), who emphasizes the need for a holistic strategic analysis framework, and Galindro</w:t>
      </w:r>
      <w:r w:rsidR="00763B9B">
        <w:rPr>
          <w:rFonts w:ascii="Garamond" w:hAnsi="Garamond"/>
          <w:sz w:val="24"/>
          <w:szCs w:val="24"/>
        </w:rPr>
        <w:t xml:space="preserve"> </w:t>
      </w:r>
      <w:r w:rsidR="00763B9B">
        <w:rPr>
          <w:rFonts w:ascii="Garamond" w:hAnsi="Garamond"/>
          <w:i/>
          <w:iCs/>
          <w:sz w:val="24"/>
          <w:szCs w:val="24"/>
        </w:rPr>
        <w:t>et al</w:t>
      </w:r>
      <w:r w:rsidRPr="00AE56B6">
        <w:rPr>
          <w:rFonts w:ascii="Garamond" w:hAnsi="Garamond"/>
          <w:sz w:val="24"/>
          <w:szCs w:val="24"/>
        </w:rPr>
        <w:t xml:space="preserve"> (2019) who suggests the use of data envelopment analysis to benchmark environmental product declarations. These studies collectively underscore the rationale for using the PESTEL framework to explain the environmental analysis of Microsoft, as it provides a comprehensive and structured approach to understanding the environmental factors that can influence the company's performance.</w:t>
      </w:r>
    </w:p>
    <w:p w14:paraId="42FB74A4" w14:textId="77777777" w:rsidR="00471EC6" w:rsidRDefault="000C36D7" w:rsidP="00471EC6">
      <w:pPr>
        <w:spacing w:line="360" w:lineRule="auto"/>
        <w:jc w:val="center"/>
        <w:rPr>
          <w:rFonts w:ascii="Garamond" w:hAnsi="Garamond"/>
          <w:b/>
          <w:bCs/>
          <w:sz w:val="24"/>
          <w:szCs w:val="24"/>
        </w:rPr>
      </w:pPr>
      <w:r w:rsidRPr="000C36D7">
        <w:rPr>
          <w:rFonts w:ascii="Garamond" w:hAnsi="Garamond"/>
          <w:b/>
          <w:bCs/>
          <w:sz w:val="24"/>
          <w:szCs w:val="24"/>
        </w:rPr>
        <w:t>MACRO-ENVIRONMENT ANALYSIS</w:t>
      </w:r>
    </w:p>
    <w:p w14:paraId="15EA4833" w14:textId="1423E8E3" w:rsidR="00471EC6" w:rsidRPr="00471EC6" w:rsidRDefault="00471EC6" w:rsidP="00471EC6">
      <w:pPr>
        <w:spacing w:line="360" w:lineRule="auto"/>
        <w:rPr>
          <w:rFonts w:ascii="Garamond" w:hAnsi="Garamond"/>
          <w:sz w:val="24"/>
          <w:szCs w:val="24"/>
        </w:rPr>
      </w:pPr>
      <w:r w:rsidRPr="00471EC6">
        <w:rPr>
          <w:rFonts w:ascii="Garamond" w:hAnsi="Garamond"/>
          <w:sz w:val="24"/>
          <w:szCs w:val="24"/>
          <w:lang w:val="en-US"/>
        </w:rPr>
        <w:t>Microsoft, being a global tech giant, operates in a dynamic macro-environment influenced by various factors</w:t>
      </w:r>
      <w:r>
        <w:rPr>
          <w:rFonts w:ascii="Garamond" w:hAnsi="Garamond"/>
          <w:sz w:val="24"/>
          <w:szCs w:val="24"/>
          <w:lang w:val="en-US"/>
        </w:rPr>
        <w:t xml:space="preserve"> </w:t>
      </w:r>
      <w:r w:rsidRPr="00471EC6">
        <w:rPr>
          <w:rFonts w:ascii="Garamond" w:hAnsi="Garamond"/>
          <w:sz w:val="24"/>
          <w:szCs w:val="24"/>
          <w:lang w:val="en-US"/>
        </w:rPr>
        <w:t>(Microsoft Corporation</w:t>
      </w:r>
      <w:r w:rsidR="004A634C">
        <w:rPr>
          <w:rFonts w:ascii="Garamond" w:hAnsi="Garamond"/>
          <w:sz w:val="24"/>
          <w:szCs w:val="24"/>
          <w:lang w:val="en-US"/>
        </w:rPr>
        <w:t xml:space="preserve">, </w:t>
      </w:r>
      <w:r w:rsidRPr="00471EC6">
        <w:rPr>
          <w:rFonts w:ascii="Garamond" w:hAnsi="Garamond"/>
          <w:sz w:val="24"/>
          <w:szCs w:val="24"/>
          <w:lang w:val="en-US"/>
        </w:rPr>
        <w:t>2024). The political factors pose both opportunities and threats</w:t>
      </w:r>
      <w:r>
        <w:rPr>
          <w:rFonts w:ascii="Garamond" w:hAnsi="Garamond"/>
          <w:sz w:val="24"/>
          <w:szCs w:val="24"/>
          <w:lang w:val="en-US"/>
        </w:rPr>
        <w:t xml:space="preserve"> </w:t>
      </w:r>
      <w:r w:rsidRPr="00471EC6">
        <w:rPr>
          <w:rFonts w:ascii="Garamond" w:hAnsi="Garamond"/>
          <w:sz w:val="24"/>
          <w:szCs w:val="24"/>
          <w:lang w:val="en-US"/>
        </w:rPr>
        <w:t>(Microsoft Corporation</w:t>
      </w:r>
      <w:r w:rsidR="004A634C">
        <w:rPr>
          <w:rFonts w:ascii="Garamond" w:hAnsi="Garamond"/>
          <w:sz w:val="24"/>
          <w:szCs w:val="24"/>
          <w:lang w:val="en-US"/>
        </w:rPr>
        <w:t xml:space="preserve">, </w:t>
      </w:r>
      <w:r w:rsidRPr="00471EC6">
        <w:rPr>
          <w:rFonts w:ascii="Garamond" w:hAnsi="Garamond"/>
          <w:sz w:val="24"/>
          <w:szCs w:val="24"/>
          <w:lang w:val="en-US"/>
        </w:rPr>
        <w:t xml:space="preserve">2023). The company faces political tensions, particularly with the Chinese government, impacting its operations due to the distribution and supply chain </w:t>
      </w:r>
      <w:r w:rsidRPr="00471EC6">
        <w:rPr>
          <w:rFonts w:ascii="Garamond" w:hAnsi="Garamond"/>
          <w:sz w:val="24"/>
          <w:szCs w:val="24"/>
          <w:lang w:val="en-US"/>
        </w:rPr>
        <w:t>issues</w:t>
      </w:r>
      <w:r w:rsidRPr="00471EC6">
        <w:rPr>
          <w:rFonts w:ascii="Garamond" w:hAnsi="Garamond"/>
          <w:sz w:val="24"/>
          <w:szCs w:val="24"/>
        </w:rPr>
        <w:t xml:space="preserve"> (</w:t>
      </w:r>
      <w:r w:rsidRPr="00471EC6">
        <w:rPr>
          <w:rFonts w:ascii="Garamond" w:hAnsi="Garamond"/>
          <w:sz w:val="24"/>
          <w:szCs w:val="24"/>
        </w:rPr>
        <w:t xml:space="preserve">Jahan &amp; </w:t>
      </w:r>
      <w:proofErr w:type="spellStart"/>
      <w:r w:rsidRPr="00471EC6">
        <w:rPr>
          <w:rFonts w:ascii="Garamond" w:hAnsi="Garamond"/>
          <w:sz w:val="24"/>
          <w:szCs w:val="24"/>
        </w:rPr>
        <w:t>Sazu</w:t>
      </w:r>
      <w:proofErr w:type="spellEnd"/>
      <w:r w:rsidR="004A634C">
        <w:rPr>
          <w:rFonts w:ascii="Garamond" w:hAnsi="Garamond"/>
          <w:sz w:val="24"/>
          <w:szCs w:val="24"/>
        </w:rPr>
        <w:t xml:space="preserve">, </w:t>
      </w:r>
      <w:r w:rsidRPr="00471EC6">
        <w:rPr>
          <w:rFonts w:ascii="Garamond" w:hAnsi="Garamond"/>
          <w:sz w:val="24"/>
          <w:szCs w:val="24"/>
        </w:rPr>
        <w:t>2023)</w:t>
      </w:r>
      <w:r w:rsidRPr="00471EC6">
        <w:rPr>
          <w:rFonts w:ascii="Garamond" w:hAnsi="Garamond"/>
          <w:sz w:val="24"/>
          <w:szCs w:val="24"/>
          <w:lang w:val="en-US"/>
        </w:rPr>
        <w:t xml:space="preserve">. Additionally, issues with the European Union, such as fines imposed, highlight the challenges Microsoft faces in navigating diverse political landscapes. The changing political environment and the need for lobbying efforts add complexity to the company's strategic </w:t>
      </w:r>
      <w:r w:rsidRPr="00471EC6">
        <w:rPr>
          <w:rFonts w:ascii="Garamond" w:hAnsi="Garamond"/>
          <w:sz w:val="24"/>
          <w:szCs w:val="24"/>
          <w:lang w:val="en-US"/>
        </w:rPr>
        <w:lastRenderedPageBreak/>
        <w:t>considerations</w:t>
      </w:r>
      <w:r>
        <w:rPr>
          <w:rFonts w:ascii="Garamond" w:hAnsi="Garamond"/>
          <w:sz w:val="24"/>
          <w:szCs w:val="24"/>
          <w:lang w:val="en-US"/>
        </w:rPr>
        <w:t xml:space="preserve"> </w:t>
      </w:r>
      <w:r w:rsidRPr="00471EC6">
        <w:rPr>
          <w:rFonts w:ascii="Garamond" w:hAnsi="Garamond"/>
          <w:sz w:val="24"/>
          <w:szCs w:val="24"/>
        </w:rPr>
        <w:t>(Modak, Sinha &amp; Ghosh 2023)</w:t>
      </w:r>
      <w:r w:rsidRPr="00471EC6">
        <w:rPr>
          <w:rFonts w:ascii="Garamond" w:hAnsi="Garamond"/>
          <w:sz w:val="24"/>
          <w:szCs w:val="24"/>
          <w:lang w:val="en-US"/>
        </w:rPr>
        <w:t>. Microsoft's proactive approach, spending tens of millions of dollars annually on lobbyists, indicates its commitment to establishing a favorable political image globally. However, the accusations of creating a monopoly environment raise concerns, emphasizing the delicate balance the company must maintain in the political arena</w:t>
      </w:r>
      <w:r>
        <w:rPr>
          <w:rFonts w:ascii="Garamond" w:hAnsi="Garamond"/>
          <w:sz w:val="24"/>
          <w:szCs w:val="24"/>
          <w:lang w:val="en-US"/>
        </w:rPr>
        <w:t xml:space="preserve"> </w:t>
      </w:r>
      <w:r w:rsidRPr="00471EC6">
        <w:rPr>
          <w:rFonts w:ascii="Garamond" w:hAnsi="Garamond"/>
          <w:sz w:val="24"/>
          <w:szCs w:val="24"/>
          <w:lang w:val="en-US"/>
        </w:rPr>
        <w:t>(Phan 2021).</w:t>
      </w:r>
    </w:p>
    <w:p w14:paraId="57E088FE" w14:textId="2F705626" w:rsidR="00471EC6" w:rsidRPr="00471EC6" w:rsidRDefault="00471EC6" w:rsidP="00471EC6">
      <w:pPr>
        <w:spacing w:line="360" w:lineRule="auto"/>
        <w:rPr>
          <w:rFonts w:ascii="Garamond" w:hAnsi="Garamond"/>
          <w:sz w:val="24"/>
          <w:szCs w:val="24"/>
          <w:lang w:val="en-US"/>
        </w:rPr>
      </w:pPr>
      <w:r w:rsidRPr="00471EC6">
        <w:rPr>
          <w:rFonts w:ascii="Garamond" w:hAnsi="Garamond"/>
          <w:sz w:val="24"/>
          <w:szCs w:val="24"/>
          <w:lang w:val="en-US"/>
        </w:rPr>
        <w:t>Economic factors significantly affect Microsoft's performance. Economic stability in developed countries provides a steady market, while the growth of developing countries offers opportunities for increased sales</w:t>
      </w:r>
      <w:r>
        <w:rPr>
          <w:rFonts w:ascii="Garamond" w:hAnsi="Garamond"/>
          <w:sz w:val="24"/>
          <w:szCs w:val="24"/>
          <w:lang w:val="en-US"/>
        </w:rPr>
        <w:t xml:space="preserve"> </w:t>
      </w:r>
      <w:r w:rsidRPr="00471EC6">
        <w:rPr>
          <w:rFonts w:ascii="Garamond" w:hAnsi="Garamond"/>
          <w:sz w:val="24"/>
          <w:szCs w:val="24"/>
          <w:lang w:val="en-US"/>
        </w:rPr>
        <w:t>(U.S. Department of Commerce – International Trade Administration Year). Exchange rates and protectionist policies, especially during the Trump administration, can impact multinational corporations like Microsoft, requiring careful financial management and strategic adaptation. The overhaul of the H-1B visa program, though potentially limiting for foreign employees, could benefit Microsoft's growth and profitability by enforcing higher wages</w:t>
      </w:r>
      <w:r w:rsidR="00855A8C">
        <w:rPr>
          <w:rFonts w:ascii="Garamond" w:hAnsi="Garamond"/>
          <w:sz w:val="24"/>
          <w:szCs w:val="24"/>
          <w:lang w:val="en-US"/>
        </w:rPr>
        <w:t xml:space="preserve"> (Microsoft Corporation, 2024)</w:t>
      </w:r>
      <w:r w:rsidRPr="00471EC6">
        <w:rPr>
          <w:rFonts w:ascii="Garamond" w:hAnsi="Garamond"/>
          <w:sz w:val="24"/>
          <w:szCs w:val="24"/>
          <w:lang w:val="en-US"/>
        </w:rPr>
        <w:t>.</w:t>
      </w:r>
    </w:p>
    <w:p w14:paraId="011986D2" w14:textId="6635970A" w:rsidR="00F01AC3" w:rsidRDefault="00F01AC3" w:rsidP="00471EC6">
      <w:pPr>
        <w:spacing w:line="360" w:lineRule="auto"/>
        <w:rPr>
          <w:rFonts w:ascii="Garamond" w:hAnsi="Garamond"/>
          <w:sz w:val="24"/>
          <w:szCs w:val="24"/>
          <w:lang w:val="en-US"/>
        </w:rPr>
      </w:pPr>
      <w:r w:rsidRPr="00F01AC3">
        <w:rPr>
          <w:rFonts w:ascii="Garamond" w:hAnsi="Garamond"/>
          <w:sz w:val="24"/>
          <w:szCs w:val="24"/>
        </w:rPr>
        <w:t>With the surge in computer and laptop adoption, Microsoft thrived as its operating system dominated. However, the shift towards mobile usage demands a strategic pivot. Mobiles have become indispensable, yet Microsoft primarily concentrates on computers</w:t>
      </w:r>
      <w:r w:rsidR="0038112C" w:rsidRPr="0038112C">
        <w:t xml:space="preserve"> </w:t>
      </w:r>
      <w:r w:rsidR="0038112C" w:rsidRPr="0038112C">
        <w:rPr>
          <w:rFonts w:ascii="Garamond" w:hAnsi="Garamond"/>
          <w:sz w:val="24"/>
          <w:szCs w:val="24"/>
        </w:rPr>
        <w:t>(</w:t>
      </w:r>
      <w:proofErr w:type="spellStart"/>
      <w:r w:rsidR="0038112C" w:rsidRPr="0038112C">
        <w:rPr>
          <w:rFonts w:ascii="Garamond" w:hAnsi="Garamond"/>
          <w:sz w:val="24"/>
          <w:szCs w:val="24"/>
        </w:rPr>
        <w:t>Seitova</w:t>
      </w:r>
      <w:proofErr w:type="spellEnd"/>
      <w:r w:rsidR="0038112C" w:rsidRPr="0038112C">
        <w:rPr>
          <w:rFonts w:ascii="Garamond" w:hAnsi="Garamond"/>
          <w:sz w:val="24"/>
          <w:szCs w:val="24"/>
        </w:rPr>
        <w:t xml:space="preserve"> 2022)</w:t>
      </w:r>
      <w:r w:rsidRPr="00F01AC3">
        <w:rPr>
          <w:rFonts w:ascii="Garamond" w:hAnsi="Garamond"/>
          <w:sz w:val="24"/>
          <w:szCs w:val="24"/>
        </w:rPr>
        <w:t>. The company's major products are computer-centric, and to enhance sales, Microsoft needs to adapt to the smartphone landscape, aligning with changing customer preferences and the mobile-centric culture</w:t>
      </w:r>
      <w:r w:rsidR="00855A8C">
        <w:rPr>
          <w:rFonts w:ascii="Garamond" w:hAnsi="Garamond"/>
          <w:sz w:val="24"/>
          <w:szCs w:val="24"/>
        </w:rPr>
        <w:t xml:space="preserve"> </w:t>
      </w:r>
      <w:r w:rsidR="0038112C">
        <w:rPr>
          <w:rFonts w:ascii="Garamond" w:hAnsi="Garamond"/>
          <w:sz w:val="24"/>
          <w:szCs w:val="24"/>
        </w:rPr>
        <w:t>(</w:t>
      </w:r>
      <w:r w:rsidR="0038112C" w:rsidRPr="0038112C">
        <w:rPr>
          <w:rFonts w:ascii="Garamond" w:hAnsi="Garamond"/>
          <w:sz w:val="24"/>
          <w:szCs w:val="24"/>
        </w:rPr>
        <w:t>Williams and Figueiredo, 2021</w:t>
      </w:r>
      <w:r w:rsidR="0038112C">
        <w:rPr>
          <w:rFonts w:ascii="Garamond" w:hAnsi="Garamond"/>
          <w:sz w:val="24"/>
          <w:szCs w:val="24"/>
        </w:rPr>
        <w:t xml:space="preserve">)  </w:t>
      </w:r>
    </w:p>
    <w:p w14:paraId="4A5A6D8A" w14:textId="0F606BF0" w:rsidR="00471EC6" w:rsidRPr="00471EC6" w:rsidRDefault="00471EC6" w:rsidP="00471EC6">
      <w:pPr>
        <w:spacing w:line="360" w:lineRule="auto"/>
        <w:rPr>
          <w:rFonts w:ascii="Garamond" w:hAnsi="Garamond"/>
          <w:sz w:val="24"/>
          <w:szCs w:val="24"/>
          <w:lang w:val="en-US"/>
        </w:rPr>
      </w:pPr>
      <w:r w:rsidRPr="00471EC6">
        <w:rPr>
          <w:rFonts w:ascii="Garamond" w:hAnsi="Garamond"/>
          <w:sz w:val="24"/>
          <w:szCs w:val="24"/>
          <w:lang w:val="en-US"/>
        </w:rPr>
        <w:t>Technological factors underscore the competitive nature of the tech industry. Microsoft must continuously innovate to stay ahead, facing strong competition from companies like Google and Apple</w:t>
      </w:r>
      <w:r w:rsidR="004A634C">
        <w:rPr>
          <w:rFonts w:ascii="Garamond" w:hAnsi="Garamond"/>
          <w:sz w:val="24"/>
          <w:szCs w:val="24"/>
          <w:lang w:val="en-US"/>
        </w:rPr>
        <w:t xml:space="preserve"> (Bakri </w:t>
      </w:r>
      <w:r w:rsidR="004A634C">
        <w:rPr>
          <w:rFonts w:ascii="Garamond" w:hAnsi="Garamond"/>
          <w:i/>
          <w:iCs/>
          <w:sz w:val="24"/>
          <w:szCs w:val="24"/>
          <w:lang w:val="en-US"/>
        </w:rPr>
        <w:t>et al, 2012)</w:t>
      </w:r>
      <w:r w:rsidRPr="00471EC6">
        <w:rPr>
          <w:rFonts w:ascii="Garamond" w:hAnsi="Garamond"/>
          <w:sz w:val="24"/>
          <w:szCs w:val="24"/>
          <w:lang w:val="en-US"/>
        </w:rPr>
        <w:t>. Investing in research and development, especially in artificial intelligence, provides opportunities for Microsoft to maintain a leading position in the market</w:t>
      </w:r>
      <w:r w:rsidR="004A634C">
        <w:rPr>
          <w:rFonts w:ascii="Garamond" w:hAnsi="Garamond"/>
          <w:sz w:val="24"/>
          <w:szCs w:val="24"/>
          <w:lang w:val="en-US"/>
        </w:rPr>
        <w:t xml:space="preserve"> (</w:t>
      </w:r>
      <w:proofErr w:type="spellStart"/>
      <w:r w:rsidR="004A634C">
        <w:rPr>
          <w:rFonts w:ascii="Garamond" w:hAnsi="Garamond"/>
          <w:sz w:val="24"/>
          <w:szCs w:val="24"/>
          <w:lang w:val="en-US"/>
        </w:rPr>
        <w:t>Nkang</w:t>
      </w:r>
      <w:proofErr w:type="spellEnd"/>
      <w:r w:rsidR="004A634C">
        <w:rPr>
          <w:rFonts w:ascii="Garamond" w:hAnsi="Garamond"/>
          <w:sz w:val="24"/>
          <w:szCs w:val="24"/>
          <w:lang w:val="en-US"/>
        </w:rPr>
        <w:t>, 2023)</w:t>
      </w:r>
      <w:r w:rsidRPr="00471EC6">
        <w:rPr>
          <w:rFonts w:ascii="Garamond" w:hAnsi="Garamond"/>
          <w:sz w:val="24"/>
          <w:szCs w:val="24"/>
          <w:lang w:val="en-US"/>
        </w:rPr>
        <w:t>.</w:t>
      </w:r>
    </w:p>
    <w:p w14:paraId="1894BED2" w14:textId="68D35B3F" w:rsidR="00F17EEC" w:rsidRDefault="00F17EEC" w:rsidP="00471EC6">
      <w:pPr>
        <w:spacing w:line="360" w:lineRule="auto"/>
        <w:rPr>
          <w:rFonts w:ascii="Garamond" w:hAnsi="Garamond"/>
          <w:sz w:val="24"/>
          <w:szCs w:val="24"/>
          <w:lang w:val="en-US"/>
        </w:rPr>
      </w:pPr>
      <w:r w:rsidRPr="00F17EEC">
        <w:rPr>
          <w:rFonts w:ascii="Garamond" w:hAnsi="Garamond"/>
          <w:sz w:val="24"/>
          <w:szCs w:val="24"/>
        </w:rPr>
        <w:t>Microsoft has positioned itself as a leader in environmental responsibility, garnering the title of the world's most environmentally friendly company in 2019</w:t>
      </w:r>
      <w:r>
        <w:rPr>
          <w:rFonts w:ascii="Garamond" w:hAnsi="Garamond"/>
          <w:sz w:val="24"/>
          <w:szCs w:val="24"/>
        </w:rPr>
        <w:t xml:space="preserve"> </w:t>
      </w:r>
      <w:r w:rsidRPr="00F17EEC">
        <w:rPr>
          <w:rFonts w:ascii="Garamond" w:hAnsi="Garamond"/>
          <w:sz w:val="24"/>
          <w:szCs w:val="24"/>
        </w:rPr>
        <w:t>(Microsoft Corporation, 2024). The tech giant actively promotes sustainability through initiatives like granting funds for AI-driven research on global warming and supporting environmentally sensitive computing. Operating as a 100% carbon-neutral company, Microsoft implements an internal carbon tax, allocating $50 million over five years to leverage AI and machine learning technology for addressing environmental challenges, showcasing its commitment to a green future</w:t>
      </w:r>
      <w:r>
        <w:rPr>
          <w:rFonts w:ascii="Garamond" w:hAnsi="Garamond"/>
          <w:sz w:val="24"/>
          <w:szCs w:val="24"/>
        </w:rPr>
        <w:t xml:space="preserve"> </w:t>
      </w:r>
      <w:r w:rsidRPr="00471EC6">
        <w:rPr>
          <w:rFonts w:ascii="Garamond" w:hAnsi="Garamond"/>
          <w:sz w:val="24"/>
          <w:szCs w:val="24"/>
        </w:rPr>
        <w:t xml:space="preserve">(Jahan &amp; </w:t>
      </w:r>
      <w:proofErr w:type="spellStart"/>
      <w:r w:rsidRPr="00471EC6">
        <w:rPr>
          <w:rFonts w:ascii="Garamond" w:hAnsi="Garamond"/>
          <w:sz w:val="24"/>
          <w:szCs w:val="24"/>
        </w:rPr>
        <w:t>Sazu</w:t>
      </w:r>
      <w:proofErr w:type="spellEnd"/>
      <w:r w:rsidRPr="00471EC6">
        <w:rPr>
          <w:rFonts w:ascii="Garamond" w:hAnsi="Garamond"/>
          <w:sz w:val="24"/>
          <w:szCs w:val="24"/>
        </w:rPr>
        <w:t xml:space="preserve"> 2023)</w:t>
      </w:r>
      <w:r>
        <w:rPr>
          <w:rFonts w:ascii="Garamond" w:hAnsi="Garamond"/>
          <w:sz w:val="24"/>
          <w:szCs w:val="24"/>
        </w:rPr>
        <w:t>.</w:t>
      </w:r>
    </w:p>
    <w:p w14:paraId="24408878" w14:textId="4493947C" w:rsidR="0031651E" w:rsidRDefault="00F17EEC" w:rsidP="00F17EEC">
      <w:pPr>
        <w:spacing w:line="360" w:lineRule="auto"/>
        <w:rPr>
          <w:rFonts w:ascii="Garamond" w:hAnsi="Garamond"/>
          <w:sz w:val="24"/>
          <w:szCs w:val="24"/>
        </w:rPr>
      </w:pPr>
      <w:r w:rsidRPr="00F17EEC">
        <w:rPr>
          <w:rFonts w:ascii="Garamond" w:hAnsi="Garamond"/>
          <w:sz w:val="24"/>
          <w:szCs w:val="24"/>
        </w:rPr>
        <w:lastRenderedPageBreak/>
        <w:t>As the world's largest company, Microsoft faces a high risk of legal challenges, having paid a substantial $9 billion in lawsuits</w:t>
      </w:r>
      <w:r>
        <w:rPr>
          <w:rFonts w:ascii="Garamond" w:hAnsi="Garamond"/>
          <w:sz w:val="24"/>
          <w:szCs w:val="24"/>
        </w:rPr>
        <w:t xml:space="preserve"> (Microsoft Corporation, 2023)</w:t>
      </w:r>
      <w:r w:rsidRPr="00F17EEC">
        <w:rPr>
          <w:rFonts w:ascii="Garamond" w:hAnsi="Garamond"/>
          <w:sz w:val="24"/>
          <w:szCs w:val="24"/>
        </w:rPr>
        <w:t>. A major legal entanglement arose when 8,600 current and former employees sued for gender discrimination, alleging systematic bias against female engineers. In another case, a customer sued Microsoft in 2018 after a forced Windows upgrade rendered his PC non-functional, emphasizing the company's need for careful customer satisfaction strategies while avoiding discrimination (Microsoft Legal Issues, 2024).</w:t>
      </w:r>
    </w:p>
    <w:tbl>
      <w:tblPr>
        <w:tblStyle w:val="TableGrid"/>
        <w:tblW w:w="0" w:type="auto"/>
        <w:tblLook w:val="04A0" w:firstRow="1" w:lastRow="0" w:firstColumn="1" w:lastColumn="0" w:noHBand="0" w:noVBand="1"/>
      </w:tblPr>
      <w:tblGrid>
        <w:gridCol w:w="1826"/>
        <w:gridCol w:w="3556"/>
        <w:gridCol w:w="3906"/>
      </w:tblGrid>
      <w:tr w:rsidR="0031651E" w:rsidRPr="0031651E" w14:paraId="3D9788A9" w14:textId="77777777" w:rsidTr="0031651E">
        <w:trPr>
          <w:trHeight w:val="428"/>
        </w:trPr>
        <w:tc>
          <w:tcPr>
            <w:tcW w:w="1826" w:type="dxa"/>
            <w:noWrap/>
            <w:hideMark/>
          </w:tcPr>
          <w:p w14:paraId="34E5FBBC" w14:textId="77777777" w:rsidR="0031651E" w:rsidRPr="0031651E" w:rsidRDefault="0031651E" w:rsidP="0031651E">
            <w:pPr>
              <w:jc w:val="center"/>
              <w:rPr>
                <w:rFonts w:ascii="Garamond" w:hAnsi="Garamond"/>
                <w:b/>
                <w:bCs/>
                <w:sz w:val="24"/>
                <w:szCs w:val="24"/>
                <w:lang w:val="en-US"/>
              </w:rPr>
            </w:pPr>
            <w:r w:rsidRPr="0031651E">
              <w:rPr>
                <w:rFonts w:ascii="Garamond" w:hAnsi="Garamond"/>
                <w:b/>
                <w:bCs/>
                <w:sz w:val="24"/>
                <w:szCs w:val="24"/>
              </w:rPr>
              <w:t>Factor</w:t>
            </w:r>
          </w:p>
        </w:tc>
        <w:tc>
          <w:tcPr>
            <w:tcW w:w="3556" w:type="dxa"/>
            <w:noWrap/>
            <w:hideMark/>
          </w:tcPr>
          <w:p w14:paraId="75F730DD" w14:textId="77777777" w:rsidR="0031651E" w:rsidRPr="0031651E" w:rsidRDefault="0031651E" w:rsidP="0031651E">
            <w:pPr>
              <w:jc w:val="center"/>
              <w:rPr>
                <w:rFonts w:ascii="Garamond" w:hAnsi="Garamond"/>
                <w:b/>
                <w:bCs/>
                <w:sz w:val="24"/>
                <w:szCs w:val="24"/>
              </w:rPr>
            </w:pPr>
            <w:r w:rsidRPr="0031651E">
              <w:rPr>
                <w:rFonts w:ascii="Garamond" w:hAnsi="Garamond"/>
                <w:b/>
                <w:bCs/>
                <w:sz w:val="24"/>
                <w:szCs w:val="24"/>
              </w:rPr>
              <w:t>Advantage</w:t>
            </w:r>
          </w:p>
        </w:tc>
        <w:tc>
          <w:tcPr>
            <w:tcW w:w="3906" w:type="dxa"/>
            <w:noWrap/>
            <w:hideMark/>
          </w:tcPr>
          <w:p w14:paraId="271A78C3" w14:textId="77777777" w:rsidR="0031651E" w:rsidRPr="0031651E" w:rsidRDefault="0031651E" w:rsidP="0031651E">
            <w:pPr>
              <w:jc w:val="center"/>
              <w:rPr>
                <w:rFonts w:ascii="Garamond" w:hAnsi="Garamond"/>
                <w:b/>
                <w:bCs/>
                <w:sz w:val="24"/>
                <w:szCs w:val="24"/>
              </w:rPr>
            </w:pPr>
            <w:r w:rsidRPr="0031651E">
              <w:rPr>
                <w:rFonts w:ascii="Garamond" w:hAnsi="Garamond"/>
                <w:b/>
                <w:bCs/>
                <w:sz w:val="24"/>
                <w:szCs w:val="24"/>
              </w:rPr>
              <w:t>Disadvantage</w:t>
            </w:r>
          </w:p>
        </w:tc>
      </w:tr>
      <w:tr w:rsidR="0031651E" w:rsidRPr="0031651E" w14:paraId="2A57971A" w14:textId="77777777" w:rsidTr="0031651E">
        <w:trPr>
          <w:trHeight w:val="756"/>
        </w:trPr>
        <w:tc>
          <w:tcPr>
            <w:tcW w:w="1826" w:type="dxa"/>
            <w:noWrap/>
            <w:hideMark/>
          </w:tcPr>
          <w:p w14:paraId="7962A198"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Political</w:t>
            </w:r>
          </w:p>
        </w:tc>
        <w:tc>
          <w:tcPr>
            <w:tcW w:w="3556" w:type="dxa"/>
            <w:noWrap/>
            <w:hideMark/>
          </w:tcPr>
          <w:p w14:paraId="57DE3B21"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Proactive engagement and lobbying demonstrate commitment</w:t>
            </w:r>
          </w:p>
        </w:tc>
        <w:tc>
          <w:tcPr>
            <w:tcW w:w="3906" w:type="dxa"/>
            <w:noWrap/>
            <w:hideMark/>
          </w:tcPr>
          <w:p w14:paraId="038F450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Tensions impact distribution and supply chain operations</w:t>
            </w:r>
          </w:p>
        </w:tc>
      </w:tr>
      <w:tr w:rsidR="0031651E" w:rsidRPr="0031651E" w14:paraId="1E94A6A0" w14:textId="77777777" w:rsidTr="0031651E">
        <w:trPr>
          <w:trHeight w:val="428"/>
        </w:trPr>
        <w:tc>
          <w:tcPr>
            <w:tcW w:w="1826" w:type="dxa"/>
            <w:noWrap/>
            <w:hideMark/>
          </w:tcPr>
          <w:p w14:paraId="7D4C8274" w14:textId="77777777" w:rsidR="0031651E" w:rsidRPr="0031651E" w:rsidRDefault="0031651E" w:rsidP="0031651E">
            <w:pPr>
              <w:spacing w:line="360" w:lineRule="auto"/>
              <w:rPr>
                <w:rFonts w:ascii="Garamond" w:hAnsi="Garamond"/>
                <w:sz w:val="24"/>
                <w:szCs w:val="24"/>
              </w:rPr>
            </w:pPr>
          </w:p>
        </w:tc>
        <w:tc>
          <w:tcPr>
            <w:tcW w:w="3556" w:type="dxa"/>
            <w:noWrap/>
            <w:hideMark/>
          </w:tcPr>
          <w:p w14:paraId="7B359D50"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Stability in developed countries offers market expansion</w:t>
            </w:r>
          </w:p>
        </w:tc>
        <w:tc>
          <w:tcPr>
            <w:tcW w:w="3906" w:type="dxa"/>
            <w:noWrap/>
            <w:hideMark/>
          </w:tcPr>
          <w:p w14:paraId="52E10BF5"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Accusations of monopoly raise concerns</w:t>
            </w:r>
          </w:p>
        </w:tc>
      </w:tr>
      <w:tr w:rsidR="0031651E" w:rsidRPr="0031651E" w14:paraId="637D6637" w14:textId="77777777" w:rsidTr="0031651E">
        <w:trPr>
          <w:trHeight w:val="428"/>
        </w:trPr>
        <w:tc>
          <w:tcPr>
            <w:tcW w:w="1826" w:type="dxa"/>
            <w:noWrap/>
            <w:hideMark/>
          </w:tcPr>
          <w:p w14:paraId="47C8FBD3"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Economic</w:t>
            </w:r>
          </w:p>
        </w:tc>
        <w:tc>
          <w:tcPr>
            <w:tcW w:w="3556" w:type="dxa"/>
            <w:noWrap/>
            <w:hideMark/>
          </w:tcPr>
          <w:p w14:paraId="0471B43C"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Stability in developed countries provides a steady market</w:t>
            </w:r>
          </w:p>
        </w:tc>
        <w:tc>
          <w:tcPr>
            <w:tcW w:w="3906" w:type="dxa"/>
            <w:noWrap/>
            <w:hideMark/>
          </w:tcPr>
          <w:p w14:paraId="191C087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Exchange rates and protectionist policies impact MNCs</w:t>
            </w:r>
          </w:p>
        </w:tc>
      </w:tr>
      <w:tr w:rsidR="0031651E" w:rsidRPr="0031651E" w14:paraId="1B405DCF" w14:textId="77777777" w:rsidTr="0031651E">
        <w:trPr>
          <w:trHeight w:val="428"/>
        </w:trPr>
        <w:tc>
          <w:tcPr>
            <w:tcW w:w="1826" w:type="dxa"/>
            <w:noWrap/>
            <w:hideMark/>
          </w:tcPr>
          <w:p w14:paraId="5CC73388" w14:textId="77777777" w:rsidR="0031651E" w:rsidRPr="0031651E" w:rsidRDefault="0031651E" w:rsidP="0031651E">
            <w:pPr>
              <w:spacing w:line="360" w:lineRule="auto"/>
              <w:rPr>
                <w:rFonts w:ascii="Garamond" w:hAnsi="Garamond"/>
                <w:sz w:val="24"/>
                <w:szCs w:val="24"/>
              </w:rPr>
            </w:pPr>
          </w:p>
        </w:tc>
        <w:tc>
          <w:tcPr>
            <w:tcW w:w="3556" w:type="dxa"/>
            <w:noWrap/>
            <w:hideMark/>
          </w:tcPr>
          <w:p w14:paraId="6110C34B"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Growth opportunities in developing countries</w:t>
            </w:r>
          </w:p>
        </w:tc>
        <w:tc>
          <w:tcPr>
            <w:tcW w:w="3906" w:type="dxa"/>
            <w:noWrap/>
            <w:hideMark/>
          </w:tcPr>
          <w:p w14:paraId="5B20FABF"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H-1B visa program overhaul may limit foreign employees</w:t>
            </w:r>
          </w:p>
        </w:tc>
      </w:tr>
      <w:tr w:rsidR="0031651E" w:rsidRPr="0031651E" w14:paraId="1E26B290" w14:textId="77777777" w:rsidTr="0031651E">
        <w:trPr>
          <w:trHeight w:val="428"/>
        </w:trPr>
        <w:tc>
          <w:tcPr>
            <w:tcW w:w="1826" w:type="dxa"/>
            <w:noWrap/>
            <w:hideMark/>
          </w:tcPr>
          <w:p w14:paraId="0F5BA1AC"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Social (Mobile Adoption)</w:t>
            </w:r>
          </w:p>
        </w:tc>
        <w:tc>
          <w:tcPr>
            <w:tcW w:w="3556" w:type="dxa"/>
            <w:noWrap/>
            <w:hideMark/>
          </w:tcPr>
          <w:p w14:paraId="4956044C"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Historical dominance in computer adoption</w:t>
            </w:r>
          </w:p>
        </w:tc>
        <w:tc>
          <w:tcPr>
            <w:tcW w:w="3906" w:type="dxa"/>
            <w:noWrap/>
            <w:hideMark/>
          </w:tcPr>
          <w:p w14:paraId="03EFB60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Focus on computers amid the shift to mobile usage</w:t>
            </w:r>
          </w:p>
        </w:tc>
      </w:tr>
      <w:tr w:rsidR="0031651E" w:rsidRPr="0031651E" w14:paraId="181BA1C4" w14:textId="77777777" w:rsidTr="0031651E">
        <w:trPr>
          <w:trHeight w:val="428"/>
        </w:trPr>
        <w:tc>
          <w:tcPr>
            <w:tcW w:w="1826" w:type="dxa"/>
            <w:noWrap/>
            <w:hideMark/>
          </w:tcPr>
          <w:p w14:paraId="4D9D027F"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Technological</w:t>
            </w:r>
          </w:p>
        </w:tc>
        <w:tc>
          <w:tcPr>
            <w:tcW w:w="3556" w:type="dxa"/>
            <w:noWrap/>
            <w:hideMark/>
          </w:tcPr>
          <w:p w14:paraId="1B75A738"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Continuous innovation to stay ahead of strong competition</w:t>
            </w:r>
          </w:p>
        </w:tc>
        <w:tc>
          <w:tcPr>
            <w:tcW w:w="3906" w:type="dxa"/>
            <w:noWrap/>
            <w:hideMark/>
          </w:tcPr>
          <w:p w14:paraId="0B9CC419"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High competition requires ongoing R&amp;D investment</w:t>
            </w:r>
          </w:p>
        </w:tc>
      </w:tr>
      <w:tr w:rsidR="0031651E" w:rsidRPr="0031651E" w14:paraId="4817DAB3" w14:textId="77777777" w:rsidTr="0031651E">
        <w:trPr>
          <w:trHeight w:val="428"/>
        </w:trPr>
        <w:tc>
          <w:tcPr>
            <w:tcW w:w="1826" w:type="dxa"/>
            <w:noWrap/>
            <w:hideMark/>
          </w:tcPr>
          <w:p w14:paraId="771995E5"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Environmental (Sustainability)</w:t>
            </w:r>
          </w:p>
        </w:tc>
        <w:tc>
          <w:tcPr>
            <w:tcW w:w="3556" w:type="dxa"/>
            <w:noWrap/>
            <w:hideMark/>
          </w:tcPr>
          <w:p w14:paraId="2B986D2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Recognition as the world's most environmentally friendly</w:t>
            </w:r>
          </w:p>
        </w:tc>
        <w:tc>
          <w:tcPr>
            <w:tcW w:w="3906" w:type="dxa"/>
            <w:noWrap/>
            <w:hideMark/>
          </w:tcPr>
          <w:p w14:paraId="11A0277E"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Carbon-neutral practices and internal tax demonstrate commitment</w:t>
            </w:r>
          </w:p>
        </w:tc>
      </w:tr>
      <w:tr w:rsidR="0031651E" w:rsidRPr="0031651E" w14:paraId="7D898B4E" w14:textId="77777777" w:rsidTr="0031651E">
        <w:trPr>
          <w:trHeight w:val="428"/>
        </w:trPr>
        <w:tc>
          <w:tcPr>
            <w:tcW w:w="1826" w:type="dxa"/>
            <w:noWrap/>
            <w:hideMark/>
          </w:tcPr>
          <w:p w14:paraId="4D0A323A"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Legal</w:t>
            </w:r>
          </w:p>
        </w:tc>
        <w:tc>
          <w:tcPr>
            <w:tcW w:w="3556" w:type="dxa"/>
            <w:noWrap/>
            <w:hideMark/>
          </w:tcPr>
          <w:p w14:paraId="1B35C506"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Proactive legal approach and spending on lobbyists</w:t>
            </w:r>
          </w:p>
        </w:tc>
        <w:tc>
          <w:tcPr>
            <w:tcW w:w="3906" w:type="dxa"/>
            <w:noWrap/>
            <w:hideMark/>
          </w:tcPr>
          <w:p w14:paraId="78D42482"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High risk of legal challenges and substantial payouts</w:t>
            </w:r>
          </w:p>
        </w:tc>
      </w:tr>
      <w:tr w:rsidR="0031651E" w:rsidRPr="0031651E" w14:paraId="6CCFCE3F" w14:textId="77777777" w:rsidTr="0031651E">
        <w:trPr>
          <w:trHeight w:val="428"/>
        </w:trPr>
        <w:tc>
          <w:tcPr>
            <w:tcW w:w="1826" w:type="dxa"/>
            <w:noWrap/>
            <w:hideMark/>
          </w:tcPr>
          <w:p w14:paraId="20B227BF" w14:textId="77777777" w:rsidR="0031651E" w:rsidRPr="0031651E" w:rsidRDefault="0031651E" w:rsidP="0031651E">
            <w:pPr>
              <w:spacing w:line="360" w:lineRule="auto"/>
              <w:rPr>
                <w:rFonts w:ascii="Garamond" w:hAnsi="Garamond"/>
                <w:sz w:val="24"/>
                <w:szCs w:val="24"/>
              </w:rPr>
            </w:pPr>
          </w:p>
        </w:tc>
        <w:tc>
          <w:tcPr>
            <w:tcW w:w="3556" w:type="dxa"/>
            <w:noWrap/>
            <w:hideMark/>
          </w:tcPr>
          <w:p w14:paraId="6DABA054"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Commitment to careful customer satisfaction strategies</w:t>
            </w:r>
          </w:p>
        </w:tc>
        <w:tc>
          <w:tcPr>
            <w:tcW w:w="3906" w:type="dxa"/>
            <w:noWrap/>
            <w:hideMark/>
          </w:tcPr>
          <w:p w14:paraId="6C329D77" w14:textId="77777777" w:rsidR="0031651E" w:rsidRPr="0031651E" w:rsidRDefault="0031651E" w:rsidP="0031651E">
            <w:pPr>
              <w:spacing w:line="360" w:lineRule="auto"/>
              <w:rPr>
                <w:rFonts w:ascii="Garamond" w:hAnsi="Garamond"/>
                <w:sz w:val="24"/>
                <w:szCs w:val="24"/>
              </w:rPr>
            </w:pPr>
            <w:r w:rsidRPr="0031651E">
              <w:rPr>
                <w:rFonts w:ascii="Garamond" w:hAnsi="Garamond"/>
                <w:sz w:val="24"/>
                <w:szCs w:val="24"/>
              </w:rPr>
              <w:t>- Legal entanglements and discrimination issues</w:t>
            </w:r>
          </w:p>
        </w:tc>
      </w:tr>
    </w:tbl>
    <w:p w14:paraId="44A489F9" w14:textId="00A52026" w:rsidR="0031651E" w:rsidRDefault="0031651E" w:rsidP="0031651E">
      <w:pPr>
        <w:spacing w:line="360" w:lineRule="auto"/>
        <w:jc w:val="center"/>
        <w:rPr>
          <w:rFonts w:ascii="Garamond" w:hAnsi="Garamond"/>
          <w:i/>
          <w:iCs/>
          <w:sz w:val="28"/>
          <w:szCs w:val="28"/>
        </w:rPr>
      </w:pPr>
      <w:r>
        <w:rPr>
          <w:rFonts w:ascii="Garamond" w:hAnsi="Garamond"/>
          <w:i/>
          <w:iCs/>
          <w:sz w:val="28"/>
          <w:szCs w:val="28"/>
        </w:rPr>
        <w:t xml:space="preserve">Summary of the </w:t>
      </w:r>
      <w:r w:rsidRPr="0031651E">
        <w:rPr>
          <w:rFonts w:ascii="Garamond" w:hAnsi="Garamond"/>
          <w:i/>
          <w:iCs/>
          <w:sz w:val="28"/>
          <w:szCs w:val="28"/>
        </w:rPr>
        <w:t>Macro-Environment Analysis for Microsoft</w:t>
      </w:r>
    </w:p>
    <w:p w14:paraId="071E921A" w14:textId="25E83524" w:rsidR="0031651E" w:rsidRPr="0031651E" w:rsidRDefault="0031651E" w:rsidP="0034705E">
      <w:pPr>
        <w:spacing w:line="360" w:lineRule="auto"/>
        <w:jc w:val="center"/>
        <w:rPr>
          <w:rFonts w:ascii="Garamond" w:hAnsi="Garamond"/>
          <w:i/>
          <w:iCs/>
          <w:sz w:val="28"/>
          <w:szCs w:val="28"/>
        </w:rPr>
      </w:pPr>
      <w:r>
        <w:rPr>
          <w:rFonts w:ascii="Garamond" w:hAnsi="Garamond"/>
          <w:i/>
          <w:iCs/>
          <w:sz w:val="28"/>
          <w:szCs w:val="28"/>
        </w:rPr>
        <w:t xml:space="preserve">Source: </w:t>
      </w:r>
      <w:proofErr w:type="spellStart"/>
      <w:r>
        <w:rPr>
          <w:rFonts w:ascii="Garamond" w:hAnsi="Garamond"/>
          <w:i/>
          <w:iCs/>
          <w:sz w:val="28"/>
          <w:szCs w:val="28"/>
        </w:rPr>
        <w:t>Nkang</w:t>
      </w:r>
      <w:proofErr w:type="spellEnd"/>
      <w:r>
        <w:rPr>
          <w:rFonts w:ascii="Garamond" w:hAnsi="Garamond"/>
          <w:i/>
          <w:iCs/>
          <w:sz w:val="28"/>
          <w:szCs w:val="28"/>
        </w:rPr>
        <w:t>, (2023)</w:t>
      </w:r>
    </w:p>
    <w:p w14:paraId="50D22C4D" w14:textId="124D9046" w:rsidR="00E11047" w:rsidRPr="00E11047" w:rsidRDefault="00E11047" w:rsidP="0031651E">
      <w:pPr>
        <w:spacing w:line="360" w:lineRule="auto"/>
        <w:jc w:val="center"/>
        <w:rPr>
          <w:rFonts w:ascii="Garamond" w:hAnsi="Garamond"/>
          <w:b/>
          <w:bCs/>
          <w:sz w:val="28"/>
          <w:szCs w:val="28"/>
          <w:lang w:val="en-US"/>
        </w:rPr>
      </w:pPr>
      <w:r w:rsidRPr="00E11047">
        <w:rPr>
          <w:rFonts w:ascii="Garamond" w:hAnsi="Garamond"/>
          <w:b/>
          <w:bCs/>
          <w:sz w:val="28"/>
          <w:szCs w:val="28"/>
          <w:lang w:val="en-US"/>
        </w:rPr>
        <w:lastRenderedPageBreak/>
        <w:t>STRATEGY AND MARKET ANALYSIS</w:t>
      </w:r>
    </w:p>
    <w:p w14:paraId="72581B2E" w14:textId="77777777" w:rsidR="00271A72" w:rsidRDefault="00E11047" w:rsidP="00F17EEC">
      <w:pPr>
        <w:spacing w:line="360" w:lineRule="auto"/>
        <w:rPr>
          <w:rFonts w:ascii="Garamond" w:hAnsi="Garamond"/>
          <w:sz w:val="24"/>
          <w:szCs w:val="24"/>
        </w:rPr>
      </w:pPr>
      <w:r w:rsidRPr="00E11047">
        <w:rPr>
          <w:rFonts w:ascii="Garamond" w:hAnsi="Garamond"/>
          <w:sz w:val="24"/>
          <w:szCs w:val="24"/>
        </w:rPr>
        <w:t xml:space="preserve">Microsoft's strategy and market dynamics are characterized by a focus on anticipating and responding to market changes </w:t>
      </w:r>
      <w:r>
        <w:rPr>
          <w:rFonts w:ascii="Garamond" w:hAnsi="Garamond"/>
          <w:sz w:val="24"/>
          <w:szCs w:val="24"/>
        </w:rPr>
        <w:t>(</w:t>
      </w:r>
      <w:r w:rsidR="00271A72" w:rsidRPr="00271A72">
        <w:rPr>
          <w:rFonts w:ascii="Garamond" w:hAnsi="Garamond"/>
          <w:sz w:val="24"/>
          <w:szCs w:val="24"/>
        </w:rPr>
        <w:t>Jae-woong and Geun-woo, 2010</w:t>
      </w:r>
      <w:r>
        <w:rPr>
          <w:rFonts w:ascii="Garamond" w:hAnsi="Garamond"/>
          <w:sz w:val="24"/>
          <w:szCs w:val="24"/>
        </w:rPr>
        <w:t>)</w:t>
      </w:r>
      <w:r w:rsidRPr="00E11047">
        <w:rPr>
          <w:rFonts w:ascii="Garamond" w:hAnsi="Garamond"/>
          <w:sz w:val="24"/>
          <w:szCs w:val="24"/>
        </w:rPr>
        <w:t xml:space="preserve">. The company's success is attributed to its ability to find and retain talented employees, organize small teams, and pioneer evolving mass markets </w:t>
      </w:r>
      <w:r w:rsidR="00271A72">
        <w:rPr>
          <w:rFonts w:ascii="Garamond" w:hAnsi="Garamond"/>
          <w:sz w:val="24"/>
          <w:szCs w:val="24"/>
        </w:rPr>
        <w:t>(Microsoft Corporation, 2024)</w:t>
      </w:r>
      <w:r w:rsidRPr="00E11047">
        <w:rPr>
          <w:rFonts w:ascii="Garamond" w:hAnsi="Garamond"/>
          <w:sz w:val="24"/>
          <w:szCs w:val="24"/>
        </w:rPr>
        <w:t>. This is complemented by a flexible, incremental approach to product development and a relentless pursuit of future markets (</w:t>
      </w:r>
      <w:r w:rsidR="00271A72" w:rsidRPr="00271A72">
        <w:rPr>
          <w:rFonts w:ascii="Garamond" w:hAnsi="Garamond"/>
          <w:sz w:val="24"/>
          <w:szCs w:val="24"/>
        </w:rPr>
        <w:t>Microsoft Corporation, 2024</w:t>
      </w:r>
      <w:r w:rsidRPr="00E11047">
        <w:rPr>
          <w:rFonts w:ascii="Garamond" w:hAnsi="Garamond"/>
          <w:sz w:val="24"/>
          <w:szCs w:val="24"/>
        </w:rPr>
        <w:t>). In the area of business intelligence, Microsoft has employed various expansion strategies to increase its market share, including acquisitions and customer-focused initiatives (</w:t>
      </w:r>
      <w:proofErr w:type="spellStart"/>
      <w:r w:rsidR="00271A72" w:rsidRPr="00271A72">
        <w:rPr>
          <w:rFonts w:ascii="Garamond" w:hAnsi="Garamond"/>
          <w:sz w:val="24"/>
          <w:szCs w:val="24"/>
        </w:rPr>
        <w:t>Qisman</w:t>
      </w:r>
      <w:proofErr w:type="spellEnd"/>
      <w:r w:rsidR="00271A72" w:rsidRPr="00271A72">
        <w:rPr>
          <w:rFonts w:ascii="Garamond" w:hAnsi="Garamond"/>
          <w:sz w:val="24"/>
          <w:szCs w:val="24"/>
        </w:rPr>
        <w:t xml:space="preserve"> </w:t>
      </w:r>
      <w:r w:rsidR="00271A72" w:rsidRPr="00271A72">
        <w:rPr>
          <w:rFonts w:ascii="Garamond" w:hAnsi="Garamond"/>
          <w:i/>
          <w:iCs/>
          <w:sz w:val="24"/>
          <w:szCs w:val="24"/>
        </w:rPr>
        <w:t xml:space="preserve">et al., </w:t>
      </w:r>
      <w:r w:rsidR="00271A72" w:rsidRPr="00271A72">
        <w:rPr>
          <w:rFonts w:ascii="Garamond" w:hAnsi="Garamond"/>
          <w:sz w:val="24"/>
          <w:szCs w:val="24"/>
        </w:rPr>
        <w:t>2021</w:t>
      </w:r>
      <w:r w:rsidRPr="00E11047">
        <w:rPr>
          <w:rFonts w:ascii="Garamond" w:hAnsi="Garamond"/>
          <w:sz w:val="24"/>
          <w:szCs w:val="24"/>
        </w:rPr>
        <w:t>). These strategies have enabled Microsoft to maintain its position as a leader in the software industry.</w:t>
      </w:r>
    </w:p>
    <w:p w14:paraId="5D806834" w14:textId="390E7E90" w:rsidR="00271A72" w:rsidRPr="00271A72" w:rsidRDefault="00271A72" w:rsidP="00271A72">
      <w:pPr>
        <w:spacing w:line="360" w:lineRule="auto"/>
        <w:jc w:val="center"/>
        <w:rPr>
          <w:rFonts w:ascii="Garamond" w:hAnsi="Garamond"/>
          <w:b/>
          <w:bCs/>
          <w:sz w:val="24"/>
          <w:szCs w:val="24"/>
        </w:rPr>
      </w:pPr>
      <w:r w:rsidRPr="00271A72">
        <w:rPr>
          <w:rFonts w:ascii="Garamond" w:hAnsi="Garamond"/>
          <w:b/>
          <w:bCs/>
          <w:sz w:val="24"/>
          <w:szCs w:val="24"/>
        </w:rPr>
        <w:t>CONCLUSION</w:t>
      </w:r>
    </w:p>
    <w:p w14:paraId="67922E16" w14:textId="7BD1DBE2" w:rsidR="0098067E" w:rsidRDefault="00271A72" w:rsidP="0098067E">
      <w:pPr>
        <w:spacing w:line="360" w:lineRule="auto"/>
        <w:rPr>
          <w:rFonts w:ascii="Garamond" w:hAnsi="Garamond"/>
          <w:sz w:val="24"/>
          <w:szCs w:val="24"/>
        </w:rPr>
      </w:pPr>
      <w:r w:rsidRPr="00271A72">
        <w:rPr>
          <w:rFonts w:ascii="Garamond" w:hAnsi="Garamond"/>
          <w:sz w:val="24"/>
          <w:szCs w:val="24"/>
        </w:rPr>
        <w:t>The company faces challenges such as political tensions, changing customer preferences towards mobile devices, and legal entanglements. However, Microsoft's strategic initiatives, such as proactive political engagement, environmental responsibility, and a focus on innovation, position it for resilience and growth. The emphasis on sustainability, carbon neutrality, and AI-driven environmental initiatives showcases Microsoft's commitment to responsible business practices. The company's success in anticipating market changes, retaining talent, and flexible product development strategies reinforces its market leadership. Moving forward, Microsoft must balance technological innovation with adapting to evolving customer trends for sustained success in the dynamic tech landscape.</w:t>
      </w:r>
    </w:p>
    <w:p w14:paraId="3CED5F5E" w14:textId="77777777" w:rsidR="0098067E" w:rsidRDefault="0098067E">
      <w:pPr>
        <w:rPr>
          <w:rFonts w:ascii="Garamond" w:hAnsi="Garamond"/>
          <w:sz w:val="24"/>
          <w:szCs w:val="24"/>
        </w:rPr>
      </w:pPr>
      <w:r>
        <w:rPr>
          <w:rFonts w:ascii="Garamond" w:hAnsi="Garamond"/>
          <w:sz w:val="24"/>
          <w:szCs w:val="24"/>
        </w:rPr>
        <w:br w:type="page"/>
      </w:r>
    </w:p>
    <w:p w14:paraId="6A8B4F44" w14:textId="07E9E146" w:rsidR="00303F86" w:rsidRDefault="00303F86" w:rsidP="0098067E">
      <w:pPr>
        <w:spacing w:line="360" w:lineRule="auto"/>
        <w:jc w:val="center"/>
        <w:rPr>
          <w:rFonts w:ascii="Garamond" w:hAnsi="Garamond"/>
          <w:b/>
          <w:bCs/>
          <w:sz w:val="24"/>
          <w:szCs w:val="24"/>
        </w:rPr>
      </w:pPr>
      <w:r w:rsidRPr="00303F86">
        <w:rPr>
          <w:rFonts w:ascii="Garamond" w:hAnsi="Garamond"/>
          <w:b/>
          <w:bCs/>
          <w:sz w:val="24"/>
          <w:szCs w:val="24"/>
        </w:rPr>
        <w:lastRenderedPageBreak/>
        <w:t>REFERENCES</w:t>
      </w:r>
    </w:p>
    <w:p w14:paraId="21F10C2F" w14:textId="74ECC41F" w:rsidR="00303F86" w:rsidRPr="00303F86" w:rsidRDefault="00303F86" w:rsidP="00303F86">
      <w:pPr>
        <w:spacing w:line="360" w:lineRule="auto"/>
        <w:jc w:val="both"/>
        <w:rPr>
          <w:rFonts w:ascii="Garamond" w:hAnsi="Garamond"/>
          <w:sz w:val="24"/>
          <w:szCs w:val="24"/>
        </w:rPr>
      </w:pPr>
      <w:r w:rsidRPr="00303F86">
        <w:rPr>
          <w:rFonts w:ascii="Garamond" w:hAnsi="Garamond"/>
          <w:sz w:val="24"/>
          <w:szCs w:val="24"/>
        </w:rPr>
        <w:t>EWUSI-MENSAH, K., 2021. The external organizational environment and its impact on management information systems. Accounting, Organizations and Society, vol. 6, no. 4, pp. 301–316.</w:t>
      </w:r>
    </w:p>
    <w:p w14:paraId="203D83A3" w14:textId="664F9A19" w:rsidR="00303F86" w:rsidRDefault="00303F86" w:rsidP="00303F86">
      <w:pPr>
        <w:spacing w:line="360" w:lineRule="auto"/>
        <w:jc w:val="both"/>
        <w:rPr>
          <w:rFonts w:ascii="Garamond" w:hAnsi="Garamond"/>
          <w:sz w:val="24"/>
          <w:szCs w:val="24"/>
        </w:rPr>
      </w:pPr>
      <w:r w:rsidRPr="00303F86">
        <w:rPr>
          <w:rFonts w:ascii="Garamond" w:hAnsi="Garamond"/>
          <w:sz w:val="24"/>
          <w:szCs w:val="24"/>
        </w:rPr>
        <w:t xml:space="preserve">MILLER, C.C., </w:t>
      </w:r>
      <w:r w:rsidRPr="00303F86">
        <w:rPr>
          <w:rFonts w:ascii="Garamond" w:hAnsi="Garamond"/>
          <w:sz w:val="24"/>
          <w:szCs w:val="24"/>
        </w:rPr>
        <w:t>OGILVIE, DT</w:t>
      </w:r>
      <w:r w:rsidRPr="00303F86">
        <w:rPr>
          <w:rFonts w:ascii="Garamond" w:hAnsi="Garamond"/>
          <w:sz w:val="24"/>
          <w:szCs w:val="24"/>
        </w:rPr>
        <w:t>, and GLICK, W.H., 2016. Assessing the External Environment: An Enrichment of the Archival Tradition. Research Methodology in Strategy and Management, pp. 97–122.</w:t>
      </w:r>
    </w:p>
    <w:p w14:paraId="682F97ED" w14:textId="6B1E3F1D" w:rsidR="00303F86" w:rsidRDefault="00303F86" w:rsidP="00303F86">
      <w:pPr>
        <w:spacing w:line="360" w:lineRule="auto"/>
        <w:jc w:val="both"/>
        <w:rPr>
          <w:rFonts w:ascii="Garamond" w:hAnsi="Garamond"/>
          <w:sz w:val="24"/>
          <w:szCs w:val="24"/>
        </w:rPr>
      </w:pPr>
      <w:r w:rsidRPr="00303F86">
        <w:rPr>
          <w:rFonts w:ascii="Garamond" w:hAnsi="Garamond"/>
          <w:sz w:val="24"/>
          <w:szCs w:val="24"/>
        </w:rPr>
        <w:t xml:space="preserve">DIRSMITH, M.W. and COVALESKI, M.A., 2023. Strategy, external </w:t>
      </w:r>
      <w:proofErr w:type="gramStart"/>
      <w:r w:rsidRPr="00303F86">
        <w:rPr>
          <w:rFonts w:ascii="Garamond" w:hAnsi="Garamond"/>
          <w:sz w:val="24"/>
          <w:szCs w:val="24"/>
        </w:rPr>
        <w:t>communication</w:t>
      </w:r>
      <w:proofErr w:type="gramEnd"/>
      <w:r w:rsidRPr="00303F86">
        <w:rPr>
          <w:rFonts w:ascii="Garamond" w:hAnsi="Garamond"/>
          <w:sz w:val="24"/>
          <w:szCs w:val="24"/>
        </w:rPr>
        <w:t xml:space="preserve"> and environmental context. Strategic Management Journal, vol. 4, no. 2, pp. 137–151.</w:t>
      </w:r>
    </w:p>
    <w:p w14:paraId="388B4E60" w14:textId="530243BF" w:rsidR="00303F86" w:rsidRDefault="00303F86" w:rsidP="00303F86">
      <w:pPr>
        <w:spacing w:line="360" w:lineRule="auto"/>
        <w:jc w:val="both"/>
        <w:rPr>
          <w:rFonts w:ascii="Garamond" w:hAnsi="Garamond"/>
          <w:sz w:val="24"/>
          <w:szCs w:val="24"/>
        </w:rPr>
      </w:pPr>
      <w:r w:rsidRPr="00303F86">
        <w:rPr>
          <w:rFonts w:ascii="Garamond" w:hAnsi="Garamond"/>
          <w:sz w:val="24"/>
          <w:szCs w:val="24"/>
        </w:rPr>
        <w:t>UITTO, J.I., 2016. The Environment</w:t>
      </w:r>
      <w:r w:rsidRPr="00303F86">
        <w:rPr>
          <w:rFonts w:ascii="Times New Roman" w:hAnsi="Times New Roman" w:cs="Times New Roman"/>
          <w:sz w:val="24"/>
          <w:szCs w:val="24"/>
        </w:rPr>
        <w:t>‐</w:t>
      </w:r>
      <w:r w:rsidRPr="00303F86">
        <w:rPr>
          <w:rFonts w:ascii="Garamond" w:hAnsi="Garamond"/>
          <w:sz w:val="24"/>
          <w:szCs w:val="24"/>
        </w:rPr>
        <w:t>poverty Nexus in Evaluation: Implications for the Sustainable Development Goals. Global Policy, vol. 7, no. 3, pp. 441</w:t>
      </w:r>
      <w:r w:rsidRPr="00303F86">
        <w:rPr>
          <w:rFonts w:ascii="Garamond" w:hAnsi="Garamond" w:cs="Garamond"/>
          <w:sz w:val="24"/>
          <w:szCs w:val="24"/>
        </w:rPr>
        <w:t>–</w:t>
      </w:r>
      <w:r w:rsidRPr="00303F86">
        <w:rPr>
          <w:rFonts w:ascii="Garamond" w:hAnsi="Garamond"/>
          <w:sz w:val="24"/>
          <w:szCs w:val="24"/>
        </w:rPr>
        <w:t>447.</w:t>
      </w:r>
    </w:p>
    <w:p w14:paraId="615B495D" w14:textId="3BC1A64B" w:rsidR="00A06B4D" w:rsidRDefault="00A06B4D" w:rsidP="00303F86">
      <w:pPr>
        <w:spacing w:line="360" w:lineRule="auto"/>
        <w:jc w:val="both"/>
        <w:rPr>
          <w:rFonts w:ascii="Garamond" w:hAnsi="Garamond"/>
          <w:sz w:val="24"/>
          <w:szCs w:val="24"/>
        </w:rPr>
      </w:pPr>
      <w:r w:rsidRPr="00A06B4D">
        <w:rPr>
          <w:rFonts w:ascii="Garamond" w:hAnsi="Garamond"/>
          <w:sz w:val="24"/>
          <w:szCs w:val="24"/>
        </w:rPr>
        <w:t>EGAMI, N. and HARTMAN, E., 2020. Elements of External Validity: Framework, Design, and Analysis. SSRN Electronic Journal.</w:t>
      </w:r>
    </w:p>
    <w:p w14:paraId="51FB3216" w14:textId="63B9EC3F" w:rsidR="00195FF0" w:rsidRDefault="00195FF0" w:rsidP="00303F86">
      <w:pPr>
        <w:spacing w:line="360" w:lineRule="auto"/>
        <w:jc w:val="both"/>
        <w:rPr>
          <w:rFonts w:ascii="Garamond" w:hAnsi="Garamond"/>
          <w:sz w:val="24"/>
          <w:szCs w:val="24"/>
        </w:rPr>
      </w:pPr>
      <w:r w:rsidRPr="00195FF0">
        <w:rPr>
          <w:rFonts w:ascii="Garamond" w:hAnsi="Garamond"/>
          <w:sz w:val="24"/>
          <w:szCs w:val="24"/>
        </w:rPr>
        <w:t>M. GALINDRO, B., BEY, N., I. OLSEN, S., E. FRIES, C., and R. SOARES, S., 2019. Use of data envelopment analysis to benchmark environmental product declarations—a suggested framework. The International Journal of Life Cycle Assessment, vol. 25, no. 12, pp. 2417–2431.</w:t>
      </w:r>
    </w:p>
    <w:p w14:paraId="65EC99CF" w14:textId="0F7DFED0" w:rsidR="00195FF0" w:rsidRDefault="00195FF0" w:rsidP="00303F86">
      <w:pPr>
        <w:spacing w:line="360" w:lineRule="auto"/>
        <w:jc w:val="both"/>
        <w:rPr>
          <w:rFonts w:ascii="Garamond" w:hAnsi="Garamond"/>
          <w:sz w:val="24"/>
          <w:szCs w:val="24"/>
        </w:rPr>
      </w:pPr>
      <w:r w:rsidRPr="00195FF0">
        <w:rPr>
          <w:rFonts w:ascii="Garamond" w:hAnsi="Garamond"/>
          <w:sz w:val="24"/>
          <w:szCs w:val="24"/>
        </w:rPr>
        <w:t>ZHANG, H., LIU, L., and LI, T., 2011. Designing IT systems according to environmental settings: A strategic analysis framework. The Journal of Strategic Information Systems, vol. 20, no. 1, pp. 80–95.</w:t>
      </w:r>
    </w:p>
    <w:p w14:paraId="7456F3A5" w14:textId="798069E3" w:rsidR="00303F86" w:rsidRDefault="00841A8E" w:rsidP="00841A8E">
      <w:pPr>
        <w:spacing w:line="360" w:lineRule="auto"/>
        <w:jc w:val="both"/>
        <w:rPr>
          <w:rFonts w:ascii="Garamond" w:hAnsi="Garamond"/>
          <w:sz w:val="24"/>
          <w:szCs w:val="24"/>
        </w:rPr>
      </w:pPr>
      <w:r w:rsidRPr="00841A8E">
        <w:rPr>
          <w:rFonts w:ascii="Garamond" w:hAnsi="Garamond"/>
          <w:sz w:val="24"/>
          <w:szCs w:val="24"/>
        </w:rPr>
        <w:t xml:space="preserve">SCHUETZ, C.G., MAIR, E., and SCHREFL, M., 2018. PESTEL Modeler: Strategy Analysis Using </w:t>
      </w:r>
      <w:proofErr w:type="spellStart"/>
      <w:r w:rsidRPr="00841A8E">
        <w:rPr>
          <w:rFonts w:ascii="Garamond" w:hAnsi="Garamond"/>
          <w:sz w:val="24"/>
          <w:szCs w:val="24"/>
        </w:rPr>
        <w:t>MetaEdit</w:t>
      </w:r>
      <w:proofErr w:type="spellEnd"/>
      <w:r w:rsidRPr="00841A8E">
        <w:rPr>
          <w:rFonts w:ascii="Garamond" w:hAnsi="Garamond"/>
          <w:sz w:val="24"/>
          <w:szCs w:val="24"/>
        </w:rPr>
        <w:t xml:space="preserve">+, </w:t>
      </w:r>
      <w:proofErr w:type="spellStart"/>
      <w:r w:rsidRPr="00841A8E">
        <w:rPr>
          <w:rFonts w:ascii="Garamond" w:hAnsi="Garamond"/>
          <w:sz w:val="24"/>
          <w:szCs w:val="24"/>
        </w:rPr>
        <w:t>iStar</w:t>
      </w:r>
      <w:proofErr w:type="spellEnd"/>
      <w:r w:rsidRPr="00841A8E">
        <w:rPr>
          <w:rFonts w:ascii="Garamond" w:hAnsi="Garamond"/>
          <w:sz w:val="24"/>
          <w:szCs w:val="24"/>
        </w:rPr>
        <w:t xml:space="preserve"> 2.0, and Semantic Technologies. 2018 IEEE 22nd International Enterprise Distributed Object Computing Workshop (EDOCW).</w:t>
      </w:r>
    </w:p>
    <w:p w14:paraId="777B9CC5" w14:textId="0413B69C" w:rsidR="00841A8E" w:rsidRDefault="00841A8E" w:rsidP="00841A8E">
      <w:pPr>
        <w:spacing w:line="360" w:lineRule="auto"/>
        <w:jc w:val="both"/>
        <w:rPr>
          <w:rFonts w:ascii="Garamond" w:hAnsi="Garamond"/>
          <w:sz w:val="24"/>
          <w:szCs w:val="24"/>
        </w:rPr>
      </w:pPr>
      <w:r w:rsidRPr="00841A8E">
        <w:rPr>
          <w:rFonts w:ascii="Garamond" w:hAnsi="Garamond"/>
          <w:sz w:val="24"/>
          <w:szCs w:val="24"/>
        </w:rPr>
        <w:t>MOKHTAR, S., 2021. A framework for sustainable environmental analysis. IOP Conference Series: Earth and Environmental Science, vol. 685, no. 1, p. 012005.</w:t>
      </w:r>
    </w:p>
    <w:p w14:paraId="7706D92D" w14:textId="77777777"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 xml:space="preserve">Jahan, S. A., &amp; </w:t>
      </w:r>
      <w:proofErr w:type="spellStart"/>
      <w:r w:rsidRPr="00471EC6">
        <w:rPr>
          <w:rFonts w:ascii="Garamond" w:hAnsi="Garamond"/>
          <w:sz w:val="24"/>
          <w:szCs w:val="24"/>
          <w:lang w:val="en-US"/>
        </w:rPr>
        <w:t>Sazu</w:t>
      </w:r>
      <w:proofErr w:type="spellEnd"/>
      <w:r w:rsidRPr="00471EC6">
        <w:rPr>
          <w:rFonts w:ascii="Garamond" w:hAnsi="Garamond"/>
          <w:sz w:val="24"/>
          <w:szCs w:val="24"/>
          <w:lang w:val="en-US"/>
        </w:rPr>
        <w:t xml:space="preserve">, M. H. (2023). Role of IoTs and analytics in efficient sustainable manufacturing of consumer electronics. </w:t>
      </w:r>
      <w:r w:rsidRPr="00471EC6">
        <w:rPr>
          <w:rFonts w:ascii="Garamond" w:hAnsi="Garamond"/>
          <w:i/>
          <w:iCs/>
          <w:sz w:val="24"/>
          <w:szCs w:val="24"/>
          <w:lang w:val="en-US"/>
        </w:rPr>
        <w:t>International Journal of Computing Sciences Research</w:t>
      </w:r>
      <w:r w:rsidRPr="00471EC6">
        <w:rPr>
          <w:rFonts w:ascii="Garamond" w:hAnsi="Garamond"/>
          <w:sz w:val="24"/>
          <w:szCs w:val="24"/>
          <w:lang w:val="en-US"/>
        </w:rPr>
        <w:t>, 7, 1337-1350.</w:t>
      </w:r>
    </w:p>
    <w:p w14:paraId="5CC687C9" w14:textId="18C16076"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Microsoft Corporation (</w:t>
      </w:r>
      <w:r>
        <w:rPr>
          <w:rFonts w:ascii="Garamond" w:hAnsi="Garamond"/>
          <w:sz w:val="24"/>
          <w:szCs w:val="24"/>
          <w:lang w:val="en-US"/>
        </w:rPr>
        <w:t>2024</w:t>
      </w:r>
      <w:r w:rsidRPr="00471EC6">
        <w:rPr>
          <w:rFonts w:ascii="Garamond" w:hAnsi="Garamond"/>
          <w:sz w:val="24"/>
          <w:szCs w:val="24"/>
          <w:lang w:val="en-US"/>
        </w:rPr>
        <w:t xml:space="preserve">). </w:t>
      </w:r>
      <w:proofErr w:type="gramStart"/>
      <w:r w:rsidRPr="00471EC6">
        <w:rPr>
          <w:rFonts w:ascii="Garamond" w:hAnsi="Garamond"/>
          <w:i/>
          <w:iCs/>
          <w:sz w:val="24"/>
          <w:szCs w:val="24"/>
          <w:lang w:val="en-US"/>
        </w:rPr>
        <w:t>Form</w:t>
      </w:r>
      <w:proofErr w:type="gramEnd"/>
      <w:r w:rsidRPr="00471EC6">
        <w:rPr>
          <w:rFonts w:ascii="Garamond" w:hAnsi="Garamond"/>
          <w:i/>
          <w:iCs/>
          <w:sz w:val="24"/>
          <w:szCs w:val="24"/>
          <w:lang w:val="en-US"/>
        </w:rPr>
        <w:t xml:space="preserve"> 10-K</w:t>
      </w:r>
      <w:r w:rsidRPr="00471EC6">
        <w:rPr>
          <w:rFonts w:ascii="Garamond" w:hAnsi="Garamond"/>
          <w:sz w:val="24"/>
          <w:szCs w:val="24"/>
          <w:lang w:val="en-US"/>
        </w:rPr>
        <w:t>.</w:t>
      </w:r>
    </w:p>
    <w:p w14:paraId="47540E59" w14:textId="21F799F4"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Microsoft Corporation (</w:t>
      </w:r>
      <w:r>
        <w:rPr>
          <w:rFonts w:ascii="Garamond" w:hAnsi="Garamond"/>
          <w:sz w:val="24"/>
          <w:szCs w:val="24"/>
          <w:lang w:val="en-US"/>
        </w:rPr>
        <w:t>2023</w:t>
      </w:r>
      <w:r w:rsidRPr="00471EC6">
        <w:rPr>
          <w:rFonts w:ascii="Garamond" w:hAnsi="Garamond"/>
          <w:sz w:val="24"/>
          <w:szCs w:val="24"/>
          <w:lang w:val="en-US"/>
        </w:rPr>
        <w:t xml:space="preserve">). </w:t>
      </w:r>
      <w:r w:rsidRPr="00471EC6">
        <w:rPr>
          <w:rFonts w:ascii="Garamond" w:hAnsi="Garamond"/>
          <w:i/>
          <w:iCs/>
          <w:sz w:val="24"/>
          <w:szCs w:val="24"/>
          <w:lang w:val="en-US"/>
        </w:rPr>
        <w:t>Our Sustainability Journey</w:t>
      </w:r>
      <w:r w:rsidRPr="00471EC6">
        <w:rPr>
          <w:rFonts w:ascii="Garamond" w:hAnsi="Garamond"/>
          <w:sz w:val="24"/>
          <w:szCs w:val="24"/>
          <w:lang w:val="en-US"/>
        </w:rPr>
        <w:t>.</w:t>
      </w:r>
    </w:p>
    <w:p w14:paraId="7EB74E7C" w14:textId="77777777"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lastRenderedPageBreak/>
        <w:t xml:space="preserve">Modak, N. M., Sinha, S., &amp; Ghosh, D. K. (2023). A review on remanufacturing, reuse, and recycling in supply chain – Exploring the evolution of information technology over two decades. </w:t>
      </w:r>
      <w:r w:rsidRPr="00471EC6">
        <w:rPr>
          <w:rFonts w:ascii="Garamond" w:hAnsi="Garamond"/>
          <w:i/>
          <w:iCs/>
          <w:sz w:val="24"/>
          <w:szCs w:val="24"/>
          <w:lang w:val="en-US"/>
        </w:rPr>
        <w:t>International Journal of Information Management Data Insights</w:t>
      </w:r>
      <w:r w:rsidRPr="00471EC6">
        <w:rPr>
          <w:rFonts w:ascii="Garamond" w:hAnsi="Garamond"/>
          <w:sz w:val="24"/>
          <w:szCs w:val="24"/>
          <w:lang w:val="en-US"/>
        </w:rPr>
        <w:t>, 3(1), 100160.</w:t>
      </w:r>
    </w:p>
    <w:p w14:paraId="594AE94D" w14:textId="77777777" w:rsidR="00471EC6" w:rsidRPr="00471EC6"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 xml:space="preserve">Phan, S. (2021). The effect of PESTLE factors on the development of e-commerce. </w:t>
      </w:r>
      <w:r w:rsidRPr="00471EC6">
        <w:rPr>
          <w:rFonts w:ascii="Garamond" w:hAnsi="Garamond"/>
          <w:i/>
          <w:iCs/>
          <w:sz w:val="24"/>
          <w:szCs w:val="24"/>
          <w:lang w:val="en-US"/>
        </w:rPr>
        <w:t>International Journal of Data and Network Science</w:t>
      </w:r>
      <w:r w:rsidRPr="00471EC6">
        <w:rPr>
          <w:rFonts w:ascii="Garamond" w:hAnsi="Garamond"/>
          <w:sz w:val="24"/>
          <w:szCs w:val="24"/>
          <w:lang w:val="en-US"/>
        </w:rPr>
        <w:t>, 5(1), 37-42.</w:t>
      </w:r>
    </w:p>
    <w:p w14:paraId="5D2E8B47" w14:textId="595998F0" w:rsidR="00841A8E" w:rsidRDefault="00471EC6" w:rsidP="00471EC6">
      <w:pPr>
        <w:spacing w:line="360" w:lineRule="auto"/>
        <w:jc w:val="both"/>
        <w:rPr>
          <w:rFonts w:ascii="Garamond" w:hAnsi="Garamond"/>
          <w:sz w:val="24"/>
          <w:szCs w:val="24"/>
          <w:lang w:val="en-US"/>
        </w:rPr>
      </w:pPr>
      <w:r w:rsidRPr="00471EC6">
        <w:rPr>
          <w:rFonts w:ascii="Garamond" w:hAnsi="Garamond"/>
          <w:sz w:val="24"/>
          <w:szCs w:val="24"/>
          <w:lang w:val="en-US"/>
        </w:rPr>
        <w:t xml:space="preserve">U.S. Department of Commerce – International Trade Administration (Year). </w:t>
      </w:r>
      <w:r w:rsidRPr="00471EC6">
        <w:rPr>
          <w:rFonts w:ascii="Garamond" w:hAnsi="Garamond"/>
          <w:i/>
          <w:iCs/>
          <w:sz w:val="24"/>
          <w:szCs w:val="24"/>
          <w:lang w:val="en-US"/>
        </w:rPr>
        <w:t>Software and Information Technology Industry</w:t>
      </w:r>
      <w:r w:rsidRPr="00471EC6">
        <w:rPr>
          <w:rFonts w:ascii="Garamond" w:hAnsi="Garamond"/>
          <w:sz w:val="24"/>
          <w:szCs w:val="24"/>
          <w:lang w:val="en-US"/>
        </w:rPr>
        <w:t>.</w:t>
      </w:r>
    </w:p>
    <w:p w14:paraId="0A16B6D2" w14:textId="28EA8D00" w:rsidR="004A634C" w:rsidRDefault="004A634C" w:rsidP="00471EC6">
      <w:pPr>
        <w:spacing w:line="360" w:lineRule="auto"/>
        <w:jc w:val="both"/>
        <w:rPr>
          <w:rFonts w:ascii="Garamond" w:hAnsi="Garamond"/>
          <w:sz w:val="24"/>
          <w:szCs w:val="24"/>
        </w:rPr>
      </w:pPr>
      <w:r w:rsidRPr="004A634C">
        <w:rPr>
          <w:rFonts w:ascii="Garamond" w:hAnsi="Garamond"/>
          <w:sz w:val="24"/>
          <w:szCs w:val="24"/>
        </w:rPr>
        <w:t xml:space="preserve">Bakri, N.A.M., </w:t>
      </w:r>
      <w:proofErr w:type="spellStart"/>
      <w:r w:rsidRPr="004A634C">
        <w:rPr>
          <w:rFonts w:ascii="Garamond" w:hAnsi="Garamond"/>
          <w:sz w:val="24"/>
          <w:szCs w:val="24"/>
        </w:rPr>
        <w:t>Zulhairi</w:t>
      </w:r>
      <w:proofErr w:type="spellEnd"/>
      <w:r w:rsidRPr="004A634C">
        <w:rPr>
          <w:rFonts w:ascii="Garamond" w:hAnsi="Garamond"/>
          <w:sz w:val="24"/>
          <w:szCs w:val="24"/>
        </w:rPr>
        <w:t xml:space="preserve">, A., </w:t>
      </w:r>
      <w:proofErr w:type="spellStart"/>
      <w:r w:rsidRPr="004A634C">
        <w:rPr>
          <w:rFonts w:ascii="Garamond" w:hAnsi="Garamond"/>
          <w:sz w:val="24"/>
          <w:szCs w:val="24"/>
        </w:rPr>
        <w:t>Yahmin</w:t>
      </w:r>
      <w:proofErr w:type="spellEnd"/>
      <w:r w:rsidRPr="004A634C">
        <w:rPr>
          <w:rFonts w:ascii="Garamond" w:hAnsi="Garamond"/>
          <w:sz w:val="24"/>
          <w:szCs w:val="24"/>
        </w:rPr>
        <w:t xml:space="preserve">, N., Hashim, K., </w:t>
      </w:r>
      <w:proofErr w:type="spellStart"/>
      <w:r w:rsidRPr="004A634C">
        <w:rPr>
          <w:rFonts w:ascii="Garamond" w:hAnsi="Garamond"/>
          <w:sz w:val="24"/>
          <w:szCs w:val="24"/>
        </w:rPr>
        <w:t>Traval</w:t>
      </w:r>
      <w:proofErr w:type="spellEnd"/>
      <w:r w:rsidRPr="004A634C">
        <w:rPr>
          <w:rFonts w:ascii="Garamond" w:hAnsi="Garamond"/>
          <w:sz w:val="24"/>
          <w:szCs w:val="24"/>
        </w:rPr>
        <w:t>, R., Khair, U.N.J. and Chew, B.C., 2012, February. PESTLE Analysis on Cloud Computing. In </w:t>
      </w:r>
      <w:r w:rsidRPr="004A634C">
        <w:rPr>
          <w:rFonts w:ascii="Garamond" w:hAnsi="Garamond"/>
          <w:i/>
          <w:iCs/>
          <w:sz w:val="24"/>
          <w:szCs w:val="24"/>
        </w:rPr>
        <w:t xml:space="preserve">Proceedings of 2012 International Conference on Technology Management and </w:t>
      </w:r>
      <w:proofErr w:type="spellStart"/>
      <w:r w:rsidRPr="004A634C">
        <w:rPr>
          <w:rFonts w:ascii="Garamond" w:hAnsi="Garamond"/>
          <w:i/>
          <w:iCs/>
          <w:sz w:val="24"/>
          <w:szCs w:val="24"/>
        </w:rPr>
        <w:t>Technopreneurship</w:t>
      </w:r>
      <w:proofErr w:type="spellEnd"/>
      <w:r w:rsidRPr="004A634C">
        <w:rPr>
          <w:rFonts w:ascii="Garamond" w:hAnsi="Garamond"/>
          <w:i/>
          <w:iCs/>
          <w:sz w:val="24"/>
          <w:szCs w:val="24"/>
        </w:rPr>
        <w:t>: IC-TMT2012</w:t>
      </w:r>
      <w:r w:rsidRPr="004A634C">
        <w:rPr>
          <w:rFonts w:ascii="Garamond" w:hAnsi="Garamond"/>
          <w:sz w:val="24"/>
          <w:szCs w:val="24"/>
        </w:rPr>
        <w:t> (pp. 6-7).</w:t>
      </w:r>
    </w:p>
    <w:p w14:paraId="3DB72FF5" w14:textId="0DC56593" w:rsidR="004A634C" w:rsidRDefault="004A634C" w:rsidP="00471EC6">
      <w:pPr>
        <w:spacing w:line="360" w:lineRule="auto"/>
        <w:jc w:val="both"/>
        <w:rPr>
          <w:rFonts w:ascii="Garamond" w:hAnsi="Garamond"/>
          <w:sz w:val="24"/>
          <w:szCs w:val="24"/>
        </w:rPr>
      </w:pPr>
      <w:proofErr w:type="spellStart"/>
      <w:r w:rsidRPr="004A634C">
        <w:rPr>
          <w:rFonts w:ascii="Garamond" w:hAnsi="Garamond"/>
          <w:sz w:val="24"/>
          <w:szCs w:val="24"/>
        </w:rPr>
        <w:t>Nkang</w:t>
      </w:r>
      <w:proofErr w:type="spellEnd"/>
      <w:r w:rsidRPr="004A634C">
        <w:rPr>
          <w:rFonts w:ascii="Garamond" w:hAnsi="Garamond"/>
          <w:sz w:val="24"/>
          <w:szCs w:val="24"/>
        </w:rPr>
        <w:t>, C.N., 2023. PESTLE Analysis Report for BAE Systems: Integrating Cloud Technology in the Defence Sector.</w:t>
      </w:r>
    </w:p>
    <w:p w14:paraId="5588DAD0" w14:textId="3411AA7F" w:rsidR="00F17EEC" w:rsidRDefault="00F17EEC" w:rsidP="00471EC6">
      <w:pPr>
        <w:spacing w:line="360" w:lineRule="auto"/>
        <w:jc w:val="both"/>
        <w:rPr>
          <w:rFonts w:ascii="Garamond" w:hAnsi="Garamond"/>
          <w:sz w:val="24"/>
          <w:szCs w:val="24"/>
        </w:rPr>
      </w:pPr>
      <w:r w:rsidRPr="00F17EEC">
        <w:rPr>
          <w:rFonts w:ascii="Garamond" w:hAnsi="Garamond"/>
          <w:sz w:val="24"/>
          <w:szCs w:val="24"/>
        </w:rPr>
        <w:t>Microsoft Legal Issues. (2024). In-depth analysis of Microsoft's legal challenges and implications</w:t>
      </w:r>
    </w:p>
    <w:p w14:paraId="7F03F47C" w14:textId="77777777" w:rsidR="0038112C" w:rsidRPr="0038112C" w:rsidRDefault="0038112C" w:rsidP="0038112C">
      <w:pPr>
        <w:spacing w:line="360" w:lineRule="auto"/>
        <w:jc w:val="both"/>
        <w:rPr>
          <w:rFonts w:ascii="Garamond" w:hAnsi="Garamond"/>
          <w:sz w:val="24"/>
          <w:szCs w:val="24"/>
          <w:lang w:val="en-US"/>
        </w:rPr>
      </w:pPr>
      <w:r w:rsidRPr="0038112C">
        <w:rPr>
          <w:rFonts w:ascii="Garamond" w:hAnsi="Garamond"/>
          <w:sz w:val="24"/>
          <w:szCs w:val="24"/>
          <w:lang w:val="en-US"/>
        </w:rPr>
        <w:t xml:space="preserve">SEITOVA, D., 2022. The terms of internationally accepted computer-based terminology. </w:t>
      </w:r>
      <w:proofErr w:type="spellStart"/>
      <w:r w:rsidRPr="0038112C">
        <w:rPr>
          <w:rFonts w:ascii="Garamond" w:hAnsi="Garamond"/>
          <w:i/>
          <w:iCs/>
          <w:sz w:val="24"/>
          <w:szCs w:val="24"/>
          <w:lang w:val="en-US"/>
        </w:rPr>
        <w:t>Ренессанс</w:t>
      </w:r>
      <w:proofErr w:type="spellEnd"/>
      <w:r w:rsidRPr="0038112C">
        <w:rPr>
          <w:rFonts w:ascii="Garamond" w:hAnsi="Garamond"/>
          <w:i/>
          <w:iCs/>
          <w:sz w:val="24"/>
          <w:szCs w:val="24"/>
          <w:lang w:val="en-US"/>
        </w:rPr>
        <w:t xml:space="preserve"> в </w:t>
      </w:r>
      <w:proofErr w:type="spellStart"/>
      <w:r w:rsidRPr="0038112C">
        <w:rPr>
          <w:rFonts w:ascii="Garamond" w:hAnsi="Garamond"/>
          <w:i/>
          <w:iCs/>
          <w:sz w:val="24"/>
          <w:szCs w:val="24"/>
          <w:lang w:val="en-US"/>
        </w:rPr>
        <w:t>парадигме</w:t>
      </w:r>
      <w:proofErr w:type="spellEnd"/>
      <w:r w:rsidRPr="0038112C">
        <w:rPr>
          <w:rFonts w:ascii="Garamond" w:hAnsi="Garamond"/>
          <w:i/>
          <w:iCs/>
          <w:sz w:val="24"/>
          <w:szCs w:val="24"/>
          <w:lang w:val="en-US"/>
        </w:rPr>
        <w:t xml:space="preserve"> </w:t>
      </w:r>
      <w:proofErr w:type="spellStart"/>
      <w:r w:rsidRPr="0038112C">
        <w:rPr>
          <w:rFonts w:ascii="Garamond" w:hAnsi="Garamond"/>
          <w:i/>
          <w:iCs/>
          <w:sz w:val="24"/>
          <w:szCs w:val="24"/>
          <w:lang w:val="en-US"/>
        </w:rPr>
        <w:t>новаций</w:t>
      </w:r>
      <w:proofErr w:type="spellEnd"/>
      <w:r w:rsidRPr="0038112C">
        <w:rPr>
          <w:rFonts w:ascii="Garamond" w:hAnsi="Garamond"/>
          <w:i/>
          <w:iCs/>
          <w:sz w:val="24"/>
          <w:szCs w:val="24"/>
          <w:lang w:val="en-US"/>
        </w:rPr>
        <w:t xml:space="preserve"> </w:t>
      </w:r>
      <w:proofErr w:type="spellStart"/>
      <w:r w:rsidRPr="0038112C">
        <w:rPr>
          <w:rFonts w:ascii="Garamond" w:hAnsi="Garamond"/>
          <w:i/>
          <w:iCs/>
          <w:sz w:val="24"/>
          <w:szCs w:val="24"/>
          <w:lang w:val="en-US"/>
        </w:rPr>
        <w:t>образования</w:t>
      </w:r>
      <w:proofErr w:type="spellEnd"/>
      <w:r w:rsidRPr="0038112C">
        <w:rPr>
          <w:rFonts w:ascii="Garamond" w:hAnsi="Garamond"/>
          <w:i/>
          <w:iCs/>
          <w:sz w:val="24"/>
          <w:szCs w:val="24"/>
          <w:lang w:val="en-US"/>
        </w:rPr>
        <w:t xml:space="preserve"> и </w:t>
      </w:r>
      <w:proofErr w:type="spellStart"/>
      <w:r w:rsidRPr="0038112C">
        <w:rPr>
          <w:rFonts w:ascii="Garamond" w:hAnsi="Garamond"/>
          <w:i/>
          <w:iCs/>
          <w:sz w:val="24"/>
          <w:szCs w:val="24"/>
          <w:lang w:val="en-US"/>
        </w:rPr>
        <w:t>технологий</w:t>
      </w:r>
      <w:proofErr w:type="spellEnd"/>
      <w:r w:rsidRPr="0038112C">
        <w:rPr>
          <w:rFonts w:ascii="Garamond" w:hAnsi="Garamond"/>
          <w:i/>
          <w:iCs/>
          <w:sz w:val="24"/>
          <w:szCs w:val="24"/>
          <w:lang w:val="en-US"/>
        </w:rPr>
        <w:t xml:space="preserve"> в XXI </w:t>
      </w:r>
      <w:proofErr w:type="spellStart"/>
      <w:r w:rsidRPr="0038112C">
        <w:rPr>
          <w:rFonts w:ascii="Garamond" w:hAnsi="Garamond"/>
          <w:i/>
          <w:iCs/>
          <w:sz w:val="24"/>
          <w:szCs w:val="24"/>
          <w:lang w:val="en-US"/>
        </w:rPr>
        <w:t>веке</w:t>
      </w:r>
      <w:proofErr w:type="spellEnd"/>
      <w:r w:rsidRPr="0038112C">
        <w:rPr>
          <w:rFonts w:ascii="Garamond" w:hAnsi="Garamond"/>
          <w:sz w:val="24"/>
          <w:szCs w:val="24"/>
          <w:lang w:val="en-US"/>
        </w:rPr>
        <w:t>, no. 1, pp. 53–54.</w:t>
      </w:r>
    </w:p>
    <w:p w14:paraId="39D590C8" w14:textId="074EB4E8" w:rsidR="0038112C" w:rsidRDefault="0038112C" w:rsidP="00471EC6">
      <w:pPr>
        <w:spacing w:line="360" w:lineRule="auto"/>
        <w:jc w:val="both"/>
        <w:rPr>
          <w:rFonts w:ascii="Garamond" w:hAnsi="Garamond"/>
          <w:sz w:val="24"/>
          <w:szCs w:val="24"/>
        </w:rPr>
      </w:pPr>
      <w:bookmarkStart w:id="0" w:name="_Hlk158629822"/>
      <w:r w:rsidRPr="0038112C">
        <w:rPr>
          <w:rFonts w:ascii="Garamond" w:hAnsi="Garamond"/>
          <w:sz w:val="24"/>
          <w:szCs w:val="24"/>
        </w:rPr>
        <w:t>Williams, B. and Figueiredo, J., 20</w:t>
      </w:r>
      <w:r>
        <w:rPr>
          <w:rFonts w:ascii="Garamond" w:hAnsi="Garamond"/>
          <w:sz w:val="24"/>
          <w:szCs w:val="24"/>
        </w:rPr>
        <w:t>2</w:t>
      </w:r>
      <w:r w:rsidRPr="0038112C">
        <w:rPr>
          <w:rFonts w:ascii="Garamond" w:hAnsi="Garamond"/>
          <w:sz w:val="24"/>
          <w:szCs w:val="24"/>
        </w:rPr>
        <w:t>1</w:t>
      </w:r>
      <w:bookmarkEnd w:id="0"/>
      <w:r w:rsidRPr="0038112C">
        <w:rPr>
          <w:rFonts w:ascii="Garamond" w:hAnsi="Garamond"/>
          <w:sz w:val="24"/>
          <w:szCs w:val="24"/>
        </w:rPr>
        <w:t>, June. Strategy and technology management: An innovation-leader case study. In </w:t>
      </w:r>
      <w:r w:rsidRPr="0038112C">
        <w:rPr>
          <w:rFonts w:ascii="Garamond" w:hAnsi="Garamond"/>
          <w:i/>
          <w:iCs/>
          <w:sz w:val="24"/>
          <w:szCs w:val="24"/>
        </w:rPr>
        <w:t>First International Technology Management Conference</w:t>
      </w:r>
      <w:r w:rsidRPr="0038112C">
        <w:rPr>
          <w:rFonts w:ascii="Garamond" w:hAnsi="Garamond"/>
          <w:sz w:val="24"/>
          <w:szCs w:val="24"/>
        </w:rPr>
        <w:t> (pp. 806-811). IEEE.</w:t>
      </w:r>
    </w:p>
    <w:p w14:paraId="301EACC0" w14:textId="77777777" w:rsidR="00271A72" w:rsidRPr="00271A72" w:rsidRDefault="00271A72" w:rsidP="00271A72">
      <w:pPr>
        <w:spacing w:line="360" w:lineRule="auto"/>
        <w:jc w:val="both"/>
        <w:rPr>
          <w:rFonts w:ascii="Garamond" w:hAnsi="Garamond"/>
          <w:sz w:val="24"/>
          <w:szCs w:val="24"/>
        </w:rPr>
      </w:pPr>
      <w:r w:rsidRPr="00271A72">
        <w:rPr>
          <w:rFonts w:ascii="Garamond" w:hAnsi="Garamond"/>
          <w:sz w:val="24"/>
          <w:szCs w:val="24"/>
        </w:rPr>
        <w:t xml:space="preserve">Jae-woong, B. and Geun-woo, R., 2010. A global brand of the </w:t>
      </w:r>
      <w:proofErr w:type="spellStart"/>
      <w:r w:rsidRPr="00271A72">
        <w:rPr>
          <w:rFonts w:ascii="Garamond" w:hAnsi="Garamond"/>
          <w:sz w:val="24"/>
          <w:szCs w:val="24"/>
        </w:rPr>
        <w:t>microsoft</w:t>
      </w:r>
      <w:proofErr w:type="spellEnd"/>
      <w:r w:rsidRPr="00271A72">
        <w:rPr>
          <w:rFonts w:ascii="Garamond" w:hAnsi="Garamond"/>
          <w:sz w:val="24"/>
          <w:szCs w:val="24"/>
        </w:rPr>
        <w:t xml:space="preserve"> company: 4ps and pest analysis. </w:t>
      </w:r>
      <w:proofErr w:type="spellStart"/>
      <w:r w:rsidRPr="00271A72">
        <w:rPr>
          <w:rFonts w:ascii="Malgun Gothic" w:eastAsia="Malgun Gothic" w:hAnsi="Malgun Gothic" w:cs="Malgun Gothic" w:hint="eastAsia"/>
          <w:i/>
          <w:iCs/>
          <w:sz w:val="24"/>
          <w:szCs w:val="24"/>
        </w:rPr>
        <w:t>문화산업연구</w:t>
      </w:r>
      <w:proofErr w:type="spellEnd"/>
      <w:r w:rsidRPr="00271A72">
        <w:rPr>
          <w:rFonts w:ascii="Garamond" w:hAnsi="Garamond"/>
          <w:sz w:val="24"/>
          <w:szCs w:val="24"/>
        </w:rPr>
        <w:t>, </w:t>
      </w:r>
      <w:r w:rsidRPr="00271A72">
        <w:rPr>
          <w:rFonts w:ascii="Garamond" w:hAnsi="Garamond"/>
          <w:i/>
          <w:iCs/>
          <w:sz w:val="24"/>
          <w:szCs w:val="24"/>
        </w:rPr>
        <w:t>10</w:t>
      </w:r>
      <w:r w:rsidRPr="00271A72">
        <w:rPr>
          <w:rFonts w:ascii="Garamond" w:hAnsi="Garamond"/>
          <w:sz w:val="24"/>
          <w:szCs w:val="24"/>
        </w:rPr>
        <w:t>(2), pp.185-196.</w:t>
      </w:r>
    </w:p>
    <w:p w14:paraId="23D61380" w14:textId="77777777" w:rsidR="00271A72" w:rsidRPr="00271A72" w:rsidRDefault="00271A72" w:rsidP="00271A72">
      <w:pPr>
        <w:spacing w:line="360" w:lineRule="auto"/>
        <w:jc w:val="both"/>
        <w:rPr>
          <w:rFonts w:ascii="Garamond" w:hAnsi="Garamond"/>
          <w:sz w:val="24"/>
          <w:szCs w:val="24"/>
        </w:rPr>
      </w:pPr>
      <w:proofErr w:type="spellStart"/>
      <w:r w:rsidRPr="00271A72">
        <w:rPr>
          <w:rFonts w:ascii="Garamond" w:hAnsi="Garamond"/>
          <w:sz w:val="24"/>
          <w:szCs w:val="24"/>
        </w:rPr>
        <w:t>Qisman</w:t>
      </w:r>
      <w:proofErr w:type="spellEnd"/>
      <w:r w:rsidRPr="00271A72">
        <w:rPr>
          <w:rFonts w:ascii="Garamond" w:hAnsi="Garamond"/>
          <w:sz w:val="24"/>
          <w:szCs w:val="24"/>
        </w:rPr>
        <w:t xml:space="preserve">, M., </w:t>
      </w:r>
      <w:proofErr w:type="spellStart"/>
      <w:r w:rsidRPr="00271A72">
        <w:rPr>
          <w:rFonts w:ascii="Garamond" w:hAnsi="Garamond"/>
          <w:sz w:val="24"/>
          <w:szCs w:val="24"/>
        </w:rPr>
        <w:t>Rosadi</w:t>
      </w:r>
      <w:proofErr w:type="spellEnd"/>
      <w:r w:rsidRPr="00271A72">
        <w:rPr>
          <w:rFonts w:ascii="Garamond" w:hAnsi="Garamond"/>
          <w:sz w:val="24"/>
          <w:szCs w:val="24"/>
        </w:rPr>
        <w:t xml:space="preserve">, R. and Abdullah, A.S., 2021. Market basket analysis using </w:t>
      </w:r>
      <w:proofErr w:type="spellStart"/>
      <w:r w:rsidRPr="00271A72">
        <w:rPr>
          <w:rFonts w:ascii="Garamond" w:hAnsi="Garamond"/>
          <w:sz w:val="24"/>
          <w:szCs w:val="24"/>
        </w:rPr>
        <w:t>apriori</w:t>
      </w:r>
      <w:proofErr w:type="spellEnd"/>
      <w:r w:rsidRPr="00271A72">
        <w:rPr>
          <w:rFonts w:ascii="Garamond" w:hAnsi="Garamond"/>
          <w:sz w:val="24"/>
          <w:szCs w:val="24"/>
        </w:rPr>
        <w:t xml:space="preserve"> algorithm to find consumer patterns in buying goods through transaction data (case study of Mizan computer retail stores). In </w:t>
      </w:r>
      <w:r w:rsidRPr="00271A72">
        <w:rPr>
          <w:rFonts w:ascii="Garamond" w:hAnsi="Garamond"/>
          <w:i/>
          <w:iCs/>
          <w:sz w:val="24"/>
          <w:szCs w:val="24"/>
        </w:rPr>
        <w:t>Journal of Physics: Conference Series</w:t>
      </w:r>
      <w:r w:rsidRPr="00271A72">
        <w:rPr>
          <w:rFonts w:ascii="Garamond" w:hAnsi="Garamond"/>
          <w:sz w:val="24"/>
          <w:szCs w:val="24"/>
        </w:rPr>
        <w:t> (Vol. 1722, No. 1, p. 012020). IOP Publishing.</w:t>
      </w:r>
    </w:p>
    <w:p w14:paraId="582B7FFD" w14:textId="77777777" w:rsidR="00271A72" w:rsidRPr="00471EC6" w:rsidRDefault="00271A72" w:rsidP="00471EC6">
      <w:pPr>
        <w:spacing w:line="360" w:lineRule="auto"/>
        <w:jc w:val="both"/>
        <w:rPr>
          <w:rFonts w:ascii="Garamond" w:hAnsi="Garamond"/>
          <w:sz w:val="24"/>
          <w:szCs w:val="24"/>
          <w:lang w:val="en-US"/>
        </w:rPr>
      </w:pPr>
    </w:p>
    <w:sectPr w:rsidR="00271A72" w:rsidRPr="0047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043C5"/>
    <w:multiLevelType w:val="multilevel"/>
    <w:tmpl w:val="3942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E75CE6"/>
    <w:multiLevelType w:val="multilevel"/>
    <w:tmpl w:val="6632F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301601">
    <w:abstractNumId w:val="0"/>
  </w:num>
  <w:num w:numId="2" w16cid:durableId="454104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B7"/>
    <w:rsid w:val="000C36D7"/>
    <w:rsid w:val="00195FF0"/>
    <w:rsid w:val="00271A72"/>
    <w:rsid w:val="00303F86"/>
    <w:rsid w:val="0031651E"/>
    <w:rsid w:val="0034705E"/>
    <w:rsid w:val="0038112C"/>
    <w:rsid w:val="00447C76"/>
    <w:rsid w:val="00471EC6"/>
    <w:rsid w:val="00485444"/>
    <w:rsid w:val="004A634C"/>
    <w:rsid w:val="004D6B3B"/>
    <w:rsid w:val="004F20B7"/>
    <w:rsid w:val="005A3FF3"/>
    <w:rsid w:val="00763B9B"/>
    <w:rsid w:val="007D3FB5"/>
    <w:rsid w:val="00841A8E"/>
    <w:rsid w:val="00855A8C"/>
    <w:rsid w:val="00884545"/>
    <w:rsid w:val="008A643F"/>
    <w:rsid w:val="008B05A7"/>
    <w:rsid w:val="0098067E"/>
    <w:rsid w:val="00A06B4D"/>
    <w:rsid w:val="00AE56B6"/>
    <w:rsid w:val="00B37B76"/>
    <w:rsid w:val="00C16A86"/>
    <w:rsid w:val="00D62E95"/>
    <w:rsid w:val="00E07B7F"/>
    <w:rsid w:val="00E11047"/>
    <w:rsid w:val="00F01AC3"/>
    <w:rsid w:val="00F1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E895"/>
  <w15:chartTrackingRefBased/>
  <w15:docId w15:val="{0FA73C9A-76EA-4B7A-B5AE-9888CE57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EC6"/>
    <w:rPr>
      <w:lang w:val="en-GB"/>
    </w:rPr>
  </w:style>
  <w:style w:type="paragraph" w:styleId="Heading1">
    <w:name w:val="heading 1"/>
    <w:basedOn w:val="Normal"/>
    <w:next w:val="Normal"/>
    <w:link w:val="Heading1Char"/>
    <w:uiPriority w:val="9"/>
    <w:qFormat/>
    <w:rsid w:val="004F2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0B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4F20B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4F20B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F20B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F20B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F20B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F20B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F20B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F20B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F2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0B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F2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0B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F20B7"/>
    <w:pPr>
      <w:spacing w:before="160"/>
      <w:jc w:val="center"/>
    </w:pPr>
    <w:rPr>
      <w:i/>
      <w:iCs/>
      <w:color w:val="404040" w:themeColor="text1" w:themeTint="BF"/>
    </w:rPr>
  </w:style>
  <w:style w:type="character" w:customStyle="1" w:styleId="QuoteChar">
    <w:name w:val="Quote Char"/>
    <w:basedOn w:val="DefaultParagraphFont"/>
    <w:link w:val="Quote"/>
    <w:uiPriority w:val="29"/>
    <w:rsid w:val="004F20B7"/>
    <w:rPr>
      <w:i/>
      <w:iCs/>
      <w:color w:val="404040" w:themeColor="text1" w:themeTint="BF"/>
      <w:lang w:val="en-GB"/>
    </w:rPr>
  </w:style>
  <w:style w:type="paragraph" w:styleId="ListParagraph">
    <w:name w:val="List Paragraph"/>
    <w:basedOn w:val="Normal"/>
    <w:uiPriority w:val="34"/>
    <w:qFormat/>
    <w:rsid w:val="004F20B7"/>
    <w:pPr>
      <w:ind w:left="720"/>
      <w:contextualSpacing/>
    </w:pPr>
  </w:style>
  <w:style w:type="character" w:styleId="IntenseEmphasis">
    <w:name w:val="Intense Emphasis"/>
    <w:basedOn w:val="DefaultParagraphFont"/>
    <w:uiPriority w:val="21"/>
    <w:qFormat/>
    <w:rsid w:val="004F20B7"/>
    <w:rPr>
      <w:i/>
      <w:iCs/>
      <w:color w:val="0F4761" w:themeColor="accent1" w:themeShade="BF"/>
    </w:rPr>
  </w:style>
  <w:style w:type="paragraph" w:styleId="IntenseQuote">
    <w:name w:val="Intense Quote"/>
    <w:basedOn w:val="Normal"/>
    <w:next w:val="Normal"/>
    <w:link w:val="IntenseQuoteChar"/>
    <w:uiPriority w:val="30"/>
    <w:qFormat/>
    <w:rsid w:val="004F2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0B7"/>
    <w:rPr>
      <w:i/>
      <w:iCs/>
      <w:color w:val="0F4761" w:themeColor="accent1" w:themeShade="BF"/>
      <w:lang w:val="en-GB"/>
    </w:rPr>
  </w:style>
  <w:style w:type="character" w:styleId="IntenseReference">
    <w:name w:val="Intense Reference"/>
    <w:basedOn w:val="DefaultParagraphFont"/>
    <w:uiPriority w:val="32"/>
    <w:qFormat/>
    <w:rsid w:val="004F20B7"/>
    <w:rPr>
      <w:b/>
      <w:bCs/>
      <w:smallCaps/>
      <w:color w:val="0F4761" w:themeColor="accent1" w:themeShade="BF"/>
      <w:spacing w:val="5"/>
    </w:rPr>
  </w:style>
  <w:style w:type="table" w:styleId="TableGrid">
    <w:name w:val="Table Grid"/>
    <w:basedOn w:val="TableNormal"/>
    <w:uiPriority w:val="39"/>
    <w:rsid w:val="00316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8934">
      <w:bodyDiv w:val="1"/>
      <w:marLeft w:val="0"/>
      <w:marRight w:val="0"/>
      <w:marTop w:val="0"/>
      <w:marBottom w:val="0"/>
      <w:divBdr>
        <w:top w:val="none" w:sz="0" w:space="0" w:color="auto"/>
        <w:left w:val="none" w:sz="0" w:space="0" w:color="auto"/>
        <w:bottom w:val="none" w:sz="0" w:space="0" w:color="auto"/>
        <w:right w:val="none" w:sz="0" w:space="0" w:color="auto"/>
      </w:divBdr>
    </w:div>
    <w:div w:id="213083854">
      <w:bodyDiv w:val="1"/>
      <w:marLeft w:val="0"/>
      <w:marRight w:val="0"/>
      <w:marTop w:val="0"/>
      <w:marBottom w:val="0"/>
      <w:divBdr>
        <w:top w:val="none" w:sz="0" w:space="0" w:color="auto"/>
        <w:left w:val="none" w:sz="0" w:space="0" w:color="auto"/>
        <w:bottom w:val="none" w:sz="0" w:space="0" w:color="auto"/>
        <w:right w:val="none" w:sz="0" w:space="0" w:color="auto"/>
      </w:divBdr>
    </w:div>
    <w:div w:id="313678136">
      <w:bodyDiv w:val="1"/>
      <w:marLeft w:val="0"/>
      <w:marRight w:val="0"/>
      <w:marTop w:val="0"/>
      <w:marBottom w:val="0"/>
      <w:divBdr>
        <w:top w:val="none" w:sz="0" w:space="0" w:color="auto"/>
        <w:left w:val="none" w:sz="0" w:space="0" w:color="auto"/>
        <w:bottom w:val="none" w:sz="0" w:space="0" w:color="auto"/>
        <w:right w:val="none" w:sz="0" w:space="0" w:color="auto"/>
      </w:divBdr>
    </w:div>
    <w:div w:id="604076908">
      <w:bodyDiv w:val="1"/>
      <w:marLeft w:val="0"/>
      <w:marRight w:val="0"/>
      <w:marTop w:val="0"/>
      <w:marBottom w:val="0"/>
      <w:divBdr>
        <w:top w:val="none" w:sz="0" w:space="0" w:color="auto"/>
        <w:left w:val="none" w:sz="0" w:space="0" w:color="auto"/>
        <w:bottom w:val="none" w:sz="0" w:space="0" w:color="auto"/>
        <w:right w:val="none" w:sz="0" w:space="0" w:color="auto"/>
      </w:divBdr>
    </w:div>
    <w:div w:id="802620643">
      <w:bodyDiv w:val="1"/>
      <w:marLeft w:val="0"/>
      <w:marRight w:val="0"/>
      <w:marTop w:val="0"/>
      <w:marBottom w:val="0"/>
      <w:divBdr>
        <w:top w:val="none" w:sz="0" w:space="0" w:color="auto"/>
        <w:left w:val="none" w:sz="0" w:space="0" w:color="auto"/>
        <w:bottom w:val="none" w:sz="0" w:space="0" w:color="auto"/>
        <w:right w:val="none" w:sz="0" w:space="0" w:color="auto"/>
      </w:divBdr>
    </w:div>
    <w:div w:id="876745552">
      <w:bodyDiv w:val="1"/>
      <w:marLeft w:val="0"/>
      <w:marRight w:val="0"/>
      <w:marTop w:val="0"/>
      <w:marBottom w:val="0"/>
      <w:divBdr>
        <w:top w:val="none" w:sz="0" w:space="0" w:color="auto"/>
        <w:left w:val="none" w:sz="0" w:space="0" w:color="auto"/>
        <w:bottom w:val="none" w:sz="0" w:space="0" w:color="auto"/>
        <w:right w:val="none" w:sz="0" w:space="0" w:color="auto"/>
      </w:divBdr>
    </w:div>
    <w:div w:id="878274036">
      <w:bodyDiv w:val="1"/>
      <w:marLeft w:val="0"/>
      <w:marRight w:val="0"/>
      <w:marTop w:val="0"/>
      <w:marBottom w:val="0"/>
      <w:divBdr>
        <w:top w:val="none" w:sz="0" w:space="0" w:color="auto"/>
        <w:left w:val="none" w:sz="0" w:space="0" w:color="auto"/>
        <w:bottom w:val="none" w:sz="0" w:space="0" w:color="auto"/>
        <w:right w:val="none" w:sz="0" w:space="0" w:color="auto"/>
      </w:divBdr>
    </w:div>
    <w:div w:id="903683613">
      <w:bodyDiv w:val="1"/>
      <w:marLeft w:val="0"/>
      <w:marRight w:val="0"/>
      <w:marTop w:val="0"/>
      <w:marBottom w:val="0"/>
      <w:divBdr>
        <w:top w:val="none" w:sz="0" w:space="0" w:color="auto"/>
        <w:left w:val="none" w:sz="0" w:space="0" w:color="auto"/>
        <w:bottom w:val="none" w:sz="0" w:space="0" w:color="auto"/>
        <w:right w:val="none" w:sz="0" w:space="0" w:color="auto"/>
      </w:divBdr>
    </w:div>
    <w:div w:id="926304696">
      <w:bodyDiv w:val="1"/>
      <w:marLeft w:val="0"/>
      <w:marRight w:val="0"/>
      <w:marTop w:val="0"/>
      <w:marBottom w:val="0"/>
      <w:divBdr>
        <w:top w:val="none" w:sz="0" w:space="0" w:color="auto"/>
        <w:left w:val="none" w:sz="0" w:space="0" w:color="auto"/>
        <w:bottom w:val="none" w:sz="0" w:space="0" w:color="auto"/>
        <w:right w:val="none" w:sz="0" w:space="0" w:color="auto"/>
      </w:divBdr>
    </w:div>
    <w:div w:id="1025863820">
      <w:bodyDiv w:val="1"/>
      <w:marLeft w:val="0"/>
      <w:marRight w:val="0"/>
      <w:marTop w:val="0"/>
      <w:marBottom w:val="0"/>
      <w:divBdr>
        <w:top w:val="none" w:sz="0" w:space="0" w:color="auto"/>
        <w:left w:val="none" w:sz="0" w:space="0" w:color="auto"/>
        <w:bottom w:val="none" w:sz="0" w:space="0" w:color="auto"/>
        <w:right w:val="none" w:sz="0" w:space="0" w:color="auto"/>
      </w:divBdr>
      <w:divsChild>
        <w:div w:id="1756049589">
          <w:marLeft w:val="0"/>
          <w:marRight w:val="0"/>
          <w:marTop w:val="0"/>
          <w:marBottom w:val="0"/>
          <w:divBdr>
            <w:top w:val="none" w:sz="0" w:space="0" w:color="auto"/>
            <w:left w:val="none" w:sz="0" w:space="0" w:color="auto"/>
            <w:bottom w:val="none" w:sz="0" w:space="0" w:color="auto"/>
            <w:right w:val="none" w:sz="0" w:space="0" w:color="auto"/>
          </w:divBdr>
        </w:div>
      </w:divsChild>
    </w:div>
    <w:div w:id="1046947807">
      <w:bodyDiv w:val="1"/>
      <w:marLeft w:val="0"/>
      <w:marRight w:val="0"/>
      <w:marTop w:val="0"/>
      <w:marBottom w:val="0"/>
      <w:divBdr>
        <w:top w:val="none" w:sz="0" w:space="0" w:color="auto"/>
        <w:left w:val="none" w:sz="0" w:space="0" w:color="auto"/>
        <w:bottom w:val="none" w:sz="0" w:space="0" w:color="auto"/>
        <w:right w:val="none" w:sz="0" w:space="0" w:color="auto"/>
      </w:divBdr>
    </w:div>
    <w:div w:id="1083180068">
      <w:bodyDiv w:val="1"/>
      <w:marLeft w:val="0"/>
      <w:marRight w:val="0"/>
      <w:marTop w:val="0"/>
      <w:marBottom w:val="0"/>
      <w:divBdr>
        <w:top w:val="none" w:sz="0" w:space="0" w:color="auto"/>
        <w:left w:val="none" w:sz="0" w:space="0" w:color="auto"/>
        <w:bottom w:val="none" w:sz="0" w:space="0" w:color="auto"/>
        <w:right w:val="none" w:sz="0" w:space="0" w:color="auto"/>
      </w:divBdr>
    </w:div>
    <w:div w:id="1099719377">
      <w:bodyDiv w:val="1"/>
      <w:marLeft w:val="0"/>
      <w:marRight w:val="0"/>
      <w:marTop w:val="0"/>
      <w:marBottom w:val="0"/>
      <w:divBdr>
        <w:top w:val="none" w:sz="0" w:space="0" w:color="auto"/>
        <w:left w:val="none" w:sz="0" w:space="0" w:color="auto"/>
        <w:bottom w:val="none" w:sz="0" w:space="0" w:color="auto"/>
        <w:right w:val="none" w:sz="0" w:space="0" w:color="auto"/>
      </w:divBdr>
    </w:div>
    <w:div w:id="1296108813">
      <w:bodyDiv w:val="1"/>
      <w:marLeft w:val="0"/>
      <w:marRight w:val="0"/>
      <w:marTop w:val="0"/>
      <w:marBottom w:val="0"/>
      <w:divBdr>
        <w:top w:val="none" w:sz="0" w:space="0" w:color="auto"/>
        <w:left w:val="none" w:sz="0" w:space="0" w:color="auto"/>
        <w:bottom w:val="none" w:sz="0" w:space="0" w:color="auto"/>
        <w:right w:val="none" w:sz="0" w:space="0" w:color="auto"/>
      </w:divBdr>
    </w:div>
    <w:div w:id="1412238618">
      <w:bodyDiv w:val="1"/>
      <w:marLeft w:val="0"/>
      <w:marRight w:val="0"/>
      <w:marTop w:val="0"/>
      <w:marBottom w:val="0"/>
      <w:divBdr>
        <w:top w:val="none" w:sz="0" w:space="0" w:color="auto"/>
        <w:left w:val="none" w:sz="0" w:space="0" w:color="auto"/>
        <w:bottom w:val="none" w:sz="0" w:space="0" w:color="auto"/>
        <w:right w:val="none" w:sz="0" w:space="0" w:color="auto"/>
      </w:divBdr>
    </w:div>
    <w:div w:id="1621640991">
      <w:bodyDiv w:val="1"/>
      <w:marLeft w:val="0"/>
      <w:marRight w:val="0"/>
      <w:marTop w:val="0"/>
      <w:marBottom w:val="0"/>
      <w:divBdr>
        <w:top w:val="none" w:sz="0" w:space="0" w:color="auto"/>
        <w:left w:val="none" w:sz="0" w:space="0" w:color="auto"/>
        <w:bottom w:val="none" w:sz="0" w:space="0" w:color="auto"/>
        <w:right w:val="none" w:sz="0" w:space="0" w:color="auto"/>
      </w:divBdr>
    </w:div>
    <w:div w:id="1670594838">
      <w:bodyDiv w:val="1"/>
      <w:marLeft w:val="0"/>
      <w:marRight w:val="0"/>
      <w:marTop w:val="0"/>
      <w:marBottom w:val="0"/>
      <w:divBdr>
        <w:top w:val="none" w:sz="0" w:space="0" w:color="auto"/>
        <w:left w:val="none" w:sz="0" w:space="0" w:color="auto"/>
        <w:bottom w:val="none" w:sz="0" w:space="0" w:color="auto"/>
        <w:right w:val="none" w:sz="0" w:space="0" w:color="auto"/>
      </w:divBdr>
    </w:div>
    <w:div w:id="1823882816">
      <w:bodyDiv w:val="1"/>
      <w:marLeft w:val="0"/>
      <w:marRight w:val="0"/>
      <w:marTop w:val="0"/>
      <w:marBottom w:val="0"/>
      <w:divBdr>
        <w:top w:val="none" w:sz="0" w:space="0" w:color="auto"/>
        <w:left w:val="none" w:sz="0" w:space="0" w:color="auto"/>
        <w:bottom w:val="none" w:sz="0" w:space="0" w:color="auto"/>
        <w:right w:val="none" w:sz="0" w:space="0" w:color="auto"/>
      </w:divBdr>
    </w:div>
    <w:div w:id="1967659669">
      <w:bodyDiv w:val="1"/>
      <w:marLeft w:val="0"/>
      <w:marRight w:val="0"/>
      <w:marTop w:val="0"/>
      <w:marBottom w:val="0"/>
      <w:divBdr>
        <w:top w:val="none" w:sz="0" w:space="0" w:color="auto"/>
        <w:left w:val="none" w:sz="0" w:space="0" w:color="auto"/>
        <w:bottom w:val="none" w:sz="0" w:space="0" w:color="auto"/>
        <w:right w:val="none" w:sz="0" w:space="0" w:color="auto"/>
      </w:divBdr>
    </w:div>
    <w:div w:id="2009289051">
      <w:bodyDiv w:val="1"/>
      <w:marLeft w:val="0"/>
      <w:marRight w:val="0"/>
      <w:marTop w:val="0"/>
      <w:marBottom w:val="0"/>
      <w:divBdr>
        <w:top w:val="none" w:sz="0" w:space="0" w:color="auto"/>
        <w:left w:val="none" w:sz="0" w:space="0" w:color="auto"/>
        <w:bottom w:val="none" w:sz="0" w:space="0" w:color="auto"/>
        <w:right w:val="none" w:sz="0" w:space="0" w:color="auto"/>
      </w:divBdr>
    </w:div>
    <w:div w:id="2030258831">
      <w:bodyDiv w:val="1"/>
      <w:marLeft w:val="0"/>
      <w:marRight w:val="0"/>
      <w:marTop w:val="0"/>
      <w:marBottom w:val="0"/>
      <w:divBdr>
        <w:top w:val="none" w:sz="0" w:space="0" w:color="auto"/>
        <w:left w:val="none" w:sz="0" w:space="0" w:color="auto"/>
        <w:bottom w:val="none" w:sz="0" w:space="0" w:color="auto"/>
        <w:right w:val="none" w:sz="0" w:space="0" w:color="auto"/>
      </w:divBdr>
    </w:div>
    <w:div w:id="205029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6</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29</cp:revision>
  <dcterms:created xsi:type="dcterms:W3CDTF">2024-02-11T12:41:00Z</dcterms:created>
  <dcterms:modified xsi:type="dcterms:W3CDTF">2024-02-12T11:08:00Z</dcterms:modified>
</cp:coreProperties>
</file>