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4F6058" w14:textId="0DE58C6B" w:rsidR="005A3FF3" w:rsidRPr="005F0F7A" w:rsidRDefault="00892643" w:rsidP="0078730D">
      <w:pPr>
        <w:jc w:val="center"/>
        <w:rPr>
          <w:rFonts w:ascii="Garamond" w:hAnsi="Garamond"/>
          <w:b/>
          <w:bCs/>
          <w:sz w:val="24"/>
          <w:szCs w:val="24"/>
        </w:rPr>
      </w:pPr>
      <w:r w:rsidRPr="005F0F7A">
        <w:rPr>
          <w:rFonts w:ascii="Garamond" w:hAnsi="Garamond"/>
          <w:b/>
          <w:bCs/>
          <w:sz w:val="24"/>
          <w:szCs w:val="24"/>
        </w:rPr>
        <w:t>INTRODUCTION</w:t>
      </w:r>
    </w:p>
    <w:p w14:paraId="7BDB0AB1" w14:textId="77777777" w:rsidR="0078730D" w:rsidRPr="0078730D" w:rsidRDefault="0078730D" w:rsidP="0078730D">
      <w:pPr>
        <w:spacing w:line="360" w:lineRule="auto"/>
        <w:rPr>
          <w:rFonts w:ascii="Garamond" w:hAnsi="Garamond"/>
          <w:sz w:val="24"/>
          <w:szCs w:val="24"/>
          <w:lang w:val="en-US"/>
        </w:rPr>
      </w:pPr>
      <w:r w:rsidRPr="0078730D">
        <w:rPr>
          <w:rFonts w:ascii="Garamond" w:hAnsi="Garamond"/>
          <w:sz w:val="24"/>
          <w:szCs w:val="24"/>
          <w:lang w:val="en-US"/>
        </w:rPr>
        <w:t>An organization's competitive advantage and long-term strategy can be assessed using resource-based analysis (Grant, 2019). An organization's resources and capabilities are identified and assessed, and their potential for creating sustainable competitive advantage is analysed. In a highly competitive and rapidly evolving industry like Microsoft, this approach is particularly relevant. Microsoft can make informed strategic decisions by conducting a resource-based analysis of its strengths and weaknesses. In this analysis, Wade et al (2014) emphasize the importance of complementarity and moderating factors, whereas Pospisil (2023) emphasizes the importance of performance analysis in maximizing resource utilization.</w:t>
      </w:r>
    </w:p>
    <w:p w14:paraId="0D4D78CC" w14:textId="258BE64A" w:rsidR="0078730D" w:rsidRPr="009630E9" w:rsidRDefault="0078730D" w:rsidP="009630E9">
      <w:pPr>
        <w:spacing w:line="360" w:lineRule="auto"/>
        <w:rPr>
          <w:rFonts w:ascii="Garamond" w:hAnsi="Garamond"/>
          <w:sz w:val="24"/>
          <w:szCs w:val="24"/>
          <w:lang w:val="en-US"/>
        </w:rPr>
      </w:pPr>
      <w:r w:rsidRPr="0078730D">
        <w:rPr>
          <w:rFonts w:ascii="Garamond" w:hAnsi="Garamond"/>
          <w:sz w:val="24"/>
          <w:szCs w:val="24"/>
          <w:lang w:val="en-US"/>
        </w:rPr>
        <w:t xml:space="preserve">Strategic analysis has widely used the VRIO framework, which assesses a firm's resources in terms of their value, rarity, </w:t>
      </w:r>
      <w:r w:rsidR="009630E9" w:rsidRPr="0078730D">
        <w:rPr>
          <w:rFonts w:ascii="Garamond" w:hAnsi="Garamond"/>
          <w:sz w:val="24"/>
          <w:szCs w:val="24"/>
          <w:lang w:val="en-US"/>
        </w:rPr>
        <w:t>imitation</w:t>
      </w:r>
      <w:r w:rsidRPr="0078730D">
        <w:rPr>
          <w:rFonts w:ascii="Garamond" w:hAnsi="Garamond"/>
          <w:sz w:val="24"/>
          <w:szCs w:val="24"/>
          <w:lang w:val="en-US"/>
        </w:rPr>
        <w:t xml:space="preserve">, and organization. However, </w:t>
      </w:r>
      <w:r>
        <w:rPr>
          <w:rFonts w:ascii="Garamond" w:hAnsi="Garamond"/>
          <w:sz w:val="24"/>
          <w:szCs w:val="24"/>
          <w:lang w:val="en-US"/>
        </w:rPr>
        <w:t>Studies have</w:t>
      </w:r>
      <w:r w:rsidRPr="0078730D">
        <w:rPr>
          <w:rFonts w:ascii="Garamond" w:hAnsi="Garamond"/>
          <w:sz w:val="24"/>
          <w:szCs w:val="24"/>
          <w:lang w:val="en-US"/>
        </w:rPr>
        <w:t xml:space="preserve"> found limitations in resource selection and a tendency towards inward-looking analysis with its practical application (Knott, 2015). While VRIO has these limitations, it has been extended to include a sustainability dimension, making it a useful tool for analyzing resources in a sustainable tourism context. (Bresser and Powalla, 2022) have found that the VRIO framework is more predictive of stock-market performance than other decision-making heuristics like gut feeling and analyst ratings.</w:t>
      </w:r>
    </w:p>
    <w:p w14:paraId="61BA5E54" w14:textId="42B0A241" w:rsidR="00FA0E57" w:rsidRDefault="00FA0E57" w:rsidP="00FA0E57">
      <w:pPr>
        <w:spacing w:line="360" w:lineRule="auto"/>
        <w:jc w:val="center"/>
        <w:rPr>
          <w:rFonts w:ascii="Garamond" w:hAnsi="Garamond"/>
          <w:b/>
          <w:bCs/>
          <w:sz w:val="24"/>
          <w:szCs w:val="24"/>
          <w:lang w:val="en-US"/>
        </w:rPr>
      </w:pPr>
      <w:r w:rsidRPr="00FA0E57">
        <w:rPr>
          <w:rFonts w:ascii="Garamond" w:hAnsi="Garamond"/>
          <w:b/>
          <w:bCs/>
          <w:sz w:val="24"/>
          <w:szCs w:val="24"/>
          <w:lang w:val="en-US"/>
        </w:rPr>
        <w:t>RESOURCE IDENTIFICATION AND ANALYSIS</w:t>
      </w:r>
    </w:p>
    <w:p w14:paraId="4A2A9B54" w14:textId="2D87E524" w:rsidR="009630E9" w:rsidRDefault="009630E9" w:rsidP="009630E9">
      <w:pPr>
        <w:spacing w:line="360" w:lineRule="auto"/>
        <w:rPr>
          <w:rFonts w:ascii="Garamond" w:hAnsi="Garamond"/>
          <w:sz w:val="24"/>
          <w:szCs w:val="24"/>
        </w:rPr>
      </w:pPr>
      <w:r w:rsidRPr="009630E9">
        <w:rPr>
          <w:rFonts w:ascii="Garamond" w:hAnsi="Garamond"/>
          <w:sz w:val="24"/>
          <w:szCs w:val="24"/>
        </w:rPr>
        <w:t>A successful product diversification strategy has contributed to Microsoft Corporation's sustained growth and market stability (Vinayachandra and K. 2019). In addition to maintaining top rankings in technology, products, services, revenue, and growth, this strategy has helped the company grow and maintain a high level of competitiveness. As a result of the value and rarity of the company's resources and capabilities, the company's competitive advantage is further enhanced (Newbert, 2018). Hulten (2010) points out that Microsoft's growth is also a result of its intangible capital, namely investments it makes in product research and development, sales, and marketing.</w:t>
      </w:r>
    </w:p>
    <w:p w14:paraId="59614B86" w14:textId="5D48BA94" w:rsidR="00C76F7A" w:rsidRDefault="00C76F7A" w:rsidP="00C76F7A">
      <w:pPr>
        <w:spacing w:line="360" w:lineRule="auto"/>
        <w:jc w:val="center"/>
        <w:rPr>
          <w:rFonts w:ascii="Garamond" w:hAnsi="Garamond"/>
          <w:b/>
          <w:bCs/>
          <w:sz w:val="24"/>
          <w:szCs w:val="24"/>
        </w:rPr>
      </w:pPr>
      <w:r w:rsidRPr="00C76F7A">
        <w:rPr>
          <w:rFonts w:ascii="Garamond" w:hAnsi="Garamond"/>
          <w:b/>
          <w:bCs/>
          <w:sz w:val="24"/>
          <w:szCs w:val="24"/>
        </w:rPr>
        <w:t>LEADING CORE COMPETENCIES OF MICROSOFT</w:t>
      </w:r>
    </w:p>
    <w:p w14:paraId="71841564" w14:textId="77777777" w:rsidR="009630E9" w:rsidRDefault="009630E9" w:rsidP="009630E9">
      <w:pPr>
        <w:pStyle w:val="pb-2"/>
      </w:pPr>
      <w:r w:rsidRPr="009630E9">
        <w:rPr>
          <w:rFonts w:ascii="Garamond" w:hAnsi="Garamond"/>
        </w:rPr>
        <w:t>Based on the VRIO framework, Microsoft Corporation has several core competencies that contribute to its competitive advantage. (Pratap, 2020)</w:t>
      </w:r>
      <w:r w:rsidRPr="009630E9">
        <w:t xml:space="preserve"> </w:t>
      </w:r>
    </w:p>
    <w:p w14:paraId="7854608E" w14:textId="386977C5" w:rsidR="009630E9" w:rsidRDefault="009630E9" w:rsidP="009630E9">
      <w:pPr>
        <w:pStyle w:val="pb-2"/>
        <w:numPr>
          <w:ilvl w:val="0"/>
          <w:numId w:val="3"/>
        </w:numPr>
        <w:spacing w:line="360" w:lineRule="auto"/>
        <w:ind w:left="426" w:hanging="426"/>
      </w:pPr>
      <w:r w:rsidRPr="009630E9">
        <w:rPr>
          <w:b/>
          <w:bCs/>
        </w:rPr>
        <w:t>Brand Recognition</w:t>
      </w:r>
      <w:r>
        <w:t xml:space="preserve">: Microsoft's strong brand image is a valuable and rare resource. In addition to being widely recognized and trusted worldwide, the Microsoft brand can </w:t>
      </w:r>
      <w:r>
        <w:lastRenderedPageBreak/>
        <w:t>compete favorably against lesser-known brands due to its association with quality and innovation.</w:t>
      </w:r>
    </w:p>
    <w:p w14:paraId="072830D9" w14:textId="2BE6B6EC" w:rsidR="009630E9" w:rsidRDefault="009630E9" w:rsidP="009630E9">
      <w:pPr>
        <w:pStyle w:val="pb-2"/>
        <w:numPr>
          <w:ilvl w:val="0"/>
          <w:numId w:val="3"/>
        </w:numPr>
        <w:spacing w:line="360" w:lineRule="auto"/>
        <w:ind w:left="426" w:hanging="426"/>
      </w:pPr>
      <w:r w:rsidRPr="009630E9">
        <w:rPr>
          <w:b/>
          <w:bCs/>
        </w:rPr>
        <w:t>Strong Financials</w:t>
      </w:r>
      <w:r>
        <w:t>: Microsoft's market cap exceeds $1.2 trillion, a valuable and rare resource. Its ability to invest in research, development, and innovation reflects its consistent growth in net revenue, which reached $110.4 billion in 2018. Microsoft's financial prowess allows it to navigate the hypercompetitive technology industry with a sustainable competitive advantage.</w:t>
      </w:r>
    </w:p>
    <w:p w14:paraId="6EC76A7A" w14:textId="1CF53CBF" w:rsidR="009630E9" w:rsidRDefault="009630E9" w:rsidP="009630E9">
      <w:pPr>
        <w:pStyle w:val="pb-2"/>
        <w:numPr>
          <w:ilvl w:val="0"/>
          <w:numId w:val="3"/>
        </w:numPr>
        <w:spacing w:line="360" w:lineRule="auto"/>
        <w:ind w:left="426" w:hanging="426"/>
      </w:pPr>
      <w:r w:rsidRPr="009630E9">
        <w:rPr>
          <w:b/>
          <w:bCs/>
        </w:rPr>
        <w:t>Product Portfolio:</w:t>
      </w:r>
      <w:r>
        <w:t xml:space="preserve"> With its diverse product portfolio, including Windows OS, Office Software, and acquisitions like LinkedIn and GitHub, Microsoft is less dependent on core products. In addition to providing multiple income channels, this expansion enhances the company's overall resilience and provides a competitive advantage.</w:t>
      </w:r>
    </w:p>
    <w:p w14:paraId="734CBE75" w14:textId="0F99E25B" w:rsidR="009630E9" w:rsidRDefault="009630E9" w:rsidP="009630E9">
      <w:pPr>
        <w:pStyle w:val="pb-2"/>
        <w:numPr>
          <w:ilvl w:val="0"/>
          <w:numId w:val="3"/>
        </w:numPr>
        <w:spacing w:line="360" w:lineRule="auto"/>
        <w:ind w:left="426" w:hanging="426"/>
      </w:pPr>
      <w:r w:rsidRPr="009630E9">
        <w:rPr>
          <w:b/>
          <w:bCs/>
        </w:rPr>
        <w:t>Technological Innovation</w:t>
      </w:r>
      <w:r>
        <w:t>: Microsoft is committed to technological innovation, as evidenced by a $2.7 billion increase in research and development expenses from 2016 to 2018. In addition to maintaining market leadership, this core competency ensures a continuous stream of cutting-edge products and services.</w:t>
      </w:r>
    </w:p>
    <w:p w14:paraId="012D35F2" w14:textId="63EF2DCD" w:rsidR="00A17937" w:rsidRPr="009630E9" w:rsidRDefault="009630E9" w:rsidP="009630E9">
      <w:pPr>
        <w:pStyle w:val="pb-2"/>
        <w:numPr>
          <w:ilvl w:val="0"/>
          <w:numId w:val="3"/>
        </w:numPr>
        <w:spacing w:line="360" w:lineRule="auto"/>
        <w:ind w:left="426" w:hanging="426"/>
      </w:pPr>
      <w:r w:rsidRPr="009630E9">
        <w:rPr>
          <w:b/>
          <w:bCs/>
        </w:rPr>
        <w:t>Talented Human Resources</w:t>
      </w:r>
      <w:r>
        <w:t>: Microsoft's focus on acquiring and retaining talented employees is crucial for its competitive parity. Having a skilled workforce is critical in such a competitive technology sector. Satya Nadella has taken steps to create an inclusive and innovative company culture, strengthening Microsoft's ability to attract top talent.</w:t>
      </w:r>
    </w:p>
    <w:tbl>
      <w:tblPr>
        <w:tblStyle w:val="TableGrid"/>
        <w:tblW w:w="9552" w:type="dxa"/>
        <w:tblLook w:val="04A0" w:firstRow="1" w:lastRow="0" w:firstColumn="1" w:lastColumn="0" w:noHBand="0" w:noVBand="1"/>
      </w:tblPr>
      <w:tblGrid>
        <w:gridCol w:w="1513"/>
        <w:gridCol w:w="1656"/>
        <w:gridCol w:w="1609"/>
        <w:gridCol w:w="1456"/>
        <w:gridCol w:w="1557"/>
        <w:gridCol w:w="1761"/>
      </w:tblGrid>
      <w:tr w:rsidR="00A17937" w:rsidRPr="00A17937" w14:paraId="4EC1A314" w14:textId="77777777" w:rsidTr="005C155D">
        <w:trPr>
          <w:trHeight w:val="300"/>
        </w:trPr>
        <w:tc>
          <w:tcPr>
            <w:tcW w:w="1513" w:type="dxa"/>
            <w:noWrap/>
            <w:hideMark/>
          </w:tcPr>
          <w:p w14:paraId="764BB3CD" w14:textId="77777777" w:rsidR="00A17937" w:rsidRPr="00A17937" w:rsidRDefault="00A17937" w:rsidP="00A17937">
            <w:pPr>
              <w:rPr>
                <w:rFonts w:ascii="Garamond" w:hAnsi="Garamond"/>
                <w:b/>
                <w:bCs/>
                <w:sz w:val="24"/>
                <w:szCs w:val="24"/>
                <w:lang w:val="en-US"/>
              </w:rPr>
            </w:pPr>
            <w:r w:rsidRPr="00A17937">
              <w:rPr>
                <w:rFonts w:ascii="Garamond" w:hAnsi="Garamond"/>
                <w:b/>
                <w:bCs/>
                <w:sz w:val="24"/>
                <w:szCs w:val="24"/>
              </w:rPr>
              <w:t>Resource</w:t>
            </w:r>
          </w:p>
        </w:tc>
        <w:tc>
          <w:tcPr>
            <w:tcW w:w="1656" w:type="dxa"/>
            <w:noWrap/>
            <w:hideMark/>
          </w:tcPr>
          <w:p w14:paraId="513DB808" w14:textId="77777777" w:rsidR="00A17937" w:rsidRPr="00A17937" w:rsidRDefault="00A17937" w:rsidP="00A17937">
            <w:pPr>
              <w:rPr>
                <w:rFonts w:ascii="Garamond" w:hAnsi="Garamond"/>
                <w:b/>
                <w:bCs/>
                <w:sz w:val="24"/>
                <w:szCs w:val="24"/>
              </w:rPr>
            </w:pPr>
            <w:r w:rsidRPr="00A17937">
              <w:rPr>
                <w:rFonts w:ascii="Garamond" w:hAnsi="Garamond"/>
                <w:b/>
                <w:bCs/>
                <w:sz w:val="24"/>
                <w:szCs w:val="24"/>
              </w:rPr>
              <w:t>Valuable?</w:t>
            </w:r>
          </w:p>
        </w:tc>
        <w:tc>
          <w:tcPr>
            <w:tcW w:w="1609" w:type="dxa"/>
            <w:noWrap/>
            <w:hideMark/>
          </w:tcPr>
          <w:p w14:paraId="47C9EEC9" w14:textId="77777777" w:rsidR="00A17937" w:rsidRPr="00A17937" w:rsidRDefault="00A17937" w:rsidP="00A17937">
            <w:pPr>
              <w:rPr>
                <w:rFonts w:ascii="Garamond" w:hAnsi="Garamond"/>
                <w:b/>
                <w:bCs/>
                <w:sz w:val="24"/>
                <w:szCs w:val="24"/>
              </w:rPr>
            </w:pPr>
            <w:r w:rsidRPr="00A17937">
              <w:rPr>
                <w:rFonts w:ascii="Garamond" w:hAnsi="Garamond"/>
                <w:b/>
                <w:bCs/>
                <w:sz w:val="24"/>
                <w:szCs w:val="24"/>
              </w:rPr>
              <w:t>Rare?</w:t>
            </w:r>
          </w:p>
        </w:tc>
        <w:tc>
          <w:tcPr>
            <w:tcW w:w="1456" w:type="dxa"/>
            <w:noWrap/>
            <w:hideMark/>
          </w:tcPr>
          <w:p w14:paraId="28DA73BB" w14:textId="77777777" w:rsidR="00A17937" w:rsidRPr="00A17937" w:rsidRDefault="00A17937" w:rsidP="00A17937">
            <w:pPr>
              <w:rPr>
                <w:rFonts w:ascii="Garamond" w:hAnsi="Garamond"/>
                <w:b/>
                <w:bCs/>
                <w:sz w:val="24"/>
                <w:szCs w:val="24"/>
              </w:rPr>
            </w:pPr>
            <w:r w:rsidRPr="00A17937">
              <w:rPr>
                <w:rFonts w:ascii="Garamond" w:hAnsi="Garamond"/>
                <w:b/>
                <w:bCs/>
                <w:sz w:val="24"/>
                <w:szCs w:val="24"/>
              </w:rPr>
              <w:t>Inimitable?</w:t>
            </w:r>
          </w:p>
        </w:tc>
        <w:tc>
          <w:tcPr>
            <w:tcW w:w="1557" w:type="dxa"/>
            <w:noWrap/>
            <w:hideMark/>
          </w:tcPr>
          <w:p w14:paraId="5F969730" w14:textId="77777777" w:rsidR="00A17937" w:rsidRPr="00A17937" w:rsidRDefault="00A17937" w:rsidP="00A17937">
            <w:pPr>
              <w:rPr>
                <w:rFonts w:ascii="Garamond" w:hAnsi="Garamond"/>
                <w:b/>
                <w:bCs/>
                <w:sz w:val="24"/>
                <w:szCs w:val="24"/>
              </w:rPr>
            </w:pPr>
            <w:r w:rsidRPr="00A17937">
              <w:rPr>
                <w:rFonts w:ascii="Garamond" w:hAnsi="Garamond"/>
                <w:b/>
                <w:bCs/>
                <w:sz w:val="24"/>
                <w:szCs w:val="24"/>
              </w:rPr>
              <w:t>Organized?</w:t>
            </w:r>
          </w:p>
        </w:tc>
        <w:tc>
          <w:tcPr>
            <w:tcW w:w="1761" w:type="dxa"/>
            <w:noWrap/>
            <w:hideMark/>
          </w:tcPr>
          <w:p w14:paraId="2F32E681" w14:textId="77777777" w:rsidR="00A17937" w:rsidRPr="00A17937" w:rsidRDefault="00A17937" w:rsidP="00A17937">
            <w:pPr>
              <w:rPr>
                <w:rFonts w:ascii="Garamond" w:hAnsi="Garamond"/>
                <w:b/>
                <w:bCs/>
                <w:sz w:val="24"/>
                <w:szCs w:val="24"/>
              </w:rPr>
            </w:pPr>
            <w:r w:rsidRPr="00A17937">
              <w:rPr>
                <w:rFonts w:ascii="Garamond" w:hAnsi="Garamond"/>
                <w:b/>
                <w:bCs/>
                <w:sz w:val="24"/>
                <w:szCs w:val="24"/>
              </w:rPr>
              <w:t>Competitive Advantage?</w:t>
            </w:r>
          </w:p>
        </w:tc>
      </w:tr>
      <w:tr w:rsidR="00A17937" w:rsidRPr="00A17937" w14:paraId="06C007D8" w14:textId="77777777" w:rsidTr="005C155D">
        <w:trPr>
          <w:trHeight w:val="300"/>
        </w:trPr>
        <w:tc>
          <w:tcPr>
            <w:tcW w:w="1513" w:type="dxa"/>
            <w:noWrap/>
            <w:hideMark/>
          </w:tcPr>
          <w:p w14:paraId="759A034A" w14:textId="77777777" w:rsidR="00A17937" w:rsidRPr="00A17937" w:rsidRDefault="00A17937" w:rsidP="00A17937">
            <w:pPr>
              <w:rPr>
                <w:rFonts w:ascii="Garamond" w:hAnsi="Garamond"/>
                <w:b/>
                <w:bCs/>
                <w:sz w:val="24"/>
                <w:szCs w:val="24"/>
              </w:rPr>
            </w:pPr>
            <w:r w:rsidRPr="00A17937">
              <w:rPr>
                <w:rFonts w:ascii="Garamond" w:hAnsi="Garamond"/>
                <w:b/>
                <w:bCs/>
                <w:sz w:val="24"/>
                <w:szCs w:val="24"/>
              </w:rPr>
              <w:t>Brand recognition</w:t>
            </w:r>
          </w:p>
        </w:tc>
        <w:tc>
          <w:tcPr>
            <w:tcW w:w="1656" w:type="dxa"/>
            <w:noWrap/>
            <w:hideMark/>
          </w:tcPr>
          <w:p w14:paraId="5C7097FA" w14:textId="77777777" w:rsidR="00A17937" w:rsidRDefault="00A17937" w:rsidP="00A17937">
            <w:pPr>
              <w:spacing w:after="160"/>
              <w:rPr>
                <w:rFonts w:ascii="Garamond" w:hAnsi="Garamond"/>
                <w:sz w:val="24"/>
                <w:szCs w:val="24"/>
              </w:rPr>
            </w:pPr>
            <w:r w:rsidRPr="00A17937">
              <w:rPr>
                <w:rFonts w:ascii="Garamond" w:hAnsi="Garamond"/>
                <w:sz w:val="24"/>
                <w:szCs w:val="24"/>
              </w:rPr>
              <w:t xml:space="preserve">Yes </w:t>
            </w:r>
          </w:p>
          <w:p w14:paraId="307D2399" w14:textId="68CB5B0B" w:rsidR="00A17937" w:rsidRPr="00A17937" w:rsidRDefault="00A17937" w:rsidP="00A17937">
            <w:pPr>
              <w:rPr>
                <w:rFonts w:ascii="Garamond" w:hAnsi="Garamond"/>
                <w:sz w:val="24"/>
                <w:szCs w:val="24"/>
              </w:rPr>
            </w:pPr>
            <w:r w:rsidRPr="00A17937">
              <w:rPr>
                <w:rFonts w:ascii="Garamond" w:hAnsi="Garamond"/>
                <w:sz w:val="24"/>
                <w:szCs w:val="24"/>
              </w:rPr>
              <w:t>(high trust, global reach)</w:t>
            </w:r>
          </w:p>
        </w:tc>
        <w:tc>
          <w:tcPr>
            <w:tcW w:w="1609" w:type="dxa"/>
            <w:noWrap/>
            <w:hideMark/>
          </w:tcPr>
          <w:p w14:paraId="4BCB65D8" w14:textId="77777777" w:rsidR="00A17937" w:rsidRPr="00A17937" w:rsidRDefault="00A17937" w:rsidP="00A17937">
            <w:pPr>
              <w:rPr>
                <w:rFonts w:ascii="Garamond" w:hAnsi="Garamond"/>
                <w:sz w:val="24"/>
                <w:szCs w:val="24"/>
              </w:rPr>
            </w:pPr>
            <w:r w:rsidRPr="00A17937">
              <w:rPr>
                <w:rFonts w:ascii="Garamond" w:hAnsi="Garamond"/>
                <w:sz w:val="24"/>
                <w:szCs w:val="24"/>
              </w:rPr>
              <w:t>Yes (established over decades)</w:t>
            </w:r>
          </w:p>
        </w:tc>
        <w:tc>
          <w:tcPr>
            <w:tcW w:w="1456" w:type="dxa"/>
            <w:noWrap/>
            <w:hideMark/>
          </w:tcPr>
          <w:p w14:paraId="550EF153" w14:textId="77777777" w:rsidR="00A17937" w:rsidRPr="00A17937" w:rsidRDefault="00A17937" w:rsidP="00A17937">
            <w:pPr>
              <w:rPr>
                <w:rFonts w:ascii="Garamond" w:hAnsi="Garamond"/>
                <w:sz w:val="24"/>
                <w:szCs w:val="24"/>
              </w:rPr>
            </w:pPr>
            <w:r w:rsidRPr="00A17937">
              <w:rPr>
                <w:rFonts w:ascii="Garamond" w:hAnsi="Garamond"/>
                <w:sz w:val="24"/>
                <w:szCs w:val="24"/>
              </w:rPr>
              <w:t>Partially (competitors can build brand, but not same history)</w:t>
            </w:r>
          </w:p>
        </w:tc>
        <w:tc>
          <w:tcPr>
            <w:tcW w:w="1557" w:type="dxa"/>
            <w:noWrap/>
            <w:hideMark/>
          </w:tcPr>
          <w:p w14:paraId="394CDF89" w14:textId="242213FD" w:rsidR="00A17937" w:rsidRPr="00A17937" w:rsidRDefault="00A17937" w:rsidP="0078730D">
            <w:pPr>
              <w:spacing w:after="160"/>
              <w:rPr>
                <w:rFonts w:ascii="Garamond" w:hAnsi="Garamond"/>
                <w:sz w:val="24"/>
                <w:szCs w:val="24"/>
              </w:rPr>
            </w:pPr>
            <w:proofErr w:type="gramStart"/>
            <w:r w:rsidRPr="00A17937">
              <w:rPr>
                <w:rFonts w:ascii="Garamond" w:hAnsi="Garamond"/>
                <w:sz w:val="24"/>
                <w:szCs w:val="24"/>
              </w:rPr>
              <w:t>Yes(</w:t>
            </w:r>
            <w:proofErr w:type="gramEnd"/>
            <w:r w:rsidRPr="00A17937">
              <w:rPr>
                <w:rFonts w:ascii="Garamond" w:hAnsi="Garamond"/>
                <w:sz w:val="24"/>
                <w:szCs w:val="24"/>
              </w:rPr>
              <w:t>strong marketing, consistent messaging)</w:t>
            </w:r>
          </w:p>
        </w:tc>
        <w:tc>
          <w:tcPr>
            <w:tcW w:w="1761" w:type="dxa"/>
            <w:noWrap/>
            <w:hideMark/>
          </w:tcPr>
          <w:p w14:paraId="55285133" w14:textId="290E4963" w:rsidR="00A17937" w:rsidRPr="00A17937" w:rsidRDefault="00A17937" w:rsidP="0078730D">
            <w:pPr>
              <w:spacing w:after="160"/>
              <w:rPr>
                <w:rFonts w:ascii="Garamond" w:hAnsi="Garamond"/>
                <w:sz w:val="24"/>
                <w:szCs w:val="24"/>
              </w:rPr>
            </w:pPr>
            <w:r w:rsidRPr="00A17937">
              <w:rPr>
                <w:rFonts w:ascii="Garamond" w:hAnsi="Garamond"/>
                <w:sz w:val="24"/>
                <w:szCs w:val="24"/>
              </w:rPr>
              <w:t>Yes (strong customer loyalty, premium pricing)</w:t>
            </w:r>
          </w:p>
        </w:tc>
      </w:tr>
      <w:tr w:rsidR="00A17937" w:rsidRPr="00A17937" w14:paraId="49952CE5" w14:textId="77777777" w:rsidTr="005C155D">
        <w:trPr>
          <w:trHeight w:val="300"/>
        </w:trPr>
        <w:tc>
          <w:tcPr>
            <w:tcW w:w="1513" w:type="dxa"/>
            <w:noWrap/>
            <w:hideMark/>
          </w:tcPr>
          <w:p w14:paraId="0FF995AE" w14:textId="77777777" w:rsidR="00A17937" w:rsidRPr="00A17937" w:rsidRDefault="00A17937" w:rsidP="00A17937">
            <w:pPr>
              <w:rPr>
                <w:rFonts w:ascii="Garamond" w:hAnsi="Garamond"/>
                <w:b/>
                <w:bCs/>
                <w:sz w:val="24"/>
                <w:szCs w:val="24"/>
              </w:rPr>
            </w:pPr>
            <w:r w:rsidRPr="00A17937">
              <w:rPr>
                <w:rFonts w:ascii="Garamond" w:hAnsi="Garamond"/>
                <w:b/>
                <w:bCs/>
                <w:sz w:val="24"/>
                <w:szCs w:val="24"/>
              </w:rPr>
              <w:t>Intellectual property (IP)</w:t>
            </w:r>
          </w:p>
        </w:tc>
        <w:tc>
          <w:tcPr>
            <w:tcW w:w="1656" w:type="dxa"/>
            <w:noWrap/>
            <w:hideMark/>
          </w:tcPr>
          <w:p w14:paraId="74EFEE21" w14:textId="22B7EB32" w:rsidR="00A17937" w:rsidRPr="00A17937" w:rsidRDefault="00A17937" w:rsidP="00A17937">
            <w:pPr>
              <w:rPr>
                <w:rFonts w:ascii="Garamond" w:hAnsi="Garamond"/>
                <w:sz w:val="24"/>
                <w:szCs w:val="24"/>
              </w:rPr>
            </w:pPr>
            <w:r w:rsidRPr="00A17937">
              <w:rPr>
                <w:rFonts w:ascii="Garamond" w:hAnsi="Garamond"/>
                <w:sz w:val="24"/>
                <w:szCs w:val="24"/>
              </w:rPr>
              <w:t>Yes</w:t>
            </w:r>
            <w:r w:rsidR="00517893">
              <w:rPr>
                <w:rFonts w:ascii="Garamond" w:hAnsi="Garamond"/>
                <w:sz w:val="24"/>
                <w:szCs w:val="24"/>
              </w:rPr>
              <w:t xml:space="preserve"> </w:t>
            </w:r>
            <w:r w:rsidRPr="00A17937">
              <w:rPr>
                <w:rFonts w:ascii="Garamond" w:hAnsi="Garamond"/>
                <w:sz w:val="24"/>
                <w:szCs w:val="24"/>
              </w:rPr>
              <w:t>(patents, copyrights, trade secrets)</w:t>
            </w:r>
          </w:p>
        </w:tc>
        <w:tc>
          <w:tcPr>
            <w:tcW w:w="1609" w:type="dxa"/>
            <w:noWrap/>
            <w:hideMark/>
          </w:tcPr>
          <w:p w14:paraId="338F517D" w14:textId="77777777" w:rsidR="00A17937" w:rsidRPr="00A17937" w:rsidRDefault="00A17937" w:rsidP="00A17937">
            <w:pPr>
              <w:rPr>
                <w:rFonts w:ascii="Garamond" w:hAnsi="Garamond"/>
                <w:sz w:val="24"/>
                <w:szCs w:val="24"/>
              </w:rPr>
            </w:pPr>
            <w:r w:rsidRPr="00A17937">
              <w:rPr>
                <w:rFonts w:ascii="Garamond" w:hAnsi="Garamond"/>
                <w:sz w:val="24"/>
                <w:szCs w:val="24"/>
              </w:rPr>
              <w:t>Partially (some publicly known, competitors can develop alternatives)</w:t>
            </w:r>
          </w:p>
        </w:tc>
        <w:tc>
          <w:tcPr>
            <w:tcW w:w="1456" w:type="dxa"/>
            <w:noWrap/>
            <w:hideMark/>
          </w:tcPr>
          <w:p w14:paraId="1C35F8A9" w14:textId="77777777" w:rsidR="00A17937" w:rsidRPr="00A17937" w:rsidRDefault="00A17937" w:rsidP="00A17937">
            <w:pPr>
              <w:rPr>
                <w:rFonts w:ascii="Garamond" w:hAnsi="Garamond"/>
                <w:sz w:val="24"/>
                <w:szCs w:val="24"/>
              </w:rPr>
            </w:pPr>
            <w:r w:rsidRPr="00A17937">
              <w:rPr>
                <w:rFonts w:ascii="Garamond" w:hAnsi="Garamond"/>
                <w:sz w:val="24"/>
                <w:szCs w:val="24"/>
              </w:rPr>
              <w:t>Partially (legal protection, R&amp;D efforts, switching costs)</w:t>
            </w:r>
          </w:p>
        </w:tc>
        <w:tc>
          <w:tcPr>
            <w:tcW w:w="1557" w:type="dxa"/>
            <w:noWrap/>
            <w:hideMark/>
          </w:tcPr>
          <w:p w14:paraId="5D913379" w14:textId="77777777" w:rsidR="00A17937" w:rsidRPr="00A17937" w:rsidRDefault="00A17937" w:rsidP="00A17937">
            <w:pPr>
              <w:rPr>
                <w:rFonts w:ascii="Garamond" w:hAnsi="Garamond"/>
                <w:sz w:val="24"/>
                <w:szCs w:val="24"/>
              </w:rPr>
            </w:pPr>
            <w:r w:rsidRPr="00A17937">
              <w:rPr>
                <w:rFonts w:ascii="Garamond" w:hAnsi="Garamond"/>
                <w:sz w:val="24"/>
                <w:szCs w:val="24"/>
              </w:rPr>
              <w:t>Yes (active patent prosecution, knowledge management)</w:t>
            </w:r>
          </w:p>
        </w:tc>
        <w:tc>
          <w:tcPr>
            <w:tcW w:w="1761" w:type="dxa"/>
            <w:noWrap/>
            <w:hideMark/>
          </w:tcPr>
          <w:p w14:paraId="26709F1F" w14:textId="77777777" w:rsidR="00A17937" w:rsidRPr="00A17937" w:rsidRDefault="00A17937" w:rsidP="00A17937">
            <w:pPr>
              <w:rPr>
                <w:rFonts w:ascii="Garamond" w:hAnsi="Garamond"/>
                <w:sz w:val="24"/>
                <w:szCs w:val="24"/>
              </w:rPr>
            </w:pPr>
            <w:r w:rsidRPr="00A17937">
              <w:rPr>
                <w:rFonts w:ascii="Garamond" w:hAnsi="Garamond"/>
                <w:sz w:val="24"/>
                <w:szCs w:val="24"/>
              </w:rPr>
              <w:t>Yes (differentiation, protection from competition)</w:t>
            </w:r>
          </w:p>
        </w:tc>
      </w:tr>
      <w:tr w:rsidR="00A17937" w:rsidRPr="00A17937" w14:paraId="190EF8F9" w14:textId="77777777" w:rsidTr="005C155D">
        <w:trPr>
          <w:trHeight w:val="300"/>
        </w:trPr>
        <w:tc>
          <w:tcPr>
            <w:tcW w:w="1513" w:type="dxa"/>
            <w:noWrap/>
            <w:hideMark/>
          </w:tcPr>
          <w:p w14:paraId="7AE835B7" w14:textId="77777777" w:rsidR="00A17937" w:rsidRPr="00A17937" w:rsidRDefault="00A17937" w:rsidP="00A17937">
            <w:pPr>
              <w:rPr>
                <w:rFonts w:ascii="Garamond" w:hAnsi="Garamond"/>
                <w:b/>
                <w:bCs/>
                <w:sz w:val="24"/>
                <w:szCs w:val="24"/>
              </w:rPr>
            </w:pPr>
            <w:r w:rsidRPr="00A17937">
              <w:rPr>
                <w:rFonts w:ascii="Garamond" w:hAnsi="Garamond"/>
                <w:b/>
                <w:bCs/>
                <w:sz w:val="24"/>
                <w:szCs w:val="24"/>
              </w:rPr>
              <w:t>Talent pool</w:t>
            </w:r>
          </w:p>
        </w:tc>
        <w:tc>
          <w:tcPr>
            <w:tcW w:w="1656" w:type="dxa"/>
            <w:noWrap/>
            <w:hideMark/>
          </w:tcPr>
          <w:p w14:paraId="3961963B" w14:textId="77777777" w:rsidR="00A17937" w:rsidRPr="00A17937" w:rsidRDefault="00A17937" w:rsidP="00A17937">
            <w:pPr>
              <w:rPr>
                <w:rFonts w:ascii="Garamond" w:hAnsi="Garamond"/>
                <w:sz w:val="24"/>
                <w:szCs w:val="24"/>
              </w:rPr>
            </w:pPr>
            <w:r w:rsidRPr="00A17937">
              <w:rPr>
                <w:rFonts w:ascii="Garamond" w:hAnsi="Garamond"/>
                <w:sz w:val="24"/>
                <w:szCs w:val="24"/>
              </w:rPr>
              <w:t xml:space="preserve">Yes (highly skilled workforce, </w:t>
            </w:r>
            <w:r w:rsidRPr="00A17937">
              <w:rPr>
                <w:rFonts w:ascii="Garamond" w:hAnsi="Garamond"/>
                <w:sz w:val="24"/>
                <w:szCs w:val="24"/>
              </w:rPr>
              <w:lastRenderedPageBreak/>
              <w:t>diverse expertise)</w:t>
            </w:r>
          </w:p>
        </w:tc>
        <w:tc>
          <w:tcPr>
            <w:tcW w:w="1609" w:type="dxa"/>
            <w:noWrap/>
            <w:hideMark/>
          </w:tcPr>
          <w:p w14:paraId="6FCD2CDF" w14:textId="77777777" w:rsidR="00A17937" w:rsidRPr="00A17937" w:rsidRDefault="00A17937" w:rsidP="00A17937">
            <w:pPr>
              <w:rPr>
                <w:rFonts w:ascii="Garamond" w:hAnsi="Garamond"/>
                <w:sz w:val="24"/>
                <w:szCs w:val="24"/>
              </w:rPr>
            </w:pPr>
            <w:r w:rsidRPr="00A17937">
              <w:rPr>
                <w:rFonts w:ascii="Garamond" w:hAnsi="Garamond"/>
                <w:sz w:val="24"/>
                <w:szCs w:val="24"/>
              </w:rPr>
              <w:lastRenderedPageBreak/>
              <w:t>Partially (others attract talent too)</w:t>
            </w:r>
          </w:p>
        </w:tc>
        <w:tc>
          <w:tcPr>
            <w:tcW w:w="1456" w:type="dxa"/>
            <w:noWrap/>
            <w:hideMark/>
          </w:tcPr>
          <w:p w14:paraId="2D3F663E" w14:textId="77777777" w:rsidR="00A17937" w:rsidRPr="00A17937" w:rsidRDefault="00A17937" w:rsidP="00A17937">
            <w:pPr>
              <w:rPr>
                <w:rFonts w:ascii="Garamond" w:hAnsi="Garamond"/>
                <w:sz w:val="24"/>
                <w:szCs w:val="24"/>
              </w:rPr>
            </w:pPr>
            <w:r w:rsidRPr="00A17937">
              <w:rPr>
                <w:rFonts w:ascii="Garamond" w:hAnsi="Garamond"/>
                <w:sz w:val="24"/>
                <w:szCs w:val="24"/>
              </w:rPr>
              <w:t xml:space="preserve">Partially (strong employer </w:t>
            </w:r>
            <w:r w:rsidRPr="00A17937">
              <w:rPr>
                <w:rFonts w:ascii="Garamond" w:hAnsi="Garamond"/>
                <w:sz w:val="24"/>
                <w:szCs w:val="24"/>
              </w:rPr>
              <w:lastRenderedPageBreak/>
              <w:t>brand, internal training)</w:t>
            </w:r>
          </w:p>
        </w:tc>
        <w:tc>
          <w:tcPr>
            <w:tcW w:w="1557" w:type="dxa"/>
            <w:noWrap/>
            <w:hideMark/>
          </w:tcPr>
          <w:p w14:paraId="74421C7B" w14:textId="77777777" w:rsidR="00A17937" w:rsidRPr="00A17937" w:rsidRDefault="00A17937" w:rsidP="00A17937">
            <w:pPr>
              <w:rPr>
                <w:rFonts w:ascii="Garamond" w:hAnsi="Garamond"/>
                <w:sz w:val="24"/>
                <w:szCs w:val="24"/>
              </w:rPr>
            </w:pPr>
            <w:r w:rsidRPr="00A17937">
              <w:rPr>
                <w:rFonts w:ascii="Garamond" w:hAnsi="Garamond"/>
                <w:sz w:val="24"/>
                <w:szCs w:val="24"/>
              </w:rPr>
              <w:lastRenderedPageBreak/>
              <w:t xml:space="preserve">Yes (investments in employee </w:t>
            </w:r>
            <w:r w:rsidRPr="00A17937">
              <w:rPr>
                <w:rFonts w:ascii="Garamond" w:hAnsi="Garamond"/>
                <w:sz w:val="24"/>
                <w:szCs w:val="24"/>
              </w:rPr>
              <w:lastRenderedPageBreak/>
              <w:t>development, diverse teams)</w:t>
            </w:r>
          </w:p>
        </w:tc>
        <w:tc>
          <w:tcPr>
            <w:tcW w:w="1761" w:type="dxa"/>
            <w:noWrap/>
            <w:hideMark/>
          </w:tcPr>
          <w:p w14:paraId="274B9139" w14:textId="77777777" w:rsidR="00A17937" w:rsidRPr="00A17937" w:rsidRDefault="00A17937" w:rsidP="00A17937">
            <w:pPr>
              <w:rPr>
                <w:rFonts w:ascii="Garamond" w:hAnsi="Garamond"/>
                <w:sz w:val="24"/>
                <w:szCs w:val="24"/>
              </w:rPr>
            </w:pPr>
            <w:r w:rsidRPr="00A17937">
              <w:rPr>
                <w:rFonts w:ascii="Garamond" w:hAnsi="Garamond"/>
                <w:sz w:val="24"/>
                <w:szCs w:val="24"/>
              </w:rPr>
              <w:lastRenderedPageBreak/>
              <w:t xml:space="preserve">Yes (innovation capacity, </w:t>
            </w:r>
            <w:r w:rsidRPr="00A17937">
              <w:rPr>
                <w:rFonts w:ascii="Garamond" w:hAnsi="Garamond"/>
                <w:sz w:val="24"/>
                <w:szCs w:val="24"/>
              </w:rPr>
              <w:lastRenderedPageBreak/>
              <w:t>operational efficiency)</w:t>
            </w:r>
          </w:p>
        </w:tc>
      </w:tr>
      <w:tr w:rsidR="00A17937" w:rsidRPr="00A17937" w14:paraId="1B221A7C" w14:textId="77777777" w:rsidTr="005C155D">
        <w:trPr>
          <w:trHeight w:val="300"/>
        </w:trPr>
        <w:tc>
          <w:tcPr>
            <w:tcW w:w="1513" w:type="dxa"/>
            <w:noWrap/>
            <w:hideMark/>
          </w:tcPr>
          <w:p w14:paraId="6E7223F3" w14:textId="77777777" w:rsidR="00A17937" w:rsidRPr="00A17937" w:rsidRDefault="00A17937" w:rsidP="00A17937">
            <w:pPr>
              <w:rPr>
                <w:rFonts w:ascii="Garamond" w:hAnsi="Garamond"/>
                <w:b/>
                <w:bCs/>
                <w:sz w:val="24"/>
                <w:szCs w:val="24"/>
              </w:rPr>
            </w:pPr>
            <w:r w:rsidRPr="00A17937">
              <w:rPr>
                <w:rFonts w:ascii="Garamond" w:hAnsi="Garamond"/>
                <w:b/>
                <w:bCs/>
                <w:sz w:val="24"/>
                <w:szCs w:val="24"/>
              </w:rPr>
              <w:lastRenderedPageBreak/>
              <w:t>Ecosystem of partners</w:t>
            </w:r>
          </w:p>
        </w:tc>
        <w:tc>
          <w:tcPr>
            <w:tcW w:w="1656" w:type="dxa"/>
            <w:noWrap/>
            <w:hideMark/>
          </w:tcPr>
          <w:p w14:paraId="2BDA03A9" w14:textId="77777777" w:rsidR="00A17937" w:rsidRPr="00A17937" w:rsidRDefault="00A17937" w:rsidP="00A17937">
            <w:pPr>
              <w:rPr>
                <w:rFonts w:ascii="Garamond" w:hAnsi="Garamond"/>
                <w:sz w:val="24"/>
                <w:szCs w:val="24"/>
              </w:rPr>
            </w:pPr>
            <w:r w:rsidRPr="00A17937">
              <w:rPr>
                <w:rFonts w:ascii="Garamond" w:hAnsi="Garamond"/>
                <w:sz w:val="24"/>
                <w:szCs w:val="24"/>
              </w:rPr>
              <w:t>Yes (broad partnerships, complementary offerings)</w:t>
            </w:r>
          </w:p>
        </w:tc>
        <w:tc>
          <w:tcPr>
            <w:tcW w:w="1609" w:type="dxa"/>
            <w:noWrap/>
            <w:hideMark/>
          </w:tcPr>
          <w:p w14:paraId="65CB30E6" w14:textId="77777777" w:rsidR="00A17937" w:rsidRPr="00A17937" w:rsidRDefault="00A17937" w:rsidP="00A17937">
            <w:pPr>
              <w:rPr>
                <w:rFonts w:ascii="Garamond" w:hAnsi="Garamond"/>
                <w:sz w:val="24"/>
                <w:szCs w:val="24"/>
              </w:rPr>
            </w:pPr>
            <w:r w:rsidRPr="00A17937">
              <w:rPr>
                <w:rFonts w:ascii="Garamond" w:hAnsi="Garamond"/>
                <w:sz w:val="24"/>
                <w:szCs w:val="24"/>
              </w:rPr>
              <w:t>Partially (competitors can build networks)</w:t>
            </w:r>
          </w:p>
        </w:tc>
        <w:tc>
          <w:tcPr>
            <w:tcW w:w="1456" w:type="dxa"/>
            <w:noWrap/>
            <w:hideMark/>
          </w:tcPr>
          <w:p w14:paraId="3F1FE4D6" w14:textId="77777777" w:rsidR="00A17937" w:rsidRPr="00A17937" w:rsidRDefault="00A17937" w:rsidP="00A17937">
            <w:pPr>
              <w:rPr>
                <w:rFonts w:ascii="Garamond" w:hAnsi="Garamond"/>
                <w:sz w:val="24"/>
                <w:szCs w:val="24"/>
              </w:rPr>
            </w:pPr>
            <w:r w:rsidRPr="00A17937">
              <w:rPr>
                <w:rFonts w:ascii="Garamond" w:hAnsi="Garamond"/>
                <w:sz w:val="24"/>
                <w:szCs w:val="24"/>
              </w:rPr>
              <w:t>Partially (switching costs, trust, network effects)</w:t>
            </w:r>
          </w:p>
        </w:tc>
        <w:tc>
          <w:tcPr>
            <w:tcW w:w="1557" w:type="dxa"/>
            <w:noWrap/>
            <w:hideMark/>
          </w:tcPr>
          <w:p w14:paraId="459AB431" w14:textId="77777777" w:rsidR="00A17937" w:rsidRPr="00A17937" w:rsidRDefault="00A17937" w:rsidP="00A17937">
            <w:pPr>
              <w:rPr>
                <w:rFonts w:ascii="Garamond" w:hAnsi="Garamond"/>
                <w:sz w:val="24"/>
                <w:szCs w:val="24"/>
              </w:rPr>
            </w:pPr>
            <w:r w:rsidRPr="00A17937">
              <w:rPr>
                <w:rFonts w:ascii="Garamond" w:hAnsi="Garamond"/>
                <w:sz w:val="24"/>
                <w:szCs w:val="24"/>
              </w:rPr>
              <w:t>Yes (joint marketing, platform integration)</w:t>
            </w:r>
          </w:p>
        </w:tc>
        <w:tc>
          <w:tcPr>
            <w:tcW w:w="1761" w:type="dxa"/>
            <w:noWrap/>
            <w:hideMark/>
          </w:tcPr>
          <w:p w14:paraId="5AFF9C75" w14:textId="77777777" w:rsidR="00A17937" w:rsidRPr="00A17937" w:rsidRDefault="00A17937" w:rsidP="00A17937">
            <w:pPr>
              <w:rPr>
                <w:rFonts w:ascii="Garamond" w:hAnsi="Garamond"/>
                <w:sz w:val="24"/>
                <w:szCs w:val="24"/>
              </w:rPr>
            </w:pPr>
            <w:r w:rsidRPr="00A17937">
              <w:rPr>
                <w:rFonts w:ascii="Garamond" w:hAnsi="Garamond"/>
                <w:sz w:val="24"/>
                <w:szCs w:val="24"/>
              </w:rPr>
              <w:t>Yes (expanded reach, market access, innovation potential)</w:t>
            </w:r>
          </w:p>
        </w:tc>
      </w:tr>
      <w:tr w:rsidR="00A17937" w:rsidRPr="00A17937" w14:paraId="641F08DE" w14:textId="77777777" w:rsidTr="005C155D">
        <w:trPr>
          <w:trHeight w:val="300"/>
        </w:trPr>
        <w:tc>
          <w:tcPr>
            <w:tcW w:w="1513" w:type="dxa"/>
            <w:noWrap/>
            <w:hideMark/>
          </w:tcPr>
          <w:p w14:paraId="065EC2B2" w14:textId="77777777" w:rsidR="00A17937" w:rsidRPr="00A17937" w:rsidRDefault="00A17937" w:rsidP="00A17937">
            <w:pPr>
              <w:rPr>
                <w:rFonts w:ascii="Garamond" w:hAnsi="Garamond"/>
                <w:b/>
                <w:bCs/>
                <w:sz w:val="24"/>
                <w:szCs w:val="24"/>
              </w:rPr>
            </w:pPr>
            <w:r w:rsidRPr="00A17937">
              <w:rPr>
                <w:rFonts w:ascii="Garamond" w:hAnsi="Garamond"/>
                <w:b/>
                <w:bCs/>
                <w:sz w:val="24"/>
                <w:szCs w:val="24"/>
              </w:rPr>
              <w:t>Data and analytics capabilities</w:t>
            </w:r>
          </w:p>
        </w:tc>
        <w:tc>
          <w:tcPr>
            <w:tcW w:w="1656" w:type="dxa"/>
            <w:noWrap/>
            <w:hideMark/>
          </w:tcPr>
          <w:p w14:paraId="7C5FCA40" w14:textId="77777777" w:rsidR="00A17937" w:rsidRPr="00A17937" w:rsidRDefault="00A17937" w:rsidP="00A17937">
            <w:pPr>
              <w:rPr>
                <w:rFonts w:ascii="Garamond" w:hAnsi="Garamond"/>
                <w:sz w:val="24"/>
                <w:szCs w:val="24"/>
              </w:rPr>
            </w:pPr>
            <w:r w:rsidRPr="00A17937">
              <w:rPr>
                <w:rFonts w:ascii="Garamond" w:hAnsi="Garamond"/>
                <w:sz w:val="24"/>
                <w:szCs w:val="24"/>
              </w:rPr>
              <w:t>Yes (massive datasets, AI expertise)</w:t>
            </w:r>
          </w:p>
        </w:tc>
        <w:tc>
          <w:tcPr>
            <w:tcW w:w="1609" w:type="dxa"/>
            <w:noWrap/>
            <w:hideMark/>
          </w:tcPr>
          <w:p w14:paraId="01DF042C" w14:textId="77777777" w:rsidR="00A17937" w:rsidRPr="00A17937" w:rsidRDefault="00A17937" w:rsidP="00A17937">
            <w:pPr>
              <w:rPr>
                <w:rFonts w:ascii="Garamond" w:hAnsi="Garamond"/>
                <w:sz w:val="24"/>
                <w:szCs w:val="24"/>
              </w:rPr>
            </w:pPr>
            <w:r w:rsidRPr="00A17937">
              <w:rPr>
                <w:rFonts w:ascii="Garamond" w:hAnsi="Garamond"/>
                <w:sz w:val="24"/>
                <w:szCs w:val="24"/>
              </w:rPr>
              <w:t>Partially (others collect data, develop AI)</w:t>
            </w:r>
          </w:p>
        </w:tc>
        <w:tc>
          <w:tcPr>
            <w:tcW w:w="1456" w:type="dxa"/>
            <w:noWrap/>
            <w:hideMark/>
          </w:tcPr>
          <w:p w14:paraId="63AFB678" w14:textId="77777777" w:rsidR="00A17937" w:rsidRPr="00A17937" w:rsidRDefault="00A17937" w:rsidP="00A17937">
            <w:pPr>
              <w:rPr>
                <w:rFonts w:ascii="Garamond" w:hAnsi="Garamond"/>
                <w:sz w:val="24"/>
                <w:szCs w:val="24"/>
              </w:rPr>
            </w:pPr>
            <w:r w:rsidRPr="00A17937">
              <w:rPr>
                <w:rFonts w:ascii="Garamond" w:hAnsi="Garamond"/>
                <w:sz w:val="24"/>
                <w:szCs w:val="24"/>
              </w:rPr>
              <w:t>Partially (expertise, data quality, proprietary algorithms)</w:t>
            </w:r>
          </w:p>
        </w:tc>
        <w:tc>
          <w:tcPr>
            <w:tcW w:w="1557" w:type="dxa"/>
            <w:noWrap/>
            <w:hideMark/>
          </w:tcPr>
          <w:p w14:paraId="66F7F30F" w14:textId="77777777" w:rsidR="00A17937" w:rsidRPr="00A17937" w:rsidRDefault="00A17937" w:rsidP="00A17937">
            <w:pPr>
              <w:rPr>
                <w:rFonts w:ascii="Garamond" w:hAnsi="Garamond"/>
                <w:sz w:val="24"/>
                <w:szCs w:val="24"/>
              </w:rPr>
            </w:pPr>
            <w:r w:rsidRPr="00A17937">
              <w:rPr>
                <w:rFonts w:ascii="Garamond" w:hAnsi="Garamond"/>
                <w:sz w:val="24"/>
                <w:szCs w:val="24"/>
              </w:rPr>
              <w:t>Yes (investments in cloud infrastructure, data science teams)</w:t>
            </w:r>
          </w:p>
        </w:tc>
        <w:tc>
          <w:tcPr>
            <w:tcW w:w="1761" w:type="dxa"/>
            <w:noWrap/>
            <w:hideMark/>
          </w:tcPr>
          <w:p w14:paraId="513472A5" w14:textId="77777777" w:rsidR="00A17937" w:rsidRPr="00A17937" w:rsidRDefault="00A17937" w:rsidP="00A17937">
            <w:pPr>
              <w:rPr>
                <w:rFonts w:ascii="Garamond" w:hAnsi="Garamond"/>
                <w:sz w:val="24"/>
                <w:szCs w:val="24"/>
              </w:rPr>
            </w:pPr>
            <w:r w:rsidRPr="00A17937">
              <w:rPr>
                <w:rFonts w:ascii="Garamond" w:hAnsi="Garamond"/>
                <w:sz w:val="24"/>
                <w:szCs w:val="24"/>
              </w:rPr>
              <w:t>Yes (personalized offerings, operational insights, improved decision-making)</w:t>
            </w:r>
          </w:p>
        </w:tc>
      </w:tr>
      <w:tr w:rsidR="00A17937" w:rsidRPr="00A17937" w14:paraId="60221978" w14:textId="77777777" w:rsidTr="005C155D">
        <w:trPr>
          <w:trHeight w:val="300"/>
        </w:trPr>
        <w:tc>
          <w:tcPr>
            <w:tcW w:w="1513" w:type="dxa"/>
            <w:noWrap/>
            <w:hideMark/>
          </w:tcPr>
          <w:p w14:paraId="15A42031" w14:textId="77777777" w:rsidR="00A17937" w:rsidRPr="00A17937" w:rsidRDefault="00A17937" w:rsidP="00A17937">
            <w:pPr>
              <w:rPr>
                <w:rFonts w:ascii="Garamond" w:hAnsi="Garamond"/>
                <w:b/>
                <w:bCs/>
                <w:sz w:val="24"/>
                <w:szCs w:val="24"/>
              </w:rPr>
            </w:pPr>
            <w:r w:rsidRPr="00A17937">
              <w:rPr>
                <w:rFonts w:ascii="Garamond" w:hAnsi="Garamond"/>
                <w:b/>
                <w:bCs/>
                <w:sz w:val="24"/>
                <w:szCs w:val="24"/>
              </w:rPr>
              <w:t>Financial resources</w:t>
            </w:r>
          </w:p>
        </w:tc>
        <w:tc>
          <w:tcPr>
            <w:tcW w:w="1656" w:type="dxa"/>
            <w:noWrap/>
            <w:hideMark/>
          </w:tcPr>
          <w:p w14:paraId="5473AEB9" w14:textId="77777777" w:rsidR="00A17937" w:rsidRPr="00A17937" w:rsidRDefault="00A17937" w:rsidP="00A17937">
            <w:pPr>
              <w:rPr>
                <w:rFonts w:ascii="Garamond" w:hAnsi="Garamond"/>
                <w:sz w:val="24"/>
                <w:szCs w:val="24"/>
              </w:rPr>
            </w:pPr>
            <w:r w:rsidRPr="00A17937">
              <w:rPr>
                <w:rFonts w:ascii="Garamond" w:hAnsi="Garamond"/>
                <w:sz w:val="24"/>
                <w:szCs w:val="24"/>
              </w:rPr>
              <w:t>Yes (large cash reserves, investment capital)</w:t>
            </w:r>
          </w:p>
        </w:tc>
        <w:tc>
          <w:tcPr>
            <w:tcW w:w="1609" w:type="dxa"/>
            <w:noWrap/>
            <w:hideMark/>
          </w:tcPr>
          <w:p w14:paraId="7502CE83" w14:textId="77777777" w:rsidR="00A17937" w:rsidRPr="00A17937" w:rsidRDefault="00A17937" w:rsidP="00A17937">
            <w:pPr>
              <w:rPr>
                <w:rFonts w:ascii="Garamond" w:hAnsi="Garamond"/>
                <w:sz w:val="24"/>
                <w:szCs w:val="24"/>
              </w:rPr>
            </w:pPr>
            <w:r w:rsidRPr="00A17937">
              <w:rPr>
                <w:rFonts w:ascii="Garamond" w:hAnsi="Garamond"/>
                <w:sz w:val="24"/>
                <w:szCs w:val="24"/>
              </w:rPr>
              <w:t>Partially (other large companies have resources)</w:t>
            </w:r>
          </w:p>
        </w:tc>
        <w:tc>
          <w:tcPr>
            <w:tcW w:w="1456" w:type="dxa"/>
            <w:noWrap/>
            <w:hideMark/>
          </w:tcPr>
          <w:p w14:paraId="07B97998" w14:textId="77777777" w:rsidR="00A17937" w:rsidRPr="00A17937" w:rsidRDefault="00A17937" w:rsidP="00A17937">
            <w:pPr>
              <w:rPr>
                <w:rFonts w:ascii="Garamond" w:hAnsi="Garamond"/>
                <w:sz w:val="24"/>
                <w:szCs w:val="24"/>
              </w:rPr>
            </w:pPr>
            <w:r w:rsidRPr="00A17937">
              <w:rPr>
                <w:rFonts w:ascii="Garamond" w:hAnsi="Garamond"/>
                <w:sz w:val="24"/>
                <w:szCs w:val="24"/>
              </w:rPr>
              <w:t>Partially (prudent financial management, investment strategy)</w:t>
            </w:r>
          </w:p>
        </w:tc>
        <w:tc>
          <w:tcPr>
            <w:tcW w:w="1557" w:type="dxa"/>
            <w:noWrap/>
            <w:hideMark/>
          </w:tcPr>
          <w:p w14:paraId="717A7563" w14:textId="77777777" w:rsidR="00A17937" w:rsidRPr="00A17937" w:rsidRDefault="00A17937" w:rsidP="00A17937">
            <w:pPr>
              <w:rPr>
                <w:rFonts w:ascii="Garamond" w:hAnsi="Garamond"/>
                <w:sz w:val="24"/>
                <w:szCs w:val="24"/>
              </w:rPr>
            </w:pPr>
            <w:r w:rsidRPr="00A17937">
              <w:rPr>
                <w:rFonts w:ascii="Garamond" w:hAnsi="Garamond"/>
                <w:sz w:val="24"/>
                <w:szCs w:val="24"/>
              </w:rPr>
              <w:t>Yes (acquisitions, R&amp;D funding, market resilience)</w:t>
            </w:r>
          </w:p>
        </w:tc>
        <w:tc>
          <w:tcPr>
            <w:tcW w:w="1761" w:type="dxa"/>
            <w:noWrap/>
            <w:hideMark/>
          </w:tcPr>
          <w:p w14:paraId="01F64783" w14:textId="77777777" w:rsidR="00A17937" w:rsidRPr="00A17937" w:rsidRDefault="00A17937" w:rsidP="00A17937">
            <w:pPr>
              <w:rPr>
                <w:rFonts w:ascii="Garamond" w:hAnsi="Garamond"/>
                <w:sz w:val="24"/>
                <w:szCs w:val="24"/>
              </w:rPr>
            </w:pPr>
            <w:r w:rsidRPr="00A17937">
              <w:rPr>
                <w:rFonts w:ascii="Garamond" w:hAnsi="Garamond"/>
                <w:sz w:val="24"/>
                <w:szCs w:val="24"/>
              </w:rPr>
              <w:t>Yes (flexibility, growth opportunities, competitive edge in acquisitions)</w:t>
            </w:r>
          </w:p>
        </w:tc>
      </w:tr>
    </w:tbl>
    <w:p w14:paraId="739E6487" w14:textId="56B712B3" w:rsidR="005C155D" w:rsidRDefault="005C155D" w:rsidP="005C155D">
      <w:pPr>
        <w:spacing w:line="360" w:lineRule="auto"/>
        <w:jc w:val="center"/>
        <w:rPr>
          <w:rFonts w:ascii="Garamond" w:hAnsi="Garamond"/>
          <w:i/>
          <w:iCs/>
          <w:sz w:val="24"/>
          <w:szCs w:val="24"/>
          <w:lang w:val="en-US"/>
        </w:rPr>
      </w:pPr>
      <w:r w:rsidRPr="005C155D">
        <w:rPr>
          <w:rFonts w:ascii="Garamond" w:hAnsi="Garamond"/>
          <w:i/>
          <w:iCs/>
          <w:sz w:val="24"/>
          <w:szCs w:val="24"/>
          <w:lang w:val="en-US"/>
        </w:rPr>
        <w:t>Resource Analysis Table - Microsoft Corporation</w:t>
      </w:r>
    </w:p>
    <w:p w14:paraId="1DF90130" w14:textId="34E4EC82" w:rsidR="00517893" w:rsidRPr="0078730D" w:rsidRDefault="005C155D" w:rsidP="0078730D">
      <w:pPr>
        <w:spacing w:line="360" w:lineRule="auto"/>
        <w:jc w:val="center"/>
        <w:rPr>
          <w:rFonts w:ascii="Garamond" w:hAnsi="Garamond"/>
          <w:i/>
          <w:iCs/>
          <w:sz w:val="24"/>
          <w:szCs w:val="24"/>
          <w:lang w:val="en-US"/>
        </w:rPr>
      </w:pPr>
      <w:r>
        <w:rPr>
          <w:rFonts w:ascii="Garamond" w:hAnsi="Garamond"/>
          <w:i/>
          <w:iCs/>
          <w:sz w:val="24"/>
          <w:szCs w:val="24"/>
          <w:lang w:val="en-US"/>
        </w:rPr>
        <w:t>Source: Miller, (2018)</w:t>
      </w:r>
    </w:p>
    <w:p w14:paraId="06E74CFD" w14:textId="36227661" w:rsidR="00517893" w:rsidRDefault="00517893" w:rsidP="00517893">
      <w:pPr>
        <w:tabs>
          <w:tab w:val="left" w:pos="767"/>
        </w:tabs>
        <w:spacing w:line="360" w:lineRule="auto"/>
        <w:jc w:val="center"/>
        <w:rPr>
          <w:rFonts w:ascii="Garamond" w:hAnsi="Garamond"/>
          <w:b/>
          <w:bCs/>
          <w:sz w:val="24"/>
          <w:szCs w:val="24"/>
        </w:rPr>
      </w:pPr>
      <w:r w:rsidRPr="00517893">
        <w:rPr>
          <w:rFonts w:ascii="Garamond" w:hAnsi="Garamond"/>
          <w:b/>
          <w:bCs/>
          <w:sz w:val="24"/>
          <w:szCs w:val="24"/>
        </w:rPr>
        <w:t>CONCLUSION</w:t>
      </w:r>
    </w:p>
    <w:p w14:paraId="451A8D3E" w14:textId="4040E3CA" w:rsidR="00CF7F92" w:rsidRPr="00466F65" w:rsidRDefault="00F2229E" w:rsidP="00F2229E">
      <w:pPr>
        <w:spacing w:line="360" w:lineRule="auto"/>
        <w:rPr>
          <w:rFonts w:ascii="Garamond" w:hAnsi="Garamond"/>
          <w:b/>
          <w:bCs/>
          <w:sz w:val="24"/>
          <w:szCs w:val="24"/>
          <w:lang w:val="en-US"/>
        </w:rPr>
      </w:pPr>
      <w:r w:rsidRPr="00F2229E">
        <w:rPr>
          <w:rFonts w:ascii="Garamond" w:hAnsi="Garamond"/>
          <w:sz w:val="24"/>
          <w:szCs w:val="24"/>
        </w:rPr>
        <w:t xml:space="preserve">Internal analyses reveal Microsoft's competitive advantage. Its intellectual property and data capabilities allow it to differentiate itself. Strategic global partnerships strengthen its position. </w:t>
      </w:r>
      <w:r w:rsidRPr="00F2229E">
        <w:rPr>
          <w:rFonts w:ascii="Garamond" w:hAnsi="Garamond"/>
          <w:sz w:val="24"/>
          <w:szCs w:val="24"/>
        </w:rPr>
        <w:t>Several</w:t>
      </w:r>
      <w:r w:rsidRPr="00F2229E">
        <w:rPr>
          <w:rFonts w:ascii="Garamond" w:hAnsi="Garamond"/>
          <w:sz w:val="24"/>
          <w:szCs w:val="24"/>
        </w:rPr>
        <w:t xml:space="preserve"> challenges face the company, including partially scarce resources. It is important to emphasize core competencies </w:t>
      </w:r>
      <w:r w:rsidRPr="00F2229E">
        <w:rPr>
          <w:rFonts w:ascii="Garamond" w:hAnsi="Garamond"/>
          <w:sz w:val="24"/>
          <w:szCs w:val="24"/>
        </w:rPr>
        <w:t>to</w:t>
      </w:r>
      <w:r w:rsidRPr="00F2229E">
        <w:rPr>
          <w:rFonts w:ascii="Garamond" w:hAnsi="Garamond"/>
          <w:sz w:val="24"/>
          <w:szCs w:val="24"/>
        </w:rPr>
        <w:t xml:space="preserve"> maintain sustained growth, including brand loyalty, innovation, and international market access. While non-core competencies contribute, they need to be transformed into core competencies to maximize growth. The company should elevate its human resources, global distribution, and product portfolio to core competencies to remain competitive in the industry and to ensure long-term success.</w:t>
      </w:r>
      <w:r w:rsidR="00CF7F92" w:rsidRPr="00517893">
        <w:rPr>
          <w:rFonts w:ascii="Garamond" w:hAnsi="Garamond"/>
          <w:sz w:val="24"/>
          <w:szCs w:val="24"/>
        </w:rPr>
        <w:br w:type="page"/>
      </w:r>
    </w:p>
    <w:p w14:paraId="49DFD0EC" w14:textId="61D0F9DC" w:rsidR="00892643" w:rsidRPr="0078730D" w:rsidRDefault="00CF7F92" w:rsidP="00466F65">
      <w:pPr>
        <w:jc w:val="center"/>
        <w:rPr>
          <w:rFonts w:ascii="Garamond" w:hAnsi="Garamond"/>
          <w:sz w:val="24"/>
          <w:szCs w:val="24"/>
        </w:rPr>
      </w:pPr>
      <w:r w:rsidRPr="00CF7F92">
        <w:rPr>
          <w:rFonts w:ascii="Garamond" w:hAnsi="Garamond"/>
          <w:b/>
          <w:bCs/>
          <w:sz w:val="24"/>
          <w:szCs w:val="24"/>
        </w:rPr>
        <w:lastRenderedPageBreak/>
        <w:t>REFERENCES</w:t>
      </w:r>
    </w:p>
    <w:p w14:paraId="4C0F9747" w14:textId="6D64F96A" w:rsidR="00CF7F92" w:rsidRDefault="00CF7F92" w:rsidP="00CF7F92">
      <w:pPr>
        <w:rPr>
          <w:rFonts w:ascii="Garamond" w:hAnsi="Garamond"/>
          <w:sz w:val="24"/>
          <w:szCs w:val="24"/>
        </w:rPr>
      </w:pPr>
      <w:r w:rsidRPr="00CF7F92">
        <w:rPr>
          <w:rFonts w:ascii="Garamond" w:hAnsi="Garamond"/>
          <w:sz w:val="24"/>
          <w:szCs w:val="24"/>
        </w:rPr>
        <w:t xml:space="preserve">Wade, Michael </w:t>
      </w:r>
      <w:proofErr w:type="gramStart"/>
      <w:r w:rsidRPr="00CF7F92">
        <w:rPr>
          <w:rFonts w:ascii="Garamond" w:hAnsi="Garamond"/>
          <w:sz w:val="24"/>
          <w:szCs w:val="24"/>
        </w:rPr>
        <w:t>R.</w:t>
      </w:r>
      <w:proofErr w:type="gramEnd"/>
      <w:r w:rsidRPr="00CF7F92">
        <w:rPr>
          <w:rFonts w:ascii="Garamond" w:hAnsi="Garamond"/>
          <w:sz w:val="24"/>
          <w:szCs w:val="24"/>
        </w:rPr>
        <w:t xml:space="preserve"> and John Hulland. The Resource-Based View and Information Systems Research: Review, Extension, and Suggestions for Future Research. MIS Q. 28 (20</w:t>
      </w:r>
      <w:r>
        <w:rPr>
          <w:rFonts w:ascii="Garamond" w:hAnsi="Garamond"/>
          <w:sz w:val="24"/>
          <w:szCs w:val="24"/>
        </w:rPr>
        <w:t>1</w:t>
      </w:r>
      <w:r w:rsidRPr="00CF7F92">
        <w:rPr>
          <w:rFonts w:ascii="Garamond" w:hAnsi="Garamond"/>
          <w:sz w:val="24"/>
          <w:szCs w:val="24"/>
        </w:rPr>
        <w:t>4): 107-142.</w:t>
      </w:r>
    </w:p>
    <w:p w14:paraId="6B52C818" w14:textId="77777777" w:rsidR="00CF7F92" w:rsidRPr="00CF7F92" w:rsidRDefault="00CF7F92" w:rsidP="00CF7F92">
      <w:pPr>
        <w:rPr>
          <w:rFonts w:ascii="Garamond" w:hAnsi="Garamond"/>
          <w:sz w:val="24"/>
          <w:szCs w:val="24"/>
          <w:lang w:val="en-US"/>
        </w:rPr>
      </w:pPr>
      <w:r w:rsidRPr="00CF7F92">
        <w:rPr>
          <w:rFonts w:ascii="Garamond" w:hAnsi="Garamond"/>
          <w:sz w:val="24"/>
          <w:szCs w:val="24"/>
          <w:lang w:val="en-US"/>
        </w:rPr>
        <w:t xml:space="preserve">GRANT, R.M., 2019. The Resource-Based Theory of Competitive Advantage: Implications for Strategy Formulation. </w:t>
      </w:r>
      <w:r w:rsidRPr="00CF7F92">
        <w:rPr>
          <w:rFonts w:ascii="Garamond" w:hAnsi="Garamond"/>
          <w:i/>
          <w:iCs/>
          <w:sz w:val="24"/>
          <w:szCs w:val="24"/>
          <w:lang w:val="en-US"/>
        </w:rPr>
        <w:t>California Management Review</w:t>
      </w:r>
      <w:r w:rsidRPr="00CF7F92">
        <w:rPr>
          <w:rFonts w:ascii="Garamond" w:hAnsi="Garamond"/>
          <w:sz w:val="24"/>
          <w:szCs w:val="24"/>
          <w:lang w:val="en-US"/>
        </w:rPr>
        <w:t>, vol. 33, no. 3, pp. 114–135.</w:t>
      </w:r>
    </w:p>
    <w:p w14:paraId="4475DD49" w14:textId="3A944CD8" w:rsidR="00CF7F92" w:rsidRDefault="00CF7F92" w:rsidP="00CF7F92">
      <w:pPr>
        <w:rPr>
          <w:rFonts w:ascii="Garamond" w:hAnsi="Garamond"/>
          <w:sz w:val="24"/>
          <w:szCs w:val="24"/>
        </w:rPr>
      </w:pPr>
      <w:proofErr w:type="spellStart"/>
      <w:r w:rsidRPr="00CF7F92">
        <w:rPr>
          <w:rFonts w:ascii="Garamond" w:hAnsi="Garamond"/>
          <w:sz w:val="24"/>
          <w:szCs w:val="24"/>
        </w:rPr>
        <w:t>Pospísil</w:t>
      </w:r>
      <w:proofErr w:type="spellEnd"/>
      <w:r w:rsidRPr="00CF7F92">
        <w:rPr>
          <w:rFonts w:ascii="Garamond" w:hAnsi="Garamond"/>
          <w:sz w:val="24"/>
          <w:szCs w:val="24"/>
        </w:rPr>
        <w:t>, M., Mates, V., &amp; Hruska, T. (20</w:t>
      </w:r>
      <w:r>
        <w:rPr>
          <w:rFonts w:ascii="Garamond" w:hAnsi="Garamond"/>
          <w:sz w:val="24"/>
          <w:szCs w:val="24"/>
        </w:rPr>
        <w:t>2</w:t>
      </w:r>
      <w:r w:rsidRPr="00CF7F92">
        <w:rPr>
          <w:rFonts w:ascii="Garamond" w:hAnsi="Garamond"/>
          <w:sz w:val="24"/>
          <w:szCs w:val="24"/>
        </w:rPr>
        <w:t>3). Analysing Resource Performance and its Application.</w:t>
      </w:r>
    </w:p>
    <w:p w14:paraId="3AF5A4A9" w14:textId="77777777" w:rsidR="00250783" w:rsidRPr="00250783" w:rsidRDefault="00250783" w:rsidP="00250783">
      <w:pPr>
        <w:rPr>
          <w:rFonts w:ascii="Garamond" w:hAnsi="Garamond"/>
          <w:sz w:val="24"/>
          <w:szCs w:val="24"/>
          <w:lang w:val="en-US"/>
        </w:rPr>
      </w:pPr>
      <w:r w:rsidRPr="00250783">
        <w:rPr>
          <w:rFonts w:ascii="Garamond" w:hAnsi="Garamond"/>
          <w:sz w:val="24"/>
          <w:szCs w:val="24"/>
          <w:lang w:val="en-US"/>
        </w:rPr>
        <w:t xml:space="preserve">KNOTT, P.J., 2015. Does VRIO help managers evaluate a firm’s resources? </w:t>
      </w:r>
      <w:r w:rsidRPr="00250783">
        <w:rPr>
          <w:rFonts w:ascii="Garamond" w:hAnsi="Garamond"/>
          <w:i/>
          <w:iCs/>
          <w:sz w:val="24"/>
          <w:szCs w:val="24"/>
          <w:lang w:val="en-US"/>
        </w:rPr>
        <w:t>Management Decision</w:t>
      </w:r>
      <w:r w:rsidRPr="00250783">
        <w:rPr>
          <w:rFonts w:ascii="Garamond" w:hAnsi="Garamond"/>
          <w:sz w:val="24"/>
          <w:szCs w:val="24"/>
          <w:lang w:val="en-US"/>
        </w:rPr>
        <w:t>, vol. 53, no. 8, pp. 1806–1822.</w:t>
      </w:r>
    </w:p>
    <w:p w14:paraId="6D6825D4" w14:textId="39C93C8A" w:rsidR="00250783" w:rsidRDefault="00250783" w:rsidP="00CF7F92">
      <w:pPr>
        <w:rPr>
          <w:rFonts w:ascii="Garamond" w:hAnsi="Garamond"/>
          <w:sz w:val="24"/>
          <w:szCs w:val="24"/>
        </w:rPr>
      </w:pPr>
      <w:r w:rsidRPr="00250783">
        <w:rPr>
          <w:rFonts w:ascii="Garamond" w:hAnsi="Garamond"/>
          <w:sz w:val="24"/>
          <w:szCs w:val="24"/>
        </w:rPr>
        <w:t>Simão, J. (20</w:t>
      </w:r>
      <w:r>
        <w:rPr>
          <w:rFonts w:ascii="Garamond" w:hAnsi="Garamond"/>
          <w:sz w:val="24"/>
          <w:szCs w:val="24"/>
        </w:rPr>
        <w:t>2</w:t>
      </w:r>
      <w:r w:rsidRPr="00250783">
        <w:rPr>
          <w:rFonts w:ascii="Garamond" w:hAnsi="Garamond"/>
          <w:sz w:val="24"/>
          <w:szCs w:val="24"/>
        </w:rPr>
        <w:t>3). An extended VRIO model as a framework for sustainable tourism planning: a review. </w:t>
      </w:r>
      <w:r w:rsidRPr="00250783">
        <w:rPr>
          <w:rFonts w:ascii="Garamond" w:hAnsi="Garamond"/>
          <w:i/>
          <w:iCs/>
          <w:sz w:val="24"/>
          <w:szCs w:val="24"/>
        </w:rPr>
        <w:t>WIT Transactions on State-of-the-art in Science and Engineering, 72</w:t>
      </w:r>
      <w:r w:rsidRPr="00250783">
        <w:rPr>
          <w:rFonts w:ascii="Garamond" w:hAnsi="Garamond"/>
          <w:sz w:val="24"/>
          <w:szCs w:val="24"/>
        </w:rPr>
        <w:t>, 71-81.</w:t>
      </w:r>
    </w:p>
    <w:p w14:paraId="57DA45DC" w14:textId="77777777" w:rsidR="005F0F7A" w:rsidRPr="005F0F7A" w:rsidRDefault="005F0F7A" w:rsidP="005F0F7A">
      <w:pPr>
        <w:rPr>
          <w:rFonts w:ascii="Garamond" w:hAnsi="Garamond"/>
          <w:sz w:val="24"/>
          <w:szCs w:val="24"/>
          <w:lang w:val="en-US"/>
        </w:rPr>
      </w:pPr>
      <w:r w:rsidRPr="005F0F7A">
        <w:rPr>
          <w:rFonts w:ascii="Garamond" w:hAnsi="Garamond"/>
          <w:sz w:val="24"/>
          <w:szCs w:val="24"/>
          <w:lang w:val="en-US"/>
        </w:rPr>
        <w:t xml:space="preserve">BRESSER, R.K.F. and POWALLA, C., 2012. Practical implications of the resource-based view. </w:t>
      </w:r>
      <w:proofErr w:type="spellStart"/>
      <w:r w:rsidRPr="005F0F7A">
        <w:rPr>
          <w:rFonts w:ascii="Garamond" w:hAnsi="Garamond"/>
          <w:i/>
          <w:iCs/>
          <w:sz w:val="24"/>
          <w:szCs w:val="24"/>
          <w:lang w:val="en-US"/>
        </w:rPr>
        <w:t>Zeitschrift</w:t>
      </w:r>
      <w:proofErr w:type="spellEnd"/>
      <w:r w:rsidRPr="005F0F7A">
        <w:rPr>
          <w:rFonts w:ascii="Garamond" w:hAnsi="Garamond"/>
          <w:i/>
          <w:iCs/>
          <w:sz w:val="24"/>
          <w:szCs w:val="24"/>
          <w:lang w:val="en-US"/>
        </w:rPr>
        <w:t xml:space="preserve"> für </w:t>
      </w:r>
      <w:proofErr w:type="spellStart"/>
      <w:r w:rsidRPr="005F0F7A">
        <w:rPr>
          <w:rFonts w:ascii="Garamond" w:hAnsi="Garamond"/>
          <w:i/>
          <w:iCs/>
          <w:sz w:val="24"/>
          <w:szCs w:val="24"/>
          <w:lang w:val="en-US"/>
        </w:rPr>
        <w:t>Betriebswirtschaft</w:t>
      </w:r>
      <w:proofErr w:type="spellEnd"/>
      <w:r w:rsidRPr="005F0F7A">
        <w:rPr>
          <w:rFonts w:ascii="Garamond" w:hAnsi="Garamond"/>
          <w:sz w:val="24"/>
          <w:szCs w:val="24"/>
          <w:lang w:val="en-US"/>
        </w:rPr>
        <w:t>, vol. 82, no. 4, pp. 335–359.</w:t>
      </w:r>
    </w:p>
    <w:p w14:paraId="000FD347" w14:textId="77777777" w:rsidR="00A17937" w:rsidRPr="00A17937" w:rsidRDefault="00A17937" w:rsidP="00A17937">
      <w:pPr>
        <w:rPr>
          <w:rFonts w:ascii="Garamond" w:hAnsi="Garamond"/>
          <w:sz w:val="24"/>
          <w:szCs w:val="24"/>
          <w:lang w:val="en-US"/>
        </w:rPr>
      </w:pPr>
      <w:r w:rsidRPr="00A17937">
        <w:rPr>
          <w:rFonts w:ascii="Garamond" w:hAnsi="Garamond"/>
          <w:sz w:val="24"/>
          <w:szCs w:val="24"/>
          <w:lang w:val="en-US"/>
        </w:rPr>
        <w:t xml:space="preserve">VINAYACHANDRA and K., K.P., 2019. Executing Product Broadening Procedures for the Sustainability of an Innovation Organization - A Contextual Analysis of Microsoft Corporation. </w:t>
      </w:r>
      <w:r w:rsidRPr="00A17937">
        <w:rPr>
          <w:rFonts w:ascii="Garamond" w:hAnsi="Garamond"/>
          <w:i/>
          <w:iCs/>
          <w:sz w:val="24"/>
          <w:szCs w:val="24"/>
          <w:lang w:val="en-US"/>
        </w:rPr>
        <w:t>International Journal of Case Studies in Business, IT, and Education</w:t>
      </w:r>
      <w:r w:rsidRPr="00A17937">
        <w:rPr>
          <w:rFonts w:ascii="Garamond" w:hAnsi="Garamond"/>
          <w:sz w:val="24"/>
          <w:szCs w:val="24"/>
          <w:lang w:val="en-US"/>
        </w:rPr>
        <w:t>, pp. 28–40.</w:t>
      </w:r>
    </w:p>
    <w:p w14:paraId="686FE52C" w14:textId="4DA316D5" w:rsidR="004A60CF" w:rsidRPr="004A60CF" w:rsidRDefault="004A60CF" w:rsidP="004A60CF">
      <w:pPr>
        <w:rPr>
          <w:rFonts w:ascii="Garamond" w:hAnsi="Garamond"/>
          <w:sz w:val="24"/>
          <w:szCs w:val="24"/>
          <w:lang w:val="en-US"/>
        </w:rPr>
      </w:pPr>
      <w:r w:rsidRPr="004A60CF">
        <w:rPr>
          <w:rFonts w:ascii="Garamond" w:hAnsi="Garamond"/>
          <w:sz w:val="24"/>
          <w:szCs w:val="24"/>
          <w:lang w:val="en-US"/>
        </w:rPr>
        <w:t>NEWBERT, S.L., 20</w:t>
      </w:r>
      <w:r>
        <w:rPr>
          <w:rFonts w:ascii="Garamond" w:hAnsi="Garamond"/>
          <w:sz w:val="24"/>
          <w:szCs w:val="24"/>
          <w:lang w:val="en-US"/>
        </w:rPr>
        <w:t>1</w:t>
      </w:r>
      <w:r w:rsidRPr="004A60CF">
        <w:rPr>
          <w:rFonts w:ascii="Garamond" w:hAnsi="Garamond"/>
          <w:sz w:val="24"/>
          <w:szCs w:val="24"/>
          <w:lang w:val="en-US"/>
        </w:rPr>
        <w:t>8. Value, rareness, competitive advantage, and performance: a conceptual</w:t>
      </w:r>
      <w:r w:rsidRPr="004A60CF">
        <w:rPr>
          <w:rFonts w:ascii="Times New Roman" w:hAnsi="Times New Roman" w:cs="Times New Roman"/>
          <w:sz w:val="24"/>
          <w:szCs w:val="24"/>
          <w:lang w:val="en-US"/>
        </w:rPr>
        <w:t>‐</w:t>
      </w:r>
      <w:r w:rsidRPr="004A60CF">
        <w:rPr>
          <w:rFonts w:ascii="Garamond" w:hAnsi="Garamond"/>
          <w:sz w:val="24"/>
          <w:szCs w:val="24"/>
          <w:lang w:val="en-US"/>
        </w:rPr>
        <w:t>level empirical investigation of the resource</w:t>
      </w:r>
      <w:r w:rsidRPr="004A60CF">
        <w:rPr>
          <w:rFonts w:ascii="Times New Roman" w:hAnsi="Times New Roman" w:cs="Times New Roman"/>
          <w:sz w:val="24"/>
          <w:szCs w:val="24"/>
          <w:lang w:val="en-US"/>
        </w:rPr>
        <w:t>‐</w:t>
      </w:r>
      <w:r w:rsidRPr="004A60CF">
        <w:rPr>
          <w:rFonts w:ascii="Garamond" w:hAnsi="Garamond"/>
          <w:sz w:val="24"/>
          <w:szCs w:val="24"/>
          <w:lang w:val="en-US"/>
        </w:rPr>
        <w:t xml:space="preserve">based view of the firm. </w:t>
      </w:r>
      <w:r w:rsidRPr="004A60CF">
        <w:rPr>
          <w:rFonts w:ascii="Garamond" w:hAnsi="Garamond"/>
          <w:i/>
          <w:iCs/>
          <w:sz w:val="24"/>
          <w:szCs w:val="24"/>
          <w:lang w:val="en-US"/>
        </w:rPr>
        <w:t>Strategic Management Journal</w:t>
      </w:r>
      <w:r w:rsidRPr="004A60CF">
        <w:rPr>
          <w:rFonts w:ascii="Garamond" w:hAnsi="Garamond"/>
          <w:sz w:val="24"/>
          <w:szCs w:val="24"/>
          <w:lang w:val="en-US"/>
        </w:rPr>
        <w:t>, vol. 29, no. 7, pp. 745–768.</w:t>
      </w:r>
    </w:p>
    <w:p w14:paraId="5EB01992" w14:textId="77777777" w:rsidR="005C155D" w:rsidRPr="005C155D" w:rsidRDefault="005C155D" w:rsidP="005C155D">
      <w:pPr>
        <w:rPr>
          <w:rFonts w:ascii="Garamond" w:hAnsi="Garamond"/>
          <w:sz w:val="24"/>
          <w:szCs w:val="24"/>
          <w:lang w:val="en-US"/>
        </w:rPr>
      </w:pPr>
      <w:r w:rsidRPr="005C155D">
        <w:rPr>
          <w:rFonts w:ascii="Garamond" w:hAnsi="Garamond"/>
          <w:sz w:val="24"/>
          <w:szCs w:val="24"/>
          <w:lang w:val="en-US"/>
        </w:rPr>
        <w:t>HULTEN, C., 2010. Decoding Microsoft: Intangible Capital as a Source of Company Growth.</w:t>
      </w:r>
    </w:p>
    <w:p w14:paraId="4ABDC1D6" w14:textId="48DAF50B" w:rsidR="005C155D" w:rsidRDefault="005C155D" w:rsidP="00CF7F92">
      <w:pPr>
        <w:rPr>
          <w:rFonts w:ascii="Garamond" w:hAnsi="Garamond"/>
          <w:sz w:val="24"/>
          <w:szCs w:val="24"/>
        </w:rPr>
      </w:pPr>
      <w:r w:rsidRPr="005C155D">
        <w:rPr>
          <w:rFonts w:ascii="Garamond" w:hAnsi="Garamond"/>
          <w:sz w:val="24"/>
          <w:szCs w:val="24"/>
        </w:rPr>
        <w:t>Miller, R. (2018). Leadership During Microsoft’s Turnaround. Forbes.</w:t>
      </w:r>
    </w:p>
    <w:p w14:paraId="122126B4" w14:textId="2147ECD4" w:rsidR="00517893" w:rsidRPr="00CF7F92" w:rsidRDefault="00517893" w:rsidP="00CF7F92">
      <w:pPr>
        <w:rPr>
          <w:rFonts w:ascii="Garamond" w:hAnsi="Garamond"/>
          <w:sz w:val="24"/>
          <w:szCs w:val="24"/>
        </w:rPr>
      </w:pPr>
      <w:r w:rsidRPr="00517893">
        <w:rPr>
          <w:rFonts w:ascii="Garamond" w:hAnsi="Garamond"/>
          <w:sz w:val="24"/>
          <w:szCs w:val="24"/>
        </w:rPr>
        <w:t>Pratap, Abhijeet. “MICROSOFT VRIO ANALYSIS.” </w:t>
      </w:r>
      <w:r w:rsidRPr="00517893">
        <w:rPr>
          <w:rFonts w:ascii="Garamond" w:hAnsi="Garamond"/>
          <w:i/>
          <w:iCs/>
          <w:sz w:val="24"/>
          <w:szCs w:val="24"/>
        </w:rPr>
        <w:t>Cheshnotes.com</w:t>
      </w:r>
      <w:r w:rsidRPr="00517893">
        <w:rPr>
          <w:rFonts w:ascii="Garamond" w:hAnsi="Garamond"/>
          <w:sz w:val="24"/>
          <w:szCs w:val="24"/>
        </w:rPr>
        <w:t xml:space="preserve">. </w:t>
      </w:r>
      <w:proofErr w:type="spellStart"/>
      <w:r w:rsidRPr="00517893">
        <w:rPr>
          <w:rFonts w:ascii="Garamond" w:hAnsi="Garamond"/>
          <w:sz w:val="24"/>
          <w:szCs w:val="24"/>
        </w:rPr>
        <w:t>N.p.</w:t>
      </w:r>
      <w:proofErr w:type="spellEnd"/>
      <w:r w:rsidRPr="00517893">
        <w:rPr>
          <w:rFonts w:ascii="Garamond" w:hAnsi="Garamond"/>
          <w:sz w:val="24"/>
          <w:szCs w:val="24"/>
        </w:rPr>
        <w:t>, 2020. Web. 15 Jan. 2020.</w:t>
      </w:r>
    </w:p>
    <w:sectPr w:rsidR="00517893" w:rsidRPr="00CF7F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3F7F49"/>
    <w:multiLevelType w:val="hybridMultilevel"/>
    <w:tmpl w:val="9AB83594"/>
    <w:lvl w:ilvl="0" w:tplc="7D64FCB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951E33"/>
    <w:multiLevelType w:val="hybridMultilevel"/>
    <w:tmpl w:val="7A081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C3C66FA"/>
    <w:multiLevelType w:val="hybridMultilevel"/>
    <w:tmpl w:val="8D4AB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83882562">
    <w:abstractNumId w:val="1"/>
  </w:num>
  <w:num w:numId="2" w16cid:durableId="1014918334">
    <w:abstractNumId w:val="2"/>
  </w:num>
  <w:num w:numId="3" w16cid:durableId="10612494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718"/>
    <w:rsid w:val="001026FD"/>
    <w:rsid w:val="00250783"/>
    <w:rsid w:val="002F6718"/>
    <w:rsid w:val="00466F65"/>
    <w:rsid w:val="004A60CF"/>
    <w:rsid w:val="00517893"/>
    <w:rsid w:val="005A3FF3"/>
    <w:rsid w:val="005C155D"/>
    <w:rsid w:val="005F0F7A"/>
    <w:rsid w:val="0078730D"/>
    <w:rsid w:val="00884545"/>
    <w:rsid w:val="00892643"/>
    <w:rsid w:val="009630E9"/>
    <w:rsid w:val="00A17937"/>
    <w:rsid w:val="00B106FF"/>
    <w:rsid w:val="00B47A42"/>
    <w:rsid w:val="00C76F7A"/>
    <w:rsid w:val="00CF7F92"/>
    <w:rsid w:val="00D13BBE"/>
    <w:rsid w:val="00DA5746"/>
    <w:rsid w:val="00EF3779"/>
    <w:rsid w:val="00F2229E"/>
    <w:rsid w:val="00FA0E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37B34"/>
  <w15:chartTrackingRefBased/>
  <w15:docId w15:val="{35E99D44-592A-4660-9ECE-0240A8DCE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2F67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F67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F67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F67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67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67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67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67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67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6718"/>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2F6718"/>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2F6718"/>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2F6718"/>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2F6718"/>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2F6718"/>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2F6718"/>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2F6718"/>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2F6718"/>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2F67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6718"/>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2F67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6718"/>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2F6718"/>
    <w:pPr>
      <w:spacing w:before="160"/>
      <w:jc w:val="center"/>
    </w:pPr>
    <w:rPr>
      <w:i/>
      <w:iCs/>
      <w:color w:val="404040" w:themeColor="text1" w:themeTint="BF"/>
    </w:rPr>
  </w:style>
  <w:style w:type="character" w:customStyle="1" w:styleId="QuoteChar">
    <w:name w:val="Quote Char"/>
    <w:basedOn w:val="DefaultParagraphFont"/>
    <w:link w:val="Quote"/>
    <w:uiPriority w:val="29"/>
    <w:rsid w:val="002F6718"/>
    <w:rPr>
      <w:i/>
      <w:iCs/>
      <w:color w:val="404040" w:themeColor="text1" w:themeTint="BF"/>
      <w:lang w:val="en-GB"/>
    </w:rPr>
  </w:style>
  <w:style w:type="paragraph" w:styleId="ListParagraph">
    <w:name w:val="List Paragraph"/>
    <w:basedOn w:val="Normal"/>
    <w:uiPriority w:val="34"/>
    <w:qFormat/>
    <w:rsid w:val="002F6718"/>
    <w:pPr>
      <w:ind w:left="720"/>
      <w:contextualSpacing/>
    </w:pPr>
  </w:style>
  <w:style w:type="character" w:styleId="IntenseEmphasis">
    <w:name w:val="Intense Emphasis"/>
    <w:basedOn w:val="DefaultParagraphFont"/>
    <w:uiPriority w:val="21"/>
    <w:qFormat/>
    <w:rsid w:val="002F6718"/>
    <w:rPr>
      <w:i/>
      <w:iCs/>
      <w:color w:val="0F4761" w:themeColor="accent1" w:themeShade="BF"/>
    </w:rPr>
  </w:style>
  <w:style w:type="paragraph" w:styleId="IntenseQuote">
    <w:name w:val="Intense Quote"/>
    <w:basedOn w:val="Normal"/>
    <w:next w:val="Normal"/>
    <w:link w:val="IntenseQuoteChar"/>
    <w:uiPriority w:val="30"/>
    <w:qFormat/>
    <w:rsid w:val="002F67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6718"/>
    <w:rPr>
      <w:i/>
      <w:iCs/>
      <w:color w:val="0F4761" w:themeColor="accent1" w:themeShade="BF"/>
      <w:lang w:val="en-GB"/>
    </w:rPr>
  </w:style>
  <w:style w:type="character" w:styleId="IntenseReference">
    <w:name w:val="Intense Reference"/>
    <w:basedOn w:val="DefaultParagraphFont"/>
    <w:uiPriority w:val="32"/>
    <w:qFormat/>
    <w:rsid w:val="002F6718"/>
    <w:rPr>
      <w:b/>
      <w:bCs/>
      <w:smallCaps/>
      <w:color w:val="0F4761" w:themeColor="accent1" w:themeShade="BF"/>
      <w:spacing w:val="5"/>
    </w:rPr>
  </w:style>
  <w:style w:type="table" w:styleId="TableGrid">
    <w:name w:val="Table Grid"/>
    <w:basedOn w:val="TableNormal"/>
    <w:uiPriority w:val="39"/>
    <w:rsid w:val="00A179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b-2">
    <w:name w:val="pb-2"/>
    <w:basedOn w:val="Normal"/>
    <w:rsid w:val="009630E9"/>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61640">
      <w:bodyDiv w:val="1"/>
      <w:marLeft w:val="0"/>
      <w:marRight w:val="0"/>
      <w:marTop w:val="0"/>
      <w:marBottom w:val="0"/>
      <w:divBdr>
        <w:top w:val="none" w:sz="0" w:space="0" w:color="auto"/>
        <w:left w:val="none" w:sz="0" w:space="0" w:color="auto"/>
        <w:bottom w:val="none" w:sz="0" w:space="0" w:color="auto"/>
        <w:right w:val="none" w:sz="0" w:space="0" w:color="auto"/>
      </w:divBdr>
    </w:div>
    <w:div w:id="139884889">
      <w:bodyDiv w:val="1"/>
      <w:marLeft w:val="0"/>
      <w:marRight w:val="0"/>
      <w:marTop w:val="0"/>
      <w:marBottom w:val="0"/>
      <w:divBdr>
        <w:top w:val="none" w:sz="0" w:space="0" w:color="auto"/>
        <w:left w:val="none" w:sz="0" w:space="0" w:color="auto"/>
        <w:bottom w:val="none" w:sz="0" w:space="0" w:color="auto"/>
        <w:right w:val="none" w:sz="0" w:space="0" w:color="auto"/>
      </w:divBdr>
    </w:div>
    <w:div w:id="241646733">
      <w:bodyDiv w:val="1"/>
      <w:marLeft w:val="0"/>
      <w:marRight w:val="0"/>
      <w:marTop w:val="0"/>
      <w:marBottom w:val="0"/>
      <w:divBdr>
        <w:top w:val="none" w:sz="0" w:space="0" w:color="auto"/>
        <w:left w:val="none" w:sz="0" w:space="0" w:color="auto"/>
        <w:bottom w:val="none" w:sz="0" w:space="0" w:color="auto"/>
        <w:right w:val="none" w:sz="0" w:space="0" w:color="auto"/>
      </w:divBdr>
    </w:div>
    <w:div w:id="285040024">
      <w:bodyDiv w:val="1"/>
      <w:marLeft w:val="0"/>
      <w:marRight w:val="0"/>
      <w:marTop w:val="0"/>
      <w:marBottom w:val="0"/>
      <w:divBdr>
        <w:top w:val="none" w:sz="0" w:space="0" w:color="auto"/>
        <w:left w:val="none" w:sz="0" w:space="0" w:color="auto"/>
        <w:bottom w:val="none" w:sz="0" w:space="0" w:color="auto"/>
        <w:right w:val="none" w:sz="0" w:space="0" w:color="auto"/>
      </w:divBdr>
    </w:div>
    <w:div w:id="318921893">
      <w:bodyDiv w:val="1"/>
      <w:marLeft w:val="0"/>
      <w:marRight w:val="0"/>
      <w:marTop w:val="0"/>
      <w:marBottom w:val="0"/>
      <w:divBdr>
        <w:top w:val="none" w:sz="0" w:space="0" w:color="auto"/>
        <w:left w:val="none" w:sz="0" w:space="0" w:color="auto"/>
        <w:bottom w:val="none" w:sz="0" w:space="0" w:color="auto"/>
        <w:right w:val="none" w:sz="0" w:space="0" w:color="auto"/>
      </w:divBdr>
    </w:div>
    <w:div w:id="361981111">
      <w:bodyDiv w:val="1"/>
      <w:marLeft w:val="0"/>
      <w:marRight w:val="0"/>
      <w:marTop w:val="0"/>
      <w:marBottom w:val="0"/>
      <w:divBdr>
        <w:top w:val="none" w:sz="0" w:space="0" w:color="auto"/>
        <w:left w:val="none" w:sz="0" w:space="0" w:color="auto"/>
        <w:bottom w:val="none" w:sz="0" w:space="0" w:color="auto"/>
        <w:right w:val="none" w:sz="0" w:space="0" w:color="auto"/>
      </w:divBdr>
    </w:div>
    <w:div w:id="610746304">
      <w:bodyDiv w:val="1"/>
      <w:marLeft w:val="0"/>
      <w:marRight w:val="0"/>
      <w:marTop w:val="0"/>
      <w:marBottom w:val="0"/>
      <w:divBdr>
        <w:top w:val="none" w:sz="0" w:space="0" w:color="auto"/>
        <w:left w:val="none" w:sz="0" w:space="0" w:color="auto"/>
        <w:bottom w:val="none" w:sz="0" w:space="0" w:color="auto"/>
        <w:right w:val="none" w:sz="0" w:space="0" w:color="auto"/>
      </w:divBdr>
    </w:div>
    <w:div w:id="756092812">
      <w:bodyDiv w:val="1"/>
      <w:marLeft w:val="0"/>
      <w:marRight w:val="0"/>
      <w:marTop w:val="0"/>
      <w:marBottom w:val="0"/>
      <w:divBdr>
        <w:top w:val="none" w:sz="0" w:space="0" w:color="auto"/>
        <w:left w:val="none" w:sz="0" w:space="0" w:color="auto"/>
        <w:bottom w:val="none" w:sz="0" w:space="0" w:color="auto"/>
        <w:right w:val="none" w:sz="0" w:space="0" w:color="auto"/>
      </w:divBdr>
    </w:div>
    <w:div w:id="895580352">
      <w:bodyDiv w:val="1"/>
      <w:marLeft w:val="0"/>
      <w:marRight w:val="0"/>
      <w:marTop w:val="0"/>
      <w:marBottom w:val="0"/>
      <w:divBdr>
        <w:top w:val="none" w:sz="0" w:space="0" w:color="auto"/>
        <w:left w:val="none" w:sz="0" w:space="0" w:color="auto"/>
        <w:bottom w:val="none" w:sz="0" w:space="0" w:color="auto"/>
        <w:right w:val="none" w:sz="0" w:space="0" w:color="auto"/>
      </w:divBdr>
    </w:div>
    <w:div w:id="1186752069">
      <w:bodyDiv w:val="1"/>
      <w:marLeft w:val="0"/>
      <w:marRight w:val="0"/>
      <w:marTop w:val="0"/>
      <w:marBottom w:val="0"/>
      <w:divBdr>
        <w:top w:val="none" w:sz="0" w:space="0" w:color="auto"/>
        <w:left w:val="none" w:sz="0" w:space="0" w:color="auto"/>
        <w:bottom w:val="none" w:sz="0" w:space="0" w:color="auto"/>
        <w:right w:val="none" w:sz="0" w:space="0" w:color="auto"/>
      </w:divBdr>
    </w:div>
    <w:div w:id="1199972600">
      <w:bodyDiv w:val="1"/>
      <w:marLeft w:val="0"/>
      <w:marRight w:val="0"/>
      <w:marTop w:val="0"/>
      <w:marBottom w:val="0"/>
      <w:divBdr>
        <w:top w:val="none" w:sz="0" w:space="0" w:color="auto"/>
        <w:left w:val="none" w:sz="0" w:space="0" w:color="auto"/>
        <w:bottom w:val="none" w:sz="0" w:space="0" w:color="auto"/>
        <w:right w:val="none" w:sz="0" w:space="0" w:color="auto"/>
      </w:divBdr>
    </w:div>
    <w:div w:id="1336299117">
      <w:bodyDiv w:val="1"/>
      <w:marLeft w:val="0"/>
      <w:marRight w:val="0"/>
      <w:marTop w:val="0"/>
      <w:marBottom w:val="0"/>
      <w:divBdr>
        <w:top w:val="none" w:sz="0" w:space="0" w:color="auto"/>
        <w:left w:val="none" w:sz="0" w:space="0" w:color="auto"/>
        <w:bottom w:val="none" w:sz="0" w:space="0" w:color="auto"/>
        <w:right w:val="none" w:sz="0" w:space="0" w:color="auto"/>
      </w:divBdr>
    </w:div>
    <w:div w:id="1350330857">
      <w:bodyDiv w:val="1"/>
      <w:marLeft w:val="0"/>
      <w:marRight w:val="0"/>
      <w:marTop w:val="0"/>
      <w:marBottom w:val="0"/>
      <w:divBdr>
        <w:top w:val="none" w:sz="0" w:space="0" w:color="auto"/>
        <w:left w:val="none" w:sz="0" w:space="0" w:color="auto"/>
        <w:bottom w:val="none" w:sz="0" w:space="0" w:color="auto"/>
        <w:right w:val="none" w:sz="0" w:space="0" w:color="auto"/>
      </w:divBdr>
    </w:div>
    <w:div w:id="1498109011">
      <w:bodyDiv w:val="1"/>
      <w:marLeft w:val="0"/>
      <w:marRight w:val="0"/>
      <w:marTop w:val="0"/>
      <w:marBottom w:val="0"/>
      <w:divBdr>
        <w:top w:val="none" w:sz="0" w:space="0" w:color="auto"/>
        <w:left w:val="none" w:sz="0" w:space="0" w:color="auto"/>
        <w:bottom w:val="none" w:sz="0" w:space="0" w:color="auto"/>
        <w:right w:val="none" w:sz="0" w:space="0" w:color="auto"/>
      </w:divBdr>
    </w:div>
    <w:div w:id="1509371830">
      <w:bodyDiv w:val="1"/>
      <w:marLeft w:val="0"/>
      <w:marRight w:val="0"/>
      <w:marTop w:val="0"/>
      <w:marBottom w:val="0"/>
      <w:divBdr>
        <w:top w:val="none" w:sz="0" w:space="0" w:color="auto"/>
        <w:left w:val="none" w:sz="0" w:space="0" w:color="auto"/>
        <w:bottom w:val="none" w:sz="0" w:space="0" w:color="auto"/>
        <w:right w:val="none" w:sz="0" w:space="0" w:color="auto"/>
      </w:divBdr>
    </w:div>
    <w:div w:id="1639188386">
      <w:bodyDiv w:val="1"/>
      <w:marLeft w:val="0"/>
      <w:marRight w:val="0"/>
      <w:marTop w:val="0"/>
      <w:marBottom w:val="0"/>
      <w:divBdr>
        <w:top w:val="none" w:sz="0" w:space="0" w:color="auto"/>
        <w:left w:val="none" w:sz="0" w:space="0" w:color="auto"/>
        <w:bottom w:val="none" w:sz="0" w:space="0" w:color="auto"/>
        <w:right w:val="none" w:sz="0" w:space="0" w:color="auto"/>
      </w:divBdr>
    </w:div>
    <w:div w:id="1664770752">
      <w:bodyDiv w:val="1"/>
      <w:marLeft w:val="0"/>
      <w:marRight w:val="0"/>
      <w:marTop w:val="0"/>
      <w:marBottom w:val="0"/>
      <w:divBdr>
        <w:top w:val="none" w:sz="0" w:space="0" w:color="auto"/>
        <w:left w:val="none" w:sz="0" w:space="0" w:color="auto"/>
        <w:bottom w:val="none" w:sz="0" w:space="0" w:color="auto"/>
        <w:right w:val="none" w:sz="0" w:space="0" w:color="auto"/>
      </w:divBdr>
    </w:div>
    <w:div w:id="1717851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316</TotalTime>
  <Pages>4</Pages>
  <Words>1211</Words>
  <Characters>6908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Ilias Shittu-Gbeko</dc:creator>
  <cp:keywords/>
  <dc:description/>
  <cp:lastModifiedBy>Ilias Shittu-Gbeko</cp:lastModifiedBy>
  <cp:revision>16</cp:revision>
  <dcterms:created xsi:type="dcterms:W3CDTF">2024-02-12T11:16:00Z</dcterms:created>
  <dcterms:modified xsi:type="dcterms:W3CDTF">2024-02-13T14:34:00Z</dcterms:modified>
</cp:coreProperties>
</file>