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51D09" w14:textId="77777777" w:rsidR="00C774D7" w:rsidRPr="00337707" w:rsidRDefault="00000000">
      <w:pPr>
        <w:pStyle w:val="Heading1"/>
        <w:jc w:val="center"/>
      </w:pPr>
      <w:bookmarkStart w:id="0" w:name="_Toc158742350"/>
      <w:bookmarkStart w:id="1" w:name="_Toc159156420"/>
      <w:r w:rsidRPr="00337707">
        <w:t>EXECUTIVE SUMMARY</w:t>
      </w:r>
      <w:bookmarkEnd w:id="0"/>
      <w:bookmarkEnd w:id="1"/>
    </w:p>
    <w:p w14:paraId="2D4281FB" w14:textId="76D5CDA4" w:rsidR="00FE3DBB" w:rsidRPr="00337707" w:rsidRDefault="00FE3DBB">
      <w:r w:rsidRPr="00337707">
        <w:t>The goal</w:t>
      </w:r>
      <w:r w:rsidRPr="00337707">
        <w:t xml:space="preserve"> of this report is to perform an analysis of Microsoft, to identify key strategic issues, to outline a change management plan, to provide recommendations for sustained competitive advantage. It examines PESTEL, macroenvironments, and resource-based frameworks to gain insight into Microsoft's internal and external environments. The macro-environmental analysis indicates that Microsoft must adapt to mobile-centric trends because of political complexities, economic influences, and technological changes. Microsoft has a competitive advantage because of its core competencies, including brand recognition, financial success, product portfolio, technological advancement, and talented human resources. Strategic challenges include obstacles to innovation and resistance to change, which threaten the company's success.</w:t>
      </w:r>
    </w:p>
    <w:p w14:paraId="4CA50F16" w14:textId="77777777" w:rsidR="00FE3DBB" w:rsidRPr="00337707" w:rsidRDefault="00FE3DBB" w:rsidP="00FE3DBB">
      <w:r w:rsidRPr="00337707">
        <w:t>The report discusses Microsoft's strategic options, including developing innovative software, forming strategic alliances, prioritizing artificial intelligence, expanding its product portfolio, and enhancing positive externalities. SP-ROA's implementation roadmap incorporates key components including configuration management, change contexts, communication, and adaptive strategies.</w:t>
      </w:r>
    </w:p>
    <w:p w14:paraId="6DD4B7EC" w14:textId="00452724" w:rsidR="00C774D7" w:rsidRPr="00337707" w:rsidRDefault="00FE3DBB" w:rsidP="00FE3DBB">
      <w:r w:rsidRPr="00337707">
        <w:t xml:space="preserve">To conclude, Microsoft's success relies on its ability to stay abreast of technological advances, navigate a competitive environment, and adapt to ever-changing regulatory requirements. By strategically addressing internal challenges, fostering innovation, and forming strategic alliances, Microsoft can maintain its market position as well as grow in a dynamic and changing technology marketplace. </w:t>
      </w:r>
      <w:r w:rsidR="00000000" w:rsidRPr="00337707">
        <w:br w:type="page"/>
      </w:r>
    </w:p>
    <w:p w14:paraId="280DFA7F" w14:textId="5FD1C453" w:rsidR="00C774D7" w:rsidRPr="00F23477" w:rsidRDefault="00000000" w:rsidP="00F23477">
      <w:pPr>
        <w:pStyle w:val="Heading1"/>
        <w:jc w:val="center"/>
      </w:pPr>
      <w:bookmarkStart w:id="2" w:name="_Toc158742351"/>
      <w:bookmarkStart w:id="3" w:name="_Toc159156421"/>
      <w:r w:rsidRPr="00337707">
        <w:lastRenderedPageBreak/>
        <w:t>TABLE OF CONTENTS</w:t>
      </w:r>
      <w:bookmarkEnd w:id="2"/>
      <w:bookmarkEnd w:id="3"/>
    </w:p>
    <w:p w14:paraId="6F5DC9C3" w14:textId="55C9FB82" w:rsidR="007462A6" w:rsidRDefault="007462A6">
      <w:pPr>
        <w:pStyle w:val="TOC1"/>
        <w:rPr>
          <w:rFonts w:asciiTheme="minorHAnsi" w:eastAsiaTheme="minorEastAsia" w:hAnsiTheme="minorHAnsi" w:cstheme="minorBidi"/>
          <w:b w:val="0"/>
          <w:kern w:val="2"/>
          <w:szCs w:val="24"/>
          <w:lang w:val="en-US"/>
          <w14:ligatures w14:val="standardContextual"/>
        </w:rPr>
      </w:pPr>
      <w:r>
        <w:rPr>
          <w:b w:val="0"/>
          <w:sz w:val="32"/>
        </w:rPr>
        <w:fldChar w:fldCharType="begin"/>
      </w:r>
      <w:r>
        <w:rPr>
          <w:b w:val="0"/>
          <w:sz w:val="32"/>
        </w:rPr>
        <w:instrText xml:space="preserve"> TOC \o "1-2" \h \z \u </w:instrText>
      </w:r>
      <w:r>
        <w:rPr>
          <w:b w:val="0"/>
          <w:sz w:val="32"/>
        </w:rPr>
        <w:fldChar w:fldCharType="separate"/>
      </w:r>
      <w:hyperlink w:anchor="_Toc159156420" w:history="1">
        <w:r w:rsidRPr="00B8500A">
          <w:rPr>
            <w:rStyle w:val="Hyperlink"/>
          </w:rPr>
          <w:t>EXECUTIVE SUMMARY</w:t>
        </w:r>
        <w:r>
          <w:rPr>
            <w:webHidden/>
          </w:rPr>
          <w:tab/>
        </w:r>
        <w:r>
          <w:rPr>
            <w:webHidden/>
          </w:rPr>
          <w:fldChar w:fldCharType="begin"/>
        </w:r>
        <w:r>
          <w:rPr>
            <w:webHidden/>
          </w:rPr>
          <w:instrText xml:space="preserve"> PAGEREF _Toc159156420 \h </w:instrText>
        </w:r>
        <w:r>
          <w:rPr>
            <w:webHidden/>
          </w:rPr>
        </w:r>
        <w:r>
          <w:rPr>
            <w:webHidden/>
          </w:rPr>
          <w:fldChar w:fldCharType="separate"/>
        </w:r>
        <w:r>
          <w:rPr>
            <w:webHidden/>
          </w:rPr>
          <w:t>1</w:t>
        </w:r>
        <w:r>
          <w:rPr>
            <w:webHidden/>
          </w:rPr>
          <w:fldChar w:fldCharType="end"/>
        </w:r>
      </w:hyperlink>
    </w:p>
    <w:p w14:paraId="7C121F65" w14:textId="3F0CF06A" w:rsidR="007462A6" w:rsidRDefault="007462A6">
      <w:pPr>
        <w:pStyle w:val="TOC1"/>
        <w:rPr>
          <w:rFonts w:asciiTheme="minorHAnsi" w:eastAsiaTheme="minorEastAsia" w:hAnsiTheme="minorHAnsi" w:cstheme="minorBidi"/>
          <w:b w:val="0"/>
          <w:kern w:val="2"/>
          <w:szCs w:val="24"/>
          <w:lang w:val="en-US"/>
          <w14:ligatures w14:val="standardContextual"/>
        </w:rPr>
      </w:pPr>
      <w:hyperlink w:anchor="_Toc159156421" w:history="1">
        <w:r w:rsidRPr="00B8500A">
          <w:rPr>
            <w:rStyle w:val="Hyperlink"/>
          </w:rPr>
          <w:t>TABLE OF CONTENTS</w:t>
        </w:r>
        <w:r>
          <w:rPr>
            <w:webHidden/>
          </w:rPr>
          <w:tab/>
        </w:r>
        <w:r>
          <w:rPr>
            <w:webHidden/>
          </w:rPr>
          <w:fldChar w:fldCharType="begin"/>
        </w:r>
        <w:r>
          <w:rPr>
            <w:webHidden/>
          </w:rPr>
          <w:instrText xml:space="preserve"> PAGEREF _Toc159156421 \h </w:instrText>
        </w:r>
        <w:r>
          <w:rPr>
            <w:webHidden/>
          </w:rPr>
        </w:r>
        <w:r>
          <w:rPr>
            <w:webHidden/>
          </w:rPr>
          <w:fldChar w:fldCharType="separate"/>
        </w:r>
        <w:r>
          <w:rPr>
            <w:webHidden/>
          </w:rPr>
          <w:t>2</w:t>
        </w:r>
        <w:r>
          <w:rPr>
            <w:webHidden/>
          </w:rPr>
          <w:fldChar w:fldCharType="end"/>
        </w:r>
      </w:hyperlink>
    </w:p>
    <w:p w14:paraId="5E4B52B6" w14:textId="67222118" w:rsidR="007462A6" w:rsidRDefault="007462A6">
      <w:pPr>
        <w:pStyle w:val="TOC1"/>
        <w:rPr>
          <w:rFonts w:asciiTheme="minorHAnsi" w:eastAsiaTheme="minorEastAsia" w:hAnsiTheme="minorHAnsi" w:cstheme="minorBidi"/>
          <w:b w:val="0"/>
          <w:kern w:val="2"/>
          <w:szCs w:val="24"/>
          <w:lang w:val="en-US"/>
          <w14:ligatures w14:val="standardContextual"/>
        </w:rPr>
      </w:pPr>
      <w:hyperlink w:anchor="_Toc159156422" w:history="1">
        <w:r w:rsidRPr="00B8500A">
          <w:rPr>
            <w:rStyle w:val="Hyperlink"/>
          </w:rPr>
          <w:t>TABLE OF FIGURES</w:t>
        </w:r>
        <w:r>
          <w:rPr>
            <w:webHidden/>
          </w:rPr>
          <w:tab/>
        </w:r>
        <w:r>
          <w:rPr>
            <w:webHidden/>
          </w:rPr>
          <w:fldChar w:fldCharType="begin"/>
        </w:r>
        <w:r>
          <w:rPr>
            <w:webHidden/>
          </w:rPr>
          <w:instrText xml:space="preserve"> PAGEREF _Toc159156422 \h </w:instrText>
        </w:r>
        <w:r>
          <w:rPr>
            <w:webHidden/>
          </w:rPr>
        </w:r>
        <w:r>
          <w:rPr>
            <w:webHidden/>
          </w:rPr>
          <w:fldChar w:fldCharType="separate"/>
        </w:r>
        <w:r>
          <w:rPr>
            <w:webHidden/>
          </w:rPr>
          <w:t>3</w:t>
        </w:r>
        <w:r>
          <w:rPr>
            <w:webHidden/>
          </w:rPr>
          <w:fldChar w:fldCharType="end"/>
        </w:r>
      </w:hyperlink>
    </w:p>
    <w:p w14:paraId="0AB0F50D" w14:textId="189C7708" w:rsidR="007462A6" w:rsidRDefault="007462A6">
      <w:pPr>
        <w:pStyle w:val="TOC1"/>
        <w:rPr>
          <w:rFonts w:asciiTheme="minorHAnsi" w:eastAsiaTheme="minorEastAsia" w:hAnsiTheme="minorHAnsi" w:cstheme="minorBidi"/>
          <w:b w:val="0"/>
          <w:kern w:val="2"/>
          <w:szCs w:val="24"/>
          <w:lang w:val="en-US"/>
          <w14:ligatures w14:val="standardContextual"/>
        </w:rPr>
      </w:pPr>
      <w:hyperlink w:anchor="_Toc159156423" w:history="1">
        <w:r w:rsidRPr="00B8500A">
          <w:rPr>
            <w:rStyle w:val="Hyperlink"/>
          </w:rPr>
          <w:t>INTRODUCTION</w:t>
        </w:r>
        <w:r>
          <w:rPr>
            <w:webHidden/>
          </w:rPr>
          <w:tab/>
        </w:r>
        <w:r>
          <w:rPr>
            <w:webHidden/>
          </w:rPr>
          <w:fldChar w:fldCharType="begin"/>
        </w:r>
        <w:r>
          <w:rPr>
            <w:webHidden/>
          </w:rPr>
          <w:instrText xml:space="preserve"> PAGEREF _Toc159156423 \h </w:instrText>
        </w:r>
        <w:r>
          <w:rPr>
            <w:webHidden/>
          </w:rPr>
        </w:r>
        <w:r>
          <w:rPr>
            <w:webHidden/>
          </w:rPr>
          <w:fldChar w:fldCharType="separate"/>
        </w:r>
        <w:r>
          <w:rPr>
            <w:webHidden/>
          </w:rPr>
          <w:t>4</w:t>
        </w:r>
        <w:r>
          <w:rPr>
            <w:webHidden/>
          </w:rPr>
          <w:fldChar w:fldCharType="end"/>
        </w:r>
      </w:hyperlink>
    </w:p>
    <w:p w14:paraId="41B59A89" w14:textId="1BC99F15" w:rsidR="007462A6" w:rsidRDefault="007462A6">
      <w:pPr>
        <w:pStyle w:val="TOC1"/>
        <w:rPr>
          <w:rFonts w:asciiTheme="minorHAnsi" w:eastAsiaTheme="minorEastAsia" w:hAnsiTheme="minorHAnsi" w:cstheme="minorBidi"/>
          <w:b w:val="0"/>
          <w:kern w:val="2"/>
          <w:szCs w:val="24"/>
          <w:lang w:val="en-US"/>
          <w14:ligatures w14:val="standardContextual"/>
        </w:rPr>
      </w:pPr>
      <w:hyperlink w:anchor="_Toc159156424" w:history="1">
        <w:r w:rsidRPr="00B8500A">
          <w:rPr>
            <w:rStyle w:val="Hyperlink"/>
          </w:rPr>
          <w:t>OVERVIEW OF THE ORGANISATION</w:t>
        </w:r>
        <w:r>
          <w:rPr>
            <w:webHidden/>
          </w:rPr>
          <w:tab/>
        </w:r>
        <w:r>
          <w:rPr>
            <w:webHidden/>
          </w:rPr>
          <w:fldChar w:fldCharType="begin"/>
        </w:r>
        <w:r>
          <w:rPr>
            <w:webHidden/>
          </w:rPr>
          <w:instrText xml:space="preserve"> PAGEREF _Toc159156424 \h </w:instrText>
        </w:r>
        <w:r>
          <w:rPr>
            <w:webHidden/>
          </w:rPr>
        </w:r>
        <w:r>
          <w:rPr>
            <w:webHidden/>
          </w:rPr>
          <w:fldChar w:fldCharType="separate"/>
        </w:r>
        <w:r>
          <w:rPr>
            <w:webHidden/>
          </w:rPr>
          <w:t>4</w:t>
        </w:r>
        <w:r>
          <w:rPr>
            <w:webHidden/>
          </w:rPr>
          <w:fldChar w:fldCharType="end"/>
        </w:r>
      </w:hyperlink>
    </w:p>
    <w:p w14:paraId="6EF6570D" w14:textId="5EA4EB48" w:rsidR="007462A6" w:rsidRDefault="007462A6">
      <w:pPr>
        <w:pStyle w:val="TOC1"/>
        <w:rPr>
          <w:rFonts w:asciiTheme="minorHAnsi" w:eastAsiaTheme="minorEastAsia" w:hAnsiTheme="minorHAnsi" w:cstheme="minorBidi"/>
          <w:b w:val="0"/>
          <w:kern w:val="2"/>
          <w:szCs w:val="24"/>
          <w:lang w:val="en-US"/>
          <w14:ligatures w14:val="standardContextual"/>
        </w:rPr>
      </w:pPr>
      <w:hyperlink w:anchor="_Toc159156425" w:history="1">
        <w:r w:rsidRPr="00B8500A">
          <w:rPr>
            <w:rStyle w:val="Hyperlink"/>
          </w:rPr>
          <w:t>EXTERNAL ANALYSIS</w:t>
        </w:r>
        <w:r>
          <w:rPr>
            <w:webHidden/>
          </w:rPr>
          <w:tab/>
        </w:r>
        <w:r>
          <w:rPr>
            <w:webHidden/>
          </w:rPr>
          <w:fldChar w:fldCharType="begin"/>
        </w:r>
        <w:r>
          <w:rPr>
            <w:webHidden/>
          </w:rPr>
          <w:instrText xml:space="preserve"> PAGEREF _Toc159156425 \h </w:instrText>
        </w:r>
        <w:r>
          <w:rPr>
            <w:webHidden/>
          </w:rPr>
        </w:r>
        <w:r>
          <w:rPr>
            <w:webHidden/>
          </w:rPr>
          <w:fldChar w:fldCharType="separate"/>
        </w:r>
        <w:r>
          <w:rPr>
            <w:webHidden/>
          </w:rPr>
          <w:t>5</w:t>
        </w:r>
        <w:r>
          <w:rPr>
            <w:webHidden/>
          </w:rPr>
          <w:fldChar w:fldCharType="end"/>
        </w:r>
      </w:hyperlink>
    </w:p>
    <w:p w14:paraId="7B769364" w14:textId="4CFF9C11" w:rsidR="007462A6" w:rsidRDefault="007462A6">
      <w:pPr>
        <w:pStyle w:val="TOC2"/>
        <w:rPr>
          <w:rFonts w:asciiTheme="minorHAnsi" w:eastAsiaTheme="minorEastAsia" w:hAnsiTheme="minorHAnsi" w:cstheme="minorBidi"/>
          <w:kern w:val="2"/>
          <w:szCs w:val="24"/>
          <w14:ligatures w14:val="standardContextual"/>
        </w:rPr>
      </w:pPr>
      <w:hyperlink w:anchor="_Toc159156426" w:history="1">
        <w:r w:rsidRPr="00B8500A">
          <w:rPr>
            <w:rStyle w:val="Hyperlink"/>
          </w:rPr>
          <w:t>MACRO-ENVIRONMENT ANALYSIS (PESTLE ANALYSIS)</w:t>
        </w:r>
        <w:r>
          <w:rPr>
            <w:webHidden/>
          </w:rPr>
          <w:tab/>
        </w:r>
        <w:r>
          <w:rPr>
            <w:webHidden/>
          </w:rPr>
          <w:fldChar w:fldCharType="begin"/>
        </w:r>
        <w:r>
          <w:rPr>
            <w:webHidden/>
          </w:rPr>
          <w:instrText xml:space="preserve"> PAGEREF _Toc159156426 \h </w:instrText>
        </w:r>
        <w:r>
          <w:rPr>
            <w:webHidden/>
          </w:rPr>
        </w:r>
        <w:r>
          <w:rPr>
            <w:webHidden/>
          </w:rPr>
          <w:fldChar w:fldCharType="separate"/>
        </w:r>
        <w:r>
          <w:rPr>
            <w:webHidden/>
          </w:rPr>
          <w:t>5</w:t>
        </w:r>
        <w:r>
          <w:rPr>
            <w:webHidden/>
          </w:rPr>
          <w:fldChar w:fldCharType="end"/>
        </w:r>
      </w:hyperlink>
    </w:p>
    <w:p w14:paraId="0F016555" w14:textId="281D32D0" w:rsidR="007462A6" w:rsidRDefault="007462A6">
      <w:pPr>
        <w:pStyle w:val="TOC1"/>
        <w:rPr>
          <w:rFonts w:asciiTheme="minorHAnsi" w:eastAsiaTheme="minorEastAsia" w:hAnsiTheme="minorHAnsi" w:cstheme="minorBidi"/>
          <w:b w:val="0"/>
          <w:kern w:val="2"/>
          <w:szCs w:val="24"/>
          <w:lang w:val="en-US"/>
          <w14:ligatures w14:val="standardContextual"/>
        </w:rPr>
      </w:pPr>
      <w:hyperlink w:anchor="_Toc159156427" w:history="1">
        <w:r w:rsidRPr="00B8500A">
          <w:rPr>
            <w:rStyle w:val="Hyperlink"/>
          </w:rPr>
          <w:t>INTERNAL ANALYSIS</w:t>
        </w:r>
        <w:r>
          <w:rPr>
            <w:webHidden/>
          </w:rPr>
          <w:tab/>
        </w:r>
        <w:r>
          <w:rPr>
            <w:webHidden/>
          </w:rPr>
          <w:fldChar w:fldCharType="begin"/>
        </w:r>
        <w:r>
          <w:rPr>
            <w:webHidden/>
          </w:rPr>
          <w:instrText xml:space="preserve"> PAGEREF _Toc159156427 \h </w:instrText>
        </w:r>
        <w:r>
          <w:rPr>
            <w:webHidden/>
          </w:rPr>
        </w:r>
        <w:r>
          <w:rPr>
            <w:webHidden/>
          </w:rPr>
          <w:fldChar w:fldCharType="separate"/>
        </w:r>
        <w:r>
          <w:rPr>
            <w:webHidden/>
          </w:rPr>
          <w:t>8</w:t>
        </w:r>
        <w:r>
          <w:rPr>
            <w:webHidden/>
          </w:rPr>
          <w:fldChar w:fldCharType="end"/>
        </w:r>
      </w:hyperlink>
    </w:p>
    <w:p w14:paraId="4399270D" w14:textId="705B72AE" w:rsidR="007462A6" w:rsidRDefault="007462A6">
      <w:pPr>
        <w:pStyle w:val="TOC2"/>
        <w:rPr>
          <w:rFonts w:asciiTheme="minorHAnsi" w:eastAsiaTheme="minorEastAsia" w:hAnsiTheme="minorHAnsi" w:cstheme="minorBidi"/>
          <w:kern w:val="2"/>
          <w:szCs w:val="24"/>
          <w14:ligatures w14:val="standardContextual"/>
        </w:rPr>
      </w:pPr>
      <w:hyperlink w:anchor="_Toc159156428" w:history="1">
        <w:r w:rsidRPr="00B8500A">
          <w:rPr>
            <w:rStyle w:val="Hyperlink"/>
          </w:rPr>
          <w:t>LEADING CORE COMPETENCIES OF MICROSOFT</w:t>
        </w:r>
        <w:r>
          <w:rPr>
            <w:webHidden/>
          </w:rPr>
          <w:tab/>
        </w:r>
        <w:r>
          <w:rPr>
            <w:webHidden/>
          </w:rPr>
          <w:fldChar w:fldCharType="begin"/>
        </w:r>
        <w:r>
          <w:rPr>
            <w:webHidden/>
          </w:rPr>
          <w:instrText xml:space="preserve"> PAGEREF _Toc159156428 \h </w:instrText>
        </w:r>
        <w:r>
          <w:rPr>
            <w:webHidden/>
          </w:rPr>
        </w:r>
        <w:r>
          <w:rPr>
            <w:webHidden/>
          </w:rPr>
          <w:fldChar w:fldCharType="separate"/>
        </w:r>
        <w:r>
          <w:rPr>
            <w:webHidden/>
          </w:rPr>
          <w:t>8</w:t>
        </w:r>
        <w:r>
          <w:rPr>
            <w:webHidden/>
          </w:rPr>
          <w:fldChar w:fldCharType="end"/>
        </w:r>
      </w:hyperlink>
    </w:p>
    <w:p w14:paraId="657BE7E6" w14:textId="40123518" w:rsidR="007462A6" w:rsidRDefault="007462A6">
      <w:pPr>
        <w:pStyle w:val="TOC1"/>
        <w:rPr>
          <w:rFonts w:asciiTheme="minorHAnsi" w:eastAsiaTheme="minorEastAsia" w:hAnsiTheme="minorHAnsi" w:cstheme="minorBidi"/>
          <w:b w:val="0"/>
          <w:kern w:val="2"/>
          <w:szCs w:val="24"/>
          <w:lang w:val="en-US"/>
          <w14:ligatures w14:val="standardContextual"/>
        </w:rPr>
      </w:pPr>
      <w:hyperlink w:anchor="_Toc159156429" w:history="1">
        <w:r w:rsidRPr="00B8500A">
          <w:rPr>
            <w:rStyle w:val="Hyperlink"/>
          </w:rPr>
          <w:t>STRATEGIC CHOICES (SP-ROA)</w:t>
        </w:r>
        <w:r>
          <w:rPr>
            <w:webHidden/>
          </w:rPr>
          <w:tab/>
        </w:r>
        <w:r>
          <w:rPr>
            <w:webHidden/>
          </w:rPr>
          <w:fldChar w:fldCharType="begin"/>
        </w:r>
        <w:r>
          <w:rPr>
            <w:webHidden/>
          </w:rPr>
          <w:instrText xml:space="preserve"> PAGEREF _Toc159156429 \h </w:instrText>
        </w:r>
        <w:r>
          <w:rPr>
            <w:webHidden/>
          </w:rPr>
        </w:r>
        <w:r>
          <w:rPr>
            <w:webHidden/>
          </w:rPr>
          <w:fldChar w:fldCharType="separate"/>
        </w:r>
        <w:r>
          <w:rPr>
            <w:webHidden/>
          </w:rPr>
          <w:t>12</w:t>
        </w:r>
        <w:r>
          <w:rPr>
            <w:webHidden/>
          </w:rPr>
          <w:fldChar w:fldCharType="end"/>
        </w:r>
      </w:hyperlink>
    </w:p>
    <w:p w14:paraId="5D7C5C03" w14:textId="6D4F1C44" w:rsidR="007462A6" w:rsidRDefault="007462A6">
      <w:pPr>
        <w:pStyle w:val="TOC2"/>
        <w:rPr>
          <w:rFonts w:asciiTheme="minorHAnsi" w:eastAsiaTheme="minorEastAsia" w:hAnsiTheme="minorHAnsi" w:cstheme="minorBidi"/>
          <w:kern w:val="2"/>
          <w:szCs w:val="24"/>
          <w14:ligatures w14:val="standardContextual"/>
        </w:rPr>
      </w:pPr>
      <w:hyperlink w:anchor="_Toc159156430" w:history="1">
        <w:r w:rsidRPr="00B8500A">
          <w:rPr>
            <w:rStyle w:val="Hyperlink"/>
          </w:rPr>
          <w:t>KEY STRATEGIC ISSUE FACED BY MICORSOFT</w:t>
        </w:r>
        <w:r>
          <w:rPr>
            <w:webHidden/>
          </w:rPr>
          <w:tab/>
        </w:r>
        <w:r>
          <w:rPr>
            <w:webHidden/>
          </w:rPr>
          <w:fldChar w:fldCharType="begin"/>
        </w:r>
        <w:r>
          <w:rPr>
            <w:webHidden/>
          </w:rPr>
          <w:instrText xml:space="preserve"> PAGEREF _Toc159156430 \h </w:instrText>
        </w:r>
        <w:r>
          <w:rPr>
            <w:webHidden/>
          </w:rPr>
        </w:r>
        <w:r>
          <w:rPr>
            <w:webHidden/>
          </w:rPr>
          <w:fldChar w:fldCharType="separate"/>
        </w:r>
        <w:r>
          <w:rPr>
            <w:webHidden/>
          </w:rPr>
          <w:t>12</w:t>
        </w:r>
        <w:r>
          <w:rPr>
            <w:webHidden/>
          </w:rPr>
          <w:fldChar w:fldCharType="end"/>
        </w:r>
      </w:hyperlink>
    </w:p>
    <w:p w14:paraId="06E2C9CB" w14:textId="460EFF64" w:rsidR="007462A6" w:rsidRDefault="007462A6">
      <w:pPr>
        <w:pStyle w:val="TOC2"/>
        <w:rPr>
          <w:rFonts w:asciiTheme="minorHAnsi" w:eastAsiaTheme="minorEastAsia" w:hAnsiTheme="minorHAnsi" w:cstheme="minorBidi"/>
          <w:kern w:val="2"/>
          <w:szCs w:val="24"/>
          <w14:ligatures w14:val="standardContextual"/>
        </w:rPr>
      </w:pPr>
      <w:hyperlink w:anchor="_Toc159156431" w:history="1">
        <w:r w:rsidRPr="00B8500A">
          <w:rPr>
            <w:rStyle w:val="Hyperlink"/>
          </w:rPr>
          <w:t>FACTORS INFLUENCING THE STRATEGIC CHOICES</w:t>
        </w:r>
        <w:r>
          <w:rPr>
            <w:webHidden/>
          </w:rPr>
          <w:tab/>
        </w:r>
        <w:r>
          <w:rPr>
            <w:webHidden/>
          </w:rPr>
          <w:fldChar w:fldCharType="begin"/>
        </w:r>
        <w:r>
          <w:rPr>
            <w:webHidden/>
          </w:rPr>
          <w:instrText xml:space="preserve"> PAGEREF _Toc159156431 \h </w:instrText>
        </w:r>
        <w:r>
          <w:rPr>
            <w:webHidden/>
          </w:rPr>
        </w:r>
        <w:r>
          <w:rPr>
            <w:webHidden/>
          </w:rPr>
          <w:fldChar w:fldCharType="separate"/>
        </w:r>
        <w:r>
          <w:rPr>
            <w:webHidden/>
          </w:rPr>
          <w:t>13</w:t>
        </w:r>
        <w:r>
          <w:rPr>
            <w:webHidden/>
          </w:rPr>
          <w:fldChar w:fldCharType="end"/>
        </w:r>
      </w:hyperlink>
    </w:p>
    <w:p w14:paraId="45641709" w14:textId="4E226C30" w:rsidR="007462A6" w:rsidRDefault="007462A6">
      <w:pPr>
        <w:pStyle w:val="TOC1"/>
        <w:rPr>
          <w:rFonts w:asciiTheme="minorHAnsi" w:eastAsiaTheme="minorEastAsia" w:hAnsiTheme="minorHAnsi" w:cstheme="minorBidi"/>
          <w:b w:val="0"/>
          <w:kern w:val="2"/>
          <w:szCs w:val="24"/>
          <w:lang w:val="en-US"/>
          <w14:ligatures w14:val="standardContextual"/>
        </w:rPr>
      </w:pPr>
      <w:hyperlink w:anchor="_Toc159156432" w:history="1">
        <w:r w:rsidRPr="00B8500A">
          <w:rPr>
            <w:rStyle w:val="Hyperlink"/>
          </w:rPr>
          <w:t>RECOMMENDED STRATEGIES FOR MICROSOFT</w:t>
        </w:r>
        <w:r>
          <w:rPr>
            <w:webHidden/>
          </w:rPr>
          <w:tab/>
        </w:r>
        <w:r>
          <w:rPr>
            <w:webHidden/>
          </w:rPr>
          <w:fldChar w:fldCharType="begin"/>
        </w:r>
        <w:r>
          <w:rPr>
            <w:webHidden/>
          </w:rPr>
          <w:instrText xml:space="preserve"> PAGEREF _Toc159156432 \h </w:instrText>
        </w:r>
        <w:r>
          <w:rPr>
            <w:webHidden/>
          </w:rPr>
        </w:r>
        <w:r>
          <w:rPr>
            <w:webHidden/>
          </w:rPr>
          <w:fldChar w:fldCharType="separate"/>
        </w:r>
        <w:r>
          <w:rPr>
            <w:webHidden/>
          </w:rPr>
          <w:t>14</w:t>
        </w:r>
        <w:r>
          <w:rPr>
            <w:webHidden/>
          </w:rPr>
          <w:fldChar w:fldCharType="end"/>
        </w:r>
      </w:hyperlink>
    </w:p>
    <w:p w14:paraId="2BD48724" w14:textId="71CF2FCD" w:rsidR="007462A6" w:rsidRDefault="007462A6">
      <w:pPr>
        <w:pStyle w:val="TOC2"/>
        <w:rPr>
          <w:rFonts w:asciiTheme="minorHAnsi" w:eastAsiaTheme="minorEastAsia" w:hAnsiTheme="minorHAnsi" w:cstheme="minorBidi"/>
          <w:kern w:val="2"/>
          <w:szCs w:val="24"/>
          <w14:ligatures w14:val="standardContextual"/>
        </w:rPr>
      </w:pPr>
      <w:hyperlink w:anchor="_Toc159156433" w:history="1">
        <w:r w:rsidRPr="00B8500A">
          <w:rPr>
            <w:rStyle w:val="Hyperlink"/>
          </w:rPr>
          <w:t>Innovative Software Development</w:t>
        </w:r>
        <w:r>
          <w:rPr>
            <w:webHidden/>
          </w:rPr>
          <w:tab/>
        </w:r>
        <w:r>
          <w:rPr>
            <w:webHidden/>
          </w:rPr>
          <w:fldChar w:fldCharType="begin"/>
        </w:r>
        <w:r>
          <w:rPr>
            <w:webHidden/>
          </w:rPr>
          <w:instrText xml:space="preserve"> PAGEREF _Toc159156433 \h </w:instrText>
        </w:r>
        <w:r>
          <w:rPr>
            <w:webHidden/>
          </w:rPr>
        </w:r>
        <w:r>
          <w:rPr>
            <w:webHidden/>
          </w:rPr>
          <w:fldChar w:fldCharType="separate"/>
        </w:r>
        <w:r>
          <w:rPr>
            <w:webHidden/>
          </w:rPr>
          <w:t>14</w:t>
        </w:r>
        <w:r>
          <w:rPr>
            <w:webHidden/>
          </w:rPr>
          <w:fldChar w:fldCharType="end"/>
        </w:r>
      </w:hyperlink>
    </w:p>
    <w:p w14:paraId="135145E0" w14:textId="4C032198" w:rsidR="007462A6" w:rsidRDefault="007462A6">
      <w:pPr>
        <w:pStyle w:val="TOC2"/>
        <w:rPr>
          <w:rFonts w:asciiTheme="minorHAnsi" w:eastAsiaTheme="minorEastAsia" w:hAnsiTheme="minorHAnsi" w:cstheme="minorBidi"/>
          <w:kern w:val="2"/>
          <w:szCs w:val="24"/>
          <w14:ligatures w14:val="standardContextual"/>
        </w:rPr>
      </w:pPr>
      <w:hyperlink w:anchor="_Toc159156434" w:history="1">
        <w:r w:rsidRPr="00B8500A">
          <w:rPr>
            <w:rStyle w:val="Hyperlink"/>
          </w:rPr>
          <w:t>Strategic Alliances</w:t>
        </w:r>
        <w:r w:rsidRPr="00B8500A">
          <w:rPr>
            <w:rStyle w:val="Hyperlink"/>
            <w:i/>
            <w:iCs/>
          </w:rPr>
          <w:t>:</w:t>
        </w:r>
        <w:r>
          <w:rPr>
            <w:webHidden/>
          </w:rPr>
          <w:tab/>
        </w:r>
        <w:r>
          <w:rPr>
            <w:webHidden/>
          </w:rPr>
          <w:fldChar w:fldCharType="begin"/>
        </w:r>
        <w:r>
          <w:rPr>
            <w:webHidden/>
          </w:rPr>
          <w:instrText xml:space="preserve"> PAGEREF _Toc159156434 \h </w:instrText>
        </w:r>
        <w:r>
          <w:rPr>
            <w:webHidden/>
          </w:rPr>
        </w:r>
        <w:r>
          <w:rPr>
            <w:webHidden/>
          </w:rPr>
          <w:fldChar w:fldCharType="separate"/>
        </w:r>
        <w:r>
          <w:rPr>
            <w:webHidden/>
          </w:rPr>
          <w:t>14</w:t>
        </w:r>
        <w:r>
          <w:rPr>
            <w:webHidden/>
          </w:rPr>
          <w:fldChar w:fldCharType="end"/>
        </w:r>
      </w:hyperlink>
    </w:p>
    <w:p w14:paraId="2FF25507" w14:textId="204C1910" w:rsidR="007462A6" w:rsidRDefault="007462A6">
      <w:pPr>
        <w:pStyle w:val="TOC2"/>
        <w:rPr>
          <w:rFonts w:asciiTheme="minorHAnsi" w:eastAsiaTheme="minorEastAsia" w:hAnsiTheme="minorHAnsi" w:cstheme="minorBidi"/>
          <w:kern w:val="2"/>
          <w:szCs w:val="24"/>
          <w14:ligatures w14:val="standardContextual"/>
        </w:rPr>
      </w:pPr>
      <w:hyperlink w:anchor="_Toc159156435" w:history="1">
        <w:r w:rsidRPr="00B8500A">
          <w:rPr>
            <w:rStyle w:val="Hyperlink"/>
          </w:rPr>
          <w:t>AI as a Core Competency</w:t>
        </w:r>
        <w:r>
          <w:rPr>
            <w:webHidden/>
          </w:rPr>
          <w:tab/>
        </w:r>
        <w:r>
          <w:rPr>
            <w:webHidden/>
          </w:rPr>
          <w:fldChar w:fldCharType="begin"/>
        </w:r>
        <w:r>
          <w:rPr>
            <w:webHidden/>
          </w:rPr>
          <w:instrText xml:space="preserve"> PAGEREF _Toc159156435 \h </w:instrText>
        </w:r>
        <w:r>
          <w:rPr>
            <w:webHidden/>
          </w:rPr>
        </w:r>
        <w:r>
          <w:rPr>
            <w:webHidden/>
          </w:rPr>
          <w:fldChar w:fldCharType="separate"/>
        </w:r>
        <w:r>
          <w:rPr>
            <w:webHidden/>
          </w:rPr>
          <w:t>15</w:t>
        </w:r>
        <w:r>
          <w:rPr>
            <w:webHidden/>
          </w:rPr>
          <w:fldChar w:fldCharType="end"/>
        </w:r>
      </w:hyperlink>
    </w:p>
    <w:p w14:paraId="7EB4BF49" w14:textId="6BB646F6" w:rsidR="007462A6" w:rsidRDefault="007462A6">
      <w:pPr>
        <w:pStyle w:val="TOC1"/>
        <w:rPr>
          <w:rFonts w:asciiTheme="minorHAnsi" w:eastAsiaTheme="minorEastAsia" w:hAnsiTheme="minorHAnsi" w:cstheme="minorBidi"/>
          <w:b w:val="0"/>
          <w:kern w:val="2"/>
          <w:szCs w:val="24"/>
          <w:lang w:val="en-US"/>
          <w14:ligatures w14:val="standardContextual"/>
        </w:rPr>
      </w:pPr>
      <w:hyperlink w:anchor="_Toc159156436" w:history="1">
        <w:r w:rsidRPr="00B8500A">
          <w:rPr>
            <w:rStyle w:val="Hyperlink"/>
          </w:rPr>
          <w:t>STRATEGY IN ACTION</w:t>
        </w:r>
        <w:r>
          <w:rPr>
            <w:webHidden/>
          </w:rPr>
          <w:tab/>
        </w:r>
        <w:r>
          <w:rPr>
            <w:webHidden/>
          </w:rPr>
          <w:fldChar w:fldCharType="begin"/>
        </w:r>
        <w:r>
          <w:rPr>
            <w:webHidden/>
          </w:rPr>
          <w:instrText xml:space="preserve"> PAGEREF _Toc159156436 \h </w:instrText>
        </w:r>
        <w:r>
          <w:rPr>
            <w:webHidden/>
          </w:rPr>
        </w:r>
        <w:r>
          <w:rPr>
            <w:webHidden/>
          </w:rPr>
          <w:fldChar w:fldCharType="separate"/>
        </w:r>
        <w:r>
          <w:rPr>
            <w:webHidden/>
          </w:rPr>
          <w:t>17</w:t>
        </w:r>
        <w:r>
          <w:rPr>
            <w:webHidden/>
          </w:rPr>
          <w:fldChar w:fldCharType="end"/>
        </w:r>
      </w:hyperlink>
    </w:p>
    <w:p w14:paraId="771B5A3D" w14:textId="01EE673E" w:rsidR="007462A6" w:rsidRDefault="007462A6">
      <w:pPr>
        <w:pStyle w:val="TOC2"/>
        <w:rPr>
          <w:rFonts w:asciiTheme="minorHAnsi" w:eastAsiaTheme="minorEastAsia" w:hAnsiTheme="minorHAnsi" w:cstheme="minorBidi"/>
          <w:kern w:val="2"/>
          <w:szCs w:val="24"/>
          <w14:ligatures w14:val="standardContextual"/>
        </w:rPr>
      </w:pPr>
      <w:hyperlink w:anchor="_Toc159156437" w:history="1">
        <w:r w:rsidRPr="00B8500A">
          <w:rPr>
            <w:rStyle w:val="Hyperlink"/>
          </w:rPr>
          <w:t>IMPLEMENTATION ROADMAP CONSIDERATIONS</w:t>
        </w:r>
        <w:r>
          <w:rPr>
            <w:webHidden/>
          </w:rPr>
          <w:tab/>
        </w:r>
        <w:r>
          <w:rPr>
            <w:webHidden/>
          </w:rPr>
          <w:fldChar w:fldCharType="begin"/>
        </w:r>
        <w:r>
          <w:rPr>
            <w:webHidden/>
          </w:rPr>
          <w:instrText xml:space="preserve"> PAGEREF _Toc159156437 \h </w:instrText>
        </w:r>
        <w:r>
          <w:rPr>
            <w:webHidden/>
          </w:rPr>
        </w:r>
        <w:r>
          <w:rPr>
            <w:webHidden/>
          </w:rPr>
          <w:fldChar w:fldCharType="separate"/>
        </w:r>
        <w:r>
          <w:rPr>
            <w:webHidden/>
          </w:rPr>
          <w:t>17</w:t>
        </w:r>
        <w:r>
          <w:rPr>
            <w:webHidden/>
          </w:rPr>
          <w:fldChar w:fldCharType="end"/>
        </w:r>
      </w:hyperlink>
    </w:p>
    <w:p w14:paraId="6F61C6C6" w14:textId="7A309E36" w:rsidR="007462A6" w:rsidRDefault="007462A6">
      <w:pPr>
        <w:pStyle w:val="TOC2"/>
        <w:rPr>
          <w:rFonts w:asciiTheme="minorHAnsi" w:eastAsiaTheme="minorEastAsia" w:hAnsiTheme="minorHAnsi" w:cstheme="minorBidi"/>
          <w:kern w:val="2"/>
          <w:szCs w:val="24"/>
          <w14:ligatures w14:val="standardContextual"/>
        </w:rPr>
      </w:pPr>
      <w:hyperlink w:anchor="_Toc159156438" w:history="1">
        <w:r w:rsidRPr="00B8500A">
          <w:rPr>
            <w:rStyle w:val="Hyperlink"/>
          </w:rPr>
          <w:t>SP-ROA FRAMEWORK FOR IMPLEMENTATION ROADMAP FORMULATION</w:t>
        </w:r>
        <w:r>
          <w:rPr>
            <w:webHidden/>
          </w:rPr>
          <w:tab/>
        </w:r>
        <w:r>
          <w:rPr>
            <w:webHidden/>
          </w:rPr>
          <w:fldChar w:fldCharType="begin"/>
        </w:r>
        <w:r>
          <w:rPr>
            <w:webHidden/>
          </w:rPr>
          <w:instrText xml:space="preserve"> PAGEREF _Toc159156438 \h </w:instrText>
        </w:r>
        <w:r>
          <w:rPr>
            <w:webHidden/>
          </w:rPr>
        </w:r>
        <w:r>
          <w:rPr>
            <w:webHidden/>
          </w:rPr>
          <w:fldChar w:fldCharType="separate"/>
        </w:r>
        <w:r>
          <w:rPr>
            <w:webHidden/>
          </w:rPr>
          <w:t>18</w:t>
        </w:r>
        <w:r>
          <w:rPr>
            <w:webHidden/>
          </w:rPr>
          <w:fldChar w:fldCharType="end"/>
        </w:r>
      </w:hyperlink>
    </w:p>
    <w:p w14:paraId="15139A6F" w14:textId="1603558B" w:rsidR="007462A6" w:rsidRDefault="007462A6">
      <w:pPr>
        <w:pStyle w:val="TOC1"/>
        <w:rPr>
          <w:rFonts w:asciiTheme="minorHAnsi" w:eastAsiaTheme="minorEastAsia" w:hAnsiTheme="minorHAnsi" w:cstheme="minorBidi"/>
          <w:b w:val="0"/>
          <w:kern w:val="2"/>
          <w:szCs w:val="24"/>
          <w:lang w:val="en-US"/>
          <w14:ligatures w14:val="standardContextual"/>
        </w:rPr>
      </w:pPr>
      <w:hyperlink w:anchor="_Toc159156439" w:history="1">
        <w:r w:rsidRPr="00B8500A">
          <w:rPr>
            <w:rStyle w:val="Hyperlink"/>
          </w:rPr>
          <w:t>CONCLUSION</w:t>
        </w:r>
        <w:r>
          <w:rPr>
            <w:webHidden/>
          </w:rPr>
          <w:tab/>
        </w:r>
        <w:r>
          <w:rPr>
            <w:webHidden/>
          </w:rPr>
          <w:fldChar w:fldCharType="begin"/>
        </w:r>
        <w:r>
          <w:rPr>
            <w:webHidden/>
          </w:rPr>
          <w:instrText xml:space="preserve"> PAGEREF _Toc159156439 \h </w:instrText>
        </w:r>
        <w:r>
          <w:rPr>
            <w:webHidden/>
          </w:rPr>
        </w:r>
        <w:r>
          <w:rPr>
            <w:webHidden/>
          </w:rPr>
          <w:fldChar w:fldCharType="separate"/>
        </w:r>
        <w:r>
          <w:rPr>
            <w:webHidden/>
          </w:rPr>
          <w:t>20</w:t>
        </w:r>
        <w:r>
          <w:rPr>
            <w:webHidden/>
          </w:rPr>
          <w:fldChar w:fldCharType="end"/>
        </w:r>
      </w:hyperlink>
    </w:p>
    <w:p w14:paraId="2C185B95" w14:textId="02FD90E1" w:rsidR="007462A6" w:rsidRDefault="007462A6">
      <w:pPr>
        <w:pStyle w:val="TOC1"/>
        <w:rPr>
          <w:rFonts w:asciiTheme="minorHAnsi" w:eastAsiaTheme="minorEastAsia" w:hAnsiTheme="minorHAnsi" w:cstheme="minorBidi"/>
          <w:b w:val="0"/>
          <w:kern w:val="2"/>
          <w:szCs w:val="24"/>
          <w:lang w:val="en-US"/>
          <w14:ligatures w14:val="standardContextual"/>
        </w:rPr>
      </w:pPr>
      <w:hyperlink w:anchor="_Toc159156440" w:history="1">
        <w:r w:rsidRPr="00B8500A">
          <w:rPr>
            <w:rStyle w:val="Hyperlink"/>
          </w:rPr>
          <w:t>REFERENCES</w:t>
        </w:r>
        <w:r>
          <w:rPr>
            <w:webHidden/>
          </w:rPr>
          <w:tab/>
        </w:r>
        <w:r>
          <w:rPr>
            <w:webHidden/>
          </w:rPr>
          <w:fldChar w:fldCharType="begin"/>
        </w:r>
        <w:r>
          <w:rPr>
            <w:webHidden/>
          </w:rPr>
          <w:instrText xml:space="preserve"> PAGEREF _Toc159156440 \h </w:instrText>
        </w:r>
        <w:r>
          <w:rPr>
            <w:webHidden/>
          </w:rPr>
        </w:r>
        <w:r>
          <w:rPr>
            <w:webHidden/>
          </w:rPr>
          <w:fldChar w:fldCharType="separate"/>
        </w:r>
        <w:r>
          <w:rPr>
            <w:webHidden/>
          </w:rPr>
          <w:t>21</w:t>
        </w:r>
        <w:r>
          <w:rPr>
            <w:webHidden/>
          </w:rPr>
          <w:fldChar w:fldCharType="end"/>
        </w:r>
      </w:hyperlink>
    </w:p>
    <w:p w14:paraId="1F1C63F2" w14:textId="3D7E3301" w:rsidR="00C774D7" w:rsidRPr="00337707" w:rsidRDefault="007462A6">
      <w:pPr>
        <w:ind w:right="996"/>
      </w:pPr>
      <w:r>
        <w:rPr>
          <w:rFonts w:cs="Times New Roman"/>
          <w:b/>
          <w:noProof/>
          <w:kern w:val="0"/>
          <w:sz w:val="32"/>
          <w14:ligatures w14:val="none"/>
        </w:rPr>
        <w:fldChar w:fldCharType="end"/>
      </w:r>
    </w:p>
    <w:p w14:paraId="1F32F9C8" w14:textId="586AB0D8" w:rsidR="00C774D7" w:rsidRPr="00337707" w:rsidRDefault="00C774D7">
      <w:pPr>
        <w:spacing w:line="259" w:lineRule="auto"/>
        <w:rPr>
          <w:rFonts w:eastAsia="SimSun"/>
          <w:b/>
          <w:sz w:val="36"/>
          <w:szCs w:val="40"/>
        </w:rPr>
      </w:pPr>
    </w:p>
    <w:p w14:paraId="01A53059" w14:textId="77777777" w:rsidR="00C774D7" w:rsidRPr="00337707" w:rsidRDefault="00000000">
      <w:pPr>
        <w:pStyle w:val="Heading1"/>
        <w:jc w:val="center"/>
      </w:pPr>
      <w:bookmarkStart w:id="4" w:name="_Toc158742352"/>
      <w:bookmarkStart w:id="5" w:name="_Toc159156422"/>
      <w:r w:rsidRPr="00337707">
        <w:lastRenderedPageBreak/>
        <w:t>TABLE OF FIGURES</w:t>
      </w:r>
      <w:bookmarkEnd w:id="4"/>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C774D7" w:rsidRPr="00337707" w14:paraId="64D315E3" w14:textId="77777777">
        <w:tc>
          <w:tcPr>
            <w:tcW w:w="8500" w:type="dxa"/>
          </w:tcPr>
          <w:p w14:paraId="393C6CC5" w14:textId="77777777" w:rsidR="00C774D7" w:rsidRPr="00337707" w:rsidRDefault="00000000">
            <w:pPr>
              <w:spacing w:line="480" w:lineRule="auto"/>
              <w:rPr>
                <w:b/>
                <w:bCs/>
              </w:rPr>
            </w:pPr>
            <w:r w:rsidRPr="00337707">
              <w:rPr>
                <w:b/>
                <w:bCs/>
              </w:rPr>
              <w:t>Figure</w:t>
            </w:r>
          </w:p>
        </w:tc>
        <w:tc>
          <w:tcPr>
            <w:tcW w:w="850" w:type="dxa"/>
          </w:tcPr>
          <w:p w14:paraId="5E25A260" w14:textId="77777777" w:rsidR="00C774D7" w:rsidRPr="00337707" w:rsidRDefault="00000000">
            <w:pPr>
              <w:spacing w:line="480" w:lineRule="auto"/>
              <w:rPr>
                <w:b/>
                <w:bCs/>
              </w:rPr>
            </w:pPr>
            <w:r w:rsidRPr="00337707">
              <w:rPr>
                <w:b/>
                <w:bCs/>
              </w:rPr>
              <w:t>Page</w:t>
            </w:r>
          </w:p>
        </w:tc>
      </w:tr>
      <w:tr w:rsidR="00C774D7" w:rsidRPr="00337707" w14:paraId="609932F1" w14:textId="77777777">
        <w:tc>
          <w:tcPr>
            <w:tcW w:w="8500" w:type="dxa"/>
          </w:tcPr>
          <w:p w14:paraId="10FB9D94" w14:textId="7BBC7C44" w:rsidR="00C774D7" w:rsidRPr="00337707" w:rsidRDefault="006C2DF1">
            <w:pPr>
              <w:spacing w:line="480" w:lineRule="auto"/>
            </w:pPr>
            <w:r w:rsidRPr="00337707">
              <w:t xml:space="preserve">Fifth Microsoft logo, introduced on August 23, </w:t>
            </w:r>
            <w:r w:rsidRPr="00337707">
              <w:t>2012,</w:t>
            </w:r>
            <w:r w:rsidRPr="00337707">
              <w:tab/>
            </w:r>
          </w:p>
        </w:tc>
        <w:tc>
          <w:tcPr>
            <w:tcW w:w="850" w:type="dxa"/>
          </w:tcPr>
          <w:p w14:paraId="1FD8F0C3" w14:textId="5945AE57" w:rsidR="00C774D7" w:rsidRPr="00337707" w:rsidRDefault="006C2DF1">
            <w:pPr>
              <w:spacing w:line="480" w:lineRule="auto"/>
            </w:pPr>
            <w:r w:rsidRPr="00337707">
              <w:t>5</w:t>
            </w:r>
          </w:p>
        </w:tc>
      </w:tr>
      <w:tr w:rsidR="006C2DF1" w:rsidRPr="00337707" w14:paraId="5E13AE7E" w14:textId="77777777">
        <w:tc>
          <w:tcPr>
            <w:tcW w:w="8500" w:type="dxa"/>
          </w:tcPr>
          <w:p w14:paraId="70443A0A" w14:textId="607B2355" w:rsidR="006C2DF1" w:rsidRPr="00337707" w:rsidRDefault="006C2DF1" w:rsidP="006C2DF1">
            <w:pPr>
              <w:spacing w:line="480" w:lineRule="auto"/>
            </w:pPr>
            <w:r w:rsidRPr="00337707">
              <w:t>Summary of the Macro-Environment Analysis for Microsoft</w:t>
            </w:r>
          </w:p>
        </w:tc>
        <w:tc>
          <w:tcPr>
            <w:tcW w:w="850" w:type="dxa"/>
          </w:tcPr>
          <w:p w14:paraId="04738075" w14:textId="49E07D86" w:rsidR="006C2DF1" w:rsidRPr="00337707" w:rsidRDefault="006C2DF1" w:rsidP="006C2DF1">
            <w:pPr>
              <w:spacing w:line="480" w:lineRule="auto"/>
            </w:pPr>
            <w:r w:rsidRPr="00337707">
              <w:t>6 -7</w:t>
            </w:r>
          </w:p>
        </w:tc>
      </w:tr>
      <w:tr w:rsidR="006C2DF1" w:rsidRPr="00337707" w14:paraId="5E9EC6EB" w14:textId="77777777">
        <w:tc>
          <w:tcPr>
            <w:tcW w:w="8500" w:type="dxa"/>
          </w:tcPr>
          <w:p w14:paraId="486CDDAE" w14:textId="473CA05A" w:rsidR="006C2DF1" w:rsidRPr="00337707" w:rsidRDefault="006C2DF1" w:rsidP="006C2DF1">
            <w:pPr>
              <w:spacing w:line="480" w:lineRule="auto"/>
            </w:pPr>
            <w:r w:rsidRPr="00337707">
              <w:t>Resource Analysis Table - Microsoft Corporation</w:t>
            </w:r>
          </w:p>
        </w:tc>
        <w:tc>
          <w:tcPr>
            <w:tcW w:w="850" w:type="dxa"/>
          </w:tcPr>
          <w:p w14:paraId="1381336E" w14:textId="77362E2D" w:rsidR="006C2DF1" w:rsidRPr="00337707" w:rsidRDefault="006C2DF1" w:rsidP="006C2DF1">
            <w:pPr>
              <w:spacing w:line="480" w:lineRule="auto"/>
            </w:pPr>
            <w:r w:rsidRPr="00337707">
              <w:t>10 -11</w:t>
            </w:r>
          </w:p>
        </w:tc>
      </w:tr>
    </w:tbl>
    <w:p w14:paraId="3419F523" w14:textId="77777777" w:rsidR="00C774D7" w:rsidRPr="00337707" w:rsidRDefault="00C774D7"/>
    <w:p w14:paraId="62DDFFA0" w14:textId="77777777" w:rsidR="00C774D7" w:rsidRPr="00337707" w:rsidRDefault="00C774D7"/>
    <w:p w14:paraId="79A49B00" w14:textId="77777777" w:rsidR="00C774D7" w:rsidRPr="00337707" w:rsidRDefault="00000000">
      <w:pPr>
        <w:spacing w:line="259" w:lineRule="auto"/>
      </w:pPr>
      <w:r w:rsidRPr="00337707">
        <w:br w:type="page"/>
      </w:r>
    </w:p>
    <w:p w14:paraId="0DEB1449" w14:textId="793166F0" w:rsidR="00BF2939" w:rsidRPr="00337707" w:rsidRDefault="00BF2939" w:rsidP="00BF2939">
      <w:pPr>
        <w:pStyle w:val="Heading1"/>
        <w:jc w:val="center"/>
      </w:pPr>
      <w:bookmarkStart w:id="6" w:name="_Toc158742353"/>
      <w:bookmarkStart w:id="7" w:name="_Toc159156423"/>
      <w:r w:rsidRPr="00337707">
        <w:lastRenderedPageBreak/>
        <w:t>INTRODUCTION</w:t>
      </w:r>
      <w:bookmarkEnd w:id="7"/>
    </w:p>
    <w:p w14:paraId="3F85BFDA" w14:textId="33DAB09F" w:rsidR="00BF3D69" w:rsidRPr="00337707" w:rsidRDefault="00BF3D69" w:rsidP="00BF3D69">
      <w:r w:rsidRPr="00337707">
        <w:t>Providing a comprehensive understanding of Microsoft's competitive positioning is the objective of this report. This report strives to offer a nuanced understanding of PESTEL factors, core competencies, and strategic choices. An analysis of macro-environmental influences and resource-based frameworks is intended to inform strategic decision-making by examining the complexities of these influences. To ensure Microsoft's continued success and growth in the dynamic technology market, actionable recommendations are needed.</w:t>
      </w:r>
    </w:p>
    <w:p w14:paraId="048FBA85" w14:textId="178AB671" w:rsidR="00105AB4" w:rsidRPr="00337707" w:rsidRDefault="00105AB4" w:rsidP="00105AB4">
      <w:pPr>
        <w:pStyle w:val="Heading1"/>
        <w:jc w:val="center"/>
      </w:pPr>
      <w:bookmarkStart w:id="8" w:name="_Toc159156424"/>
      <w:r w:rsidRPr="00337707">
        <w:t>OVERVIEW OF THE ORGANISATION</w:t>
      </w:r>
      <w:bookmarkEnd w:id="8"/>
    </w:p>
    <w:p w14:paraId="11F75CE0" w14:textId="77777777" w:rsidR="00337707" w:rsidRPr="00337707" w:rsidRDefault="00337707" w:rsidP="00337707">
      <w:pPr>
        <w:rPr>
          <w:rStyle w:val="issue-underline"/>
        </w:rPr>
      </w:pPr>
      <w:r w:rsidRPr="00337707">
        <w:t>Founded in 1975 by Bill Gates and Paul Allen, Microsoft has become a digital titan. A vision of empowerment for every individual and organization on the planet has guided the company's trajectory (Microsoft Corporation, 2024), whose core values are innovation, inclusion, and responsibility. Windows was launched in 1985, Gates served as CEO, Satya Nadella served as CEO, and in 2014 it soared to $411 billion (Zhao, 2022). In addition to profits, Microsoft is active in philanthropic activities, especially during the COVID-19 pandemic (Kearns, 2022). However, antitrust and tax practices have raised questions. Despite challenges, Microsoft continues to lead technology, adapting and shaping the future (Microsoft Legal Issues, 2024</w:t>
      </w:r>
      <w:r w:rsidRPr="00337707">
        <w:rPr>
          <w:rStyle w:val="issue-underline"/>
        </w:rPr>
        <w:t>)</w:t>
      </w:r>
    </w:p>
    <w:p w14:paraId="7A8E84AC" w14:textId="49BA7A6C" w:rsidR="00BF3D69" w:rsidRPr="00337707" w:rsidRDefault="00BF3D69" w:rsidP="00BF3D69">
      <w:pPr>
        <w:jc w:val="center"/>
      </w:pPr>
      <w:r w:rsidRPr="00337707">
        <w:rPr>
          <w:noProof/>
        </w:rPr>
        <w:drawing>
          <wp:inline distT="0" distB="0" distL="0" distR="0" wp14:anchorId="408B42BB" wp14:editId="398BD919">
            <wp:extent cx="4762500" cy="2124075"/>
            <wp:effectExtent l="0" t="0" r="0" b="9525"/>
            <wp:docPr id="1283387838"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1AE6C1CB" w14:textId="1ADCC73D" w:rsidR="00BF3D69" w:rsidRPr="00337707" w:rsidRDefault="00BF3D69" w:rsidP="00BF3D69">
      <w:pPr>
        <w:jc w:val="center"/>
        <w:rPr>
          <w:i/>
          <w:iCs/>
        </w:rPr>
      </w:pPr>
      <w:r w:rsidRPr="00337707">
        <w:rPr>
          <w:i/>
          <w:iCs/>
        </w:rPr>
        <w:t>Fifth Microsoft logo, introduced on August 23, 2012</w:t>
      </w:r>
    </w:p>
    <w:p w14:paraId="5AF69F9B" w14:textId="6504A0B9" w:rsidR="00BF3D69" w:rsidRPr="00337707" w:rsidRDefault="00BF3D69" w:rsidP="006A7A73">
      <w:pPr>
        <w:jc w:val="center"/>
        <w:rPr>
          <w:i/>
          <w:iCs/>
        </w:rPr>
      </w:pPr>
      <w:r w:rsidRPr="00337707">
        <w:rPr>
          <w:i/>
          <w:iCs/>
        </w:rPr>
        <w:t xml:space="preserve">Source: </w:t>
      </w:r>
      <w:r w:rsidR="006A7A73" w:rsidRPr="00337707">
        <w:rPr>
          <w:i/>
          <w:iCs/>
        </w:rPr>
        <w:t>(Microsoft Unveils a New Look - The Official Microsoft Blog  - Site Home - TechNet Blogs 2012)</w:t>
      </w:r>
    </w:p>
    <w:p w14:paraId="3ADB5532" w14:textId="36FBF263" w:rsidR="00C774D7" w:rsidRPr="00337707" w:rsidRDefault="00BF3D69" w:rsidP="00BF3D69">
      <w:pPr>
        <w:pStyle w:val="Heading1"/>
        <w:jc w:val="center"/>
      </w:pPr>
      <w:r w:rsidRPr="00337707">
        <w:br w:type="page"/>
      </w:r>
      <w:bookmarkStart w:id="9" w:name="_Toc159156425"/>
      <w:r w:rsidR="00000000" w:rsidRPr="00337707">
        <w:lastRenderedPageBreak/>
        <w:t>EXTERNAL ANALYSIS</w:t>
      </w:r>
      <w:bookmarkEnd w:id="6"/>
      <w:bookmarkEnd w:id="9"/>
    </w:p>
    <w:p w14:paraId="0581A49D" w14:textId="77777777" w:rsidR="00B518A0" w:rsidRPr="00B518A0" w:rsidRDefault="00B518A0" w:rsidP="00B518A0">
      <w:pPr>
        <w:rPr>
          <w:lang w:val="en-US"/>
        </w:rPr>
      </w:pPr>
      <w:bookmarkStart w:id="10" w:name="_Toc158742354"/>
      <w:r w:rsidRPr="00B518A0">
        <w:rPr>
          <w:lang w:val="en-US"/>
        </w:rPr>
        <w:t>It is important for organizations to comprehend their external environment (Uitto, 2016). Communication facilitates this understanding, which shapes their strategic norms. External environments also have a great deal of influence on information systems, with different environments requiring different data collection methods and characteristics (Ewusi-Mensah, 2021).</w:t>
      </w:r>
    </w:p>
    <w:p w14:paraId="5994DACC" w14:textId="77777777" w:rsidR="00B518A0" w:rsidRPr="00B518A0" w:rsidRDefault="00B518A0" w:rsidP="00B518A0">
      <w:pPr>
        <w:rPr>
          <w:lang w:val="en-US"/>
        </w:rPr>
      </w:pPr>
      <w:r w:rsidRPr="00B518A0">
        <w:rPr>
          <w:lang w:val="en-US"/>
        </w:rPr>
        <w:t>PESTEL analysis is a framework for assessing the external environment based on a combination of factors, including politics, economics, society, technology, the environment, and law. Mokhtar (2021) and Schütz et al (2018) both emphasize how this framework is relevant to strategic management, while Mokhtar uses it for event management and Schütz for macro-environmental analysis.</w:t>
      </w:r>
    </w:p>
    <w:p w14:paraId="611C5D6D" w14:textId="0A1E6464" w:rsidR="00B518A0" w:rsidRPr="00B518A0" w:rsidRDefault="00B518A0" w:rsidP="00B518A0">
      <w:pPr>
        <w:rPr>
          <w:lang w:val="en-US"/>
        </w:rPr>
      </w:pPr>
      <w:r w:rsidRPr="00B518A0">
        <w:rPr>
          <w:lang w:val="en-US"/>
        </w:rPr>
        <w:t xml:space="preserve">PESTLE analysis is an important tool, but it has limitations when analyzing companies like Microsoft. A model is proposed by Yüksel to address the need for an integrated approach to PESTLE analysis (Schomaker and Sitter 2020) and (Yüksel 2022). In (Schuetz et al. 2018), a modelling tool should be used to identify opportunities and threats. As a result, the PESTLE framework may not adequately account for the unique challenges and opportunities of the tech industry (Issa et al. 2020). </w:t>
      </w:r>
      <w:r w:rsidRPr="00B518A0">
        <w:rPr>
          <w:lang w:val="en-US"/>
        </w:rPr>
        <w:t>To</w:t>
      </w:r>
      <w:r w:rsidRPr="00B518A0">
        <w:rPr>
          <w:lang w:val="en-US"/>
        </w:rPr>
        <w:t xml:space="preserve"> provide a comprehensive analysis of Microsoft's external environment, PESTLE analysis should be complemented by other frameworks and tools.</w:t>
      </w:r>
    </w:p>
    <w:p w14:paraId="59B2227E" w14:textId="620DDF6E" w:rsidR="00C774D7" w:rsidRPr="00337707" w:rsidRDefault="00000000" w:rsidP="00B518A0">
      <w:pPr>
        <w:pStyle w:val="Heading2"/>
      </w:pPr>
      <w:bookmarkStart w:id="11" w:name="_Toc159156426"/>
      <w:r w:rsidRPr="00337707">
        <w:t>MACRO-ENVIRONMENT ANALYSIS</w:t>
      </w:r>
      <w:bookmarkEnd w:id="10"/>
      <w:r w:rsidR="00BF3D69" w:rsidRPr="00337707">
        <w:t xml:space="preserve"> (PESTLE ANALYSIS)</w:t>
      </w:r>
      <w:bookmarkEnd w:id="11"/>
    </w:p>
    <w:tbl>
      <w:tblPr>
        <w:tblStyle w:val="TableGrid"/>
        <w:tblW w:w="0" w:type="auto"/>
        <w:tblLook w:val="04A0" w:firstRow="1" w:lastRow="0" w:firstColumn="1" w:lastColumn="0" w:noHBand="0" w:noVBand="1"/>
      </w:tblPr>
      <w:tblGrid>
        <w:gridCol w:w="1826"/>
        <w:gridCol w:w="3556"/>
        <w:gridCol w:w="3906"/>
      </w:tblGrid>
      <w:tr w:rsidR="00C774D7" w:rsidRPr="00337707" w14:paraId="2E670D59" w14:textId="77777777">
        <w:trPr>
          <w:trHeight w:val="428"/>
        </w:trPr>
        <w:tc>
          <w:tcPr>
            <w:tcW w:w="1826" w:type="dxa"/>
            <w:noWrap/>
            <w:hideMark/>
          </w:tcPr>
          <w:p w14:paraId="21E2208E" w14:textId="77777777" w:rsidR="00C774D7" w:rsidRPr="00337707" w:rsidRDefault="00000000">
            <w:pPr>
              <w:spacing w:after="160"/>
              <w:rPr>
                <w:b/>
                <w:bCs/>
              </w:rPr>
            </w:pPr>
            <w:r w:rsidRPr="00337707">
              <w:rPr>
                <w:b/>
                <w:bCs/>
              </w:rPr>
              <w:t>Factor</w:t>
            </w:r>
          </w:p>
        </w:tc>
        <w:tc>
          <w:tcPr>
            <w:tcW w:w="3556" w:type="dxa"/>
            <w:noWrap/>
            <w:hideMark/>
          </w:tcPr>
          <w:p w14:paraId="7B07A6D2" w14:textId="77777777" w:rsidR="00C774D7" w:rsidRPr="00337707" w:rsidRDefault="00000000">
            <w:pPr>
              <w:spacing w:after="160"/>
              <w:rPr>
                <w:b/>
                <w:bCs/>
              </w:rPr>
            </w:pPr>
            <w:r w:rsidRPr="00337707">
              <w:rPr>
                <w:b/>
                <w:bCs/>
              </w:rPr>
              <w:t>Advantage</w:t>
            </w:r>
          </w:p>
        </w:tc>
        <w:tc>
          <w:tcPr>
            <w:tcW w:w="3906" w:type="dxa"/>
            <w:noWrap/>
            <w:hideMark/>
          </w:tcPr>
          <w:p w14:paraId="6F97D22D" w14:textId="77777777" w:rsidR="00C774D7" w:rsidRPr="00337707" w:rsidRDefault="00000000">
            <w:pPr>
              <w:spacing w:after="160"/>
              <w:rPr>
                <w:b/>
                <w:bCs/>
              </w:rPr>
            </w:pPr>
            <w:r w:rsidRPr="00337707">
              <w:rPr>
                <w:b/>
                <w:bCs/>
              </w:rPr>
              <w:t>Disadvantage</w:t>
            </w:r>
          </w:p>
        </w:tc>
      </w:tr>
      <w:tr w:rsidR="00C774D7" w:rsidRPr="00337707" w14:paraId="32852CA1" w14:textId="77777777">
        <w:trPr>
          <w:trHeight w:val="756"/>
        </w:trPr>
        <w:tc>
          <w:tcPr>
            <w:tcW w:w="1826" w:type="dxa"/>
            <w:noWrap/>
            <w:hideMark/>
          </w:tcPr>
          <w:p w14:paraId="4277D2B1" w14:textId="77777777" w:rsidR="00C774D7" w:rsidRPr="00337707" w:rsidRDefault="00000000">
            <w:pPr>
              <w:spacing w:after="160"/>
            </w:pPr>
            <w:r w:rsidRPr="00337707">
              <w:t>Political</w:t>
            </w:r>
          </w:p>
        </w:tc>
        <w:tc>
          <w:tcPr>
            <w:tcW w:w="3556" w:type="dxa"/>
            <w:noWrap/>
            <w:hideMark/>
          </w:tcPr>
          <w:p w14:paraId="09DAB575" w14:textId="33267046" w:rsidR="00C774D7" w:rsidRPr="00337707" w:rsidRDefault="00000000">
            <w:pPr>
              <w:spacing w:after="160"/>
            </w:pPr>
            <w:r w:rsidRPr="00337707">
              <w:t xml:space="preserve">- </w:t>
            </w:r>
            <w:r w:rsidR="00B518A0" w:rsidRPr="00337707">
              <w:t>Initiative-taking</w:t>
            </w:r>
            <w:r w:rsidRPr="00337707">
              <w:t xml:space="preserve"> engagement and lobbying demonstrate commitment</w:t>
            </w:r>
          </w:p>
        </w:tc>
        <w:tc>
          <w:tcPr>
            <w:tcW w:w="3906" w:type="dxa"/>
            <w:noWrap/>
            <w:hideMark/>
          </w:tcPr>
          <w:p w14:paraId="26700539" w14:textId="77777777" w:rsidR="00C774D7" w:rsidRPr="00337707" w:rsidRDefault="00000000">
            <w:pPr>
              <w:spacing w:after="160"/>
            </w:pPr>
            <w:r w:rsidRPr="00337707">
              <w:t>- Tensions impact distribution and supply chain operations</w:t>
            </w:r>
          </w:p>
        </w:tc>
      </w:tr>
      <w:tr w:rsidR="00C774D7" w:rsidRPr="00337707" w14:paraId="7A5C3D15" w14:textId="77777777">
        <w:trPr>
          <w:trHeight w:val="428"/>
        </w:trPr>
        <w:tc>
          <w:tcPr>
            <w:tcW w:w="1826" w:type="dxa"/>
            <w:noWrap/>
            <w:hideMark/>
          </w:tcPr>
          <w:p w14:paraId="3A0DFCEC" w14:textId="77777777" w:rsidR="00C774D7" w:rsidRPr="00337707" w:rsidRDefault="00C774D7">
            <w:pPr>
              <w:spacing w:after="160"/>
            </w:pPr>
          </w:p>
        </w:tc>
        <w:tc>
          <w:tcPr>
            <w:tcW w:w="3556" w:type="dxa"/>
            <w:noWrap/>
            <w:hideMark/>
          </w:tcPr>
          <w:p w14:paraId="45ACBACF" w14:textId="77777777" w:rsidR="00C774D7" w:rsidRPr="00337707" w:rsidRDefault="00000000">
            <w:pPr>
              <w:spacing w:after="160"/>
            </w:pPr>
            <w:r w:rsidRPr="00337707">
              <w:t>- Stability in developed countries offers market expansion</w:t>
            </w:r>
          </w:p>
        </w:tc>
        <w:tc>
          <w:tcPr>
            <w:tcW w:w="3906" w:type="dxa"/>
            <w:noWrap/>
            <w:hideMark/>
          </w:tcPr>
          <w:p w14:paraId="0E875F35" w14:textId="77777777" w:rsidR="00C774D7" w:rsidRPr="00337707" w:rsidRDefault="00000000">
            <w:pPr>
              <w:spacing w:after="160"/>
            </w:pPr>
            <w:r w:rsidRPr="00337707">
              <w:t>- Accusations of monopoly raise concerns</w:t>
            </w:r>
          </w:p>
        </w:tc>
      </w:tr>
      <w:tr w:rsidR="00C774D7" w:rsidRPr="00337707" w14:paraId="45C3296C" w14:textId="77777777">
        <w:trPr>
          <w:trHeight w:val="428"/>
        </w:trPr>
        <w:tc>
          <w:tcPr>
            <w:tcW w:w="1826" w:type="dxa"/>
            <w:noWrap/>
            <w:hideMark/>
          </w:tcPr>
          <w:p w14:paraId="3FA03DBF" w14:textId="77777777" w:rsidR="00C774D7" w:rsidRPr="00337707" w:rsidRDefault="00000000">
            <w:pPr>
              <w:spacing w:after="160"/>
            </w:pPr>
            <w:r w:rsidRPr="00337707">
              <w:t>Economic</w:t>
            </w:r>
          </w:p>
        </w:tc>
        <w:tc>
          <w:tcPr>
            <w:tcW w:w="3556" w:type="dxa"/>
            <w:noWrap/>
            <w:hideMark/>
          </w:tcPr>
          <w:p w14:paraId="016DB09E" w14:textId="77777777" w:rsidR="00C774D7" w:rsidRPr="00337707" w:rsidRDefault="00000000">
            <w:pPr>
              <w:spacing w:after="160"/>
            </w:pPr>
            <w:r w:rsidRPr="00337707">
              <w:t>- Stability in developed countries provides a steady market</w:t>
            </w:r>
          </w:p>
        </w:tc>
        <w:tc>
          <w:tcPr>
            <w:tcW w:w="3906" w:type="dxa"/>
            <w:noWrap/>
            <w:hideMark/>
          </w:tcPr>
          <w:p w14:paraId="681D43E9" w14:textId="77777777" w:rsidR="00C774D7" w:rsidRPr="00337707" w:rsidRDefault="00000000">
            <w:pPr>
              <w:spacing w:after="160"/>
            </w:pPr>
            <w:r w:rsidRPr="00337707">
              <w:t>- Exchange rates and protectionist policies impact MNCs</w:t>
            </w:r>
          </w:p>
        </w:tc>
      </w:tr>
      <w:tr w:rsidR="00C774D7" w:rsidRPr="00337707" w14:paraId="2BA50C97" w14:textId="77777777">
        <w:trPr>
          <w:trHeight w:val="428"/>
        </w:trPr>
        <w:tc>
          <w:tcPr>
            <w:tcW w:w="1826" w:type="dxa"/>
            <w:noWrap/>
            <w:hideMark/>
          </w:tcPr>
          <w:p w14:paraId="6B18E920" w14:textId="77777777" w:rsidR="00C774D7" w:rsidRPr="00337707" w:rsidRDefault="00C774D7">
            <w:pPr>
              <w:spacing w:after="160"/>
            </w:pPr>
          </w:p>
        </w:tc>
        <w:tc>
          <w:tcPr>
            <w:tcW w:w="3556" w:type="dxa"/>
            <w:noWrap/>
            <w:hideMark/>
          </w:tcPr>
          <w:p w14:paraId="35B4691C" w14:textId="77777777" w:rsidR="00C774D7" w:rsidRPr="00337707" w:rsidRDefault="00000000">
            <w:pPr>
              <w:spacing w:after="160"/>
            </w:pPr>
            <w:r w:rsidRPr="00337707">
              <w:t>- Growth opportunities in developing countries</w:t>
            </w:r>
          </w:p>
        </w:tc>
        <w:tc>
          <w:tcPr>
            <w:tcW w:w="3906" w:type="dxa"/>
            <w:noWrap/>
            <w:hideMark/>
          </w:tcPr>
          <w:p w14:paraId="65313402" w14:textId="77777777" w:rsidR="00C774D7" w:rsidRPr="00337707" w:rsidRDefault="00000000">
            <w:pPr>
              <w:spacing w:after="160"/>
            </w:pPr>
            <w:r w:rsidRPr="00337707">
              <w:t>- H-1B visa program overhaul may limit foreign employees</w:t>
            </w:r>
          </w:p>
        </w:tc>
      </w:tr>
      <w:tr w:rsidR="00C774D7" w:rsidRPr="00337707" w14:paraId="0EE8FD0B" w14:textId="77777777">
        <w:trPr>
          <w:trHeight w:val="428"/>
        </w:trPr>
        <w:tc>
          <w:tcPr>
            <w:tcW w:w="1826" w:type="dxa"/>
            <w:noWrap/>
            <w:hideMark/>
          </w:tcPr>
          <w:p w14:paraId="75E0CADA" w14:textId="77777777" w:rsidR="00C774D7" w:rsidRPr="00337707" w:rsidRDefault="00000000">
            <w:pPr>
              <w:spacing w:after="160"/>
            </w:pPr>
            <w:r w:rsidRPr="00337707">
              <w:lastRenderedPageBreak/>
              <w:t>Social (Mobile Adoption)</w:t>
            </w:r>
          </w:p>
        </w:tc>
        <w:tc>
          <w:tcPr>
            <w:tcW w:w="3556" w:type="dxa"/>
            <w:noWrap/>
            <w:hideMark/>
          </w:tcPr>
          <w:p w14:paraId="4BD310C5" w14:textId="77777777" w:rsidR="00C774D7" w:rsidRPr="00337707" w:rsidRDefault="00000000">
            <w:pPr>
              <w:spacing w:after="160"/>
            </w:pPr>
            <w:r w:rsidRPr="00337707">
              <w:t>- Historical dominance in computer adoption</w:t>
            </w:r>
          </w:p>
        </w:tc>
        <w:tc>
          <w:tcPr>
            <w:tcW w:w="3906" w:type="dxa"/>
            <w:noWrap/>
            <w:hideMark/>
          </w:tcPr>
          <w:p w14:paraId="7B372DE7" w14:textId="77777777" w:rsidR="00C774D7" w:rsidRPr="00337707" w:rsidRDefault="00000000">
            <w:pPr>
              <w:spacing w:after="160"/>
            </w:pPr>
            <w:r w:rsidRPr="00337707">
              <w:t>- Focus on computers amid the shift to mobile usage</w:t>
            </w:r>
          </w:p>
        </w:tc>
      </w:tr>
      <w:tr w:rsidR="00C774D7" w:rsidRPr="00337707" w14:paraId="758E9E8F" w14:textId="77777777">
        <w:trPr>
          <w:trHeight w:val="428"/>
        </w:trPr>
        <w:tc>
          <w:tcPr>
            <w:tcW w:w="1826" w:type="dxa"/>
            <w:noWrap/>
            <w:hideMark/>
          </w:tcPr>
          <w:p w14:paraId="1B4047DF" w14:textId="77777777" w:rsidR="00C774D7" w:rsidRPr="00337707" w:rsidRDefault="00000000">
            <w:pPr>
              <w:spacing w:after="160"/>
            </w:pPr>
            <w:r w:rsidRPr="00337707">
              <w:t>Technological</w:t>
            </w:r>
          </w:p>
        </w:tc>
        <w:tc>
          <w:tcPr>
            <w:tcW w:w="3556" w:type="dxa"/>
            <w:noWrap/>
            <w:hideMark/>
          </w:tcPr>
          <w:p w14:paraId="0C11E452" w14:textId="14A95961" w:rsidR="00C774D7" w:rsidRPr="00337707" w:rsidRDefault="00000000">
            <w:pPr>
              <w:spacing w:after="160"/>
            </w:pPr>
            <w:r w:rsidRPr="00337707">
              <w:t xml:space="preserve">- Continuous innovation to stay ahead of </w:t>
            </w:r>
            <w:r w:rsidR="000D3499" w:rsidRPr="00337707">
              <w:t>intense competition</w:t>
            </w:r>
          </w:p>
        </w:tc>
        <w:tc>
          <w:tcPr>
            <w:tcW w:w="3906" w:type="dxa"/>
            <w:noWrap/>
            <w:hideMark/>
          </w:tcPr>
          <w:p w14:paraId="2570DB02" w14:textId="77777777" w:rsidR="00C774D7" w:rsidRPr="00337707" w:rsidRDefault="00000000">
            <w:pPr>
              <w:spacing w:after="160"/>
            </w:pPr>
            <w:r w:rsidRPr="00337707">
              <w:t>- High competition requires ongoing R&amp;D investment</w:t>
            </w:r>
          </w:p>
        </w:tc>
      </w:tr>
      <w:tr w:rsidR="00C774D7" w:rsidRPr="00337707" w14:paraId="12EAE48F" w14:textId="77777777">
        <w:trPr>
          <w:trHeight w:val="428"/>
        </w:trPr>
        <w:tc>
          <w:tcPr>
            <w:tcW w:w="1826" w:type="dxa"/>
            <w:noWrap/>
            <w:hideMark/>
          </w:tcPr>
          <w:p w14:paraId="7B65D50C" w14:textId="77777777" w:rsidR="00C774D7" w:rsidRPr="00337707" w:rsidRDefault="00000000">
            <w:pPr>
              <w:spacing w:after="160"/>
            </w:pPr>
            <w:r w:rsidRPr="00337707">
              <w:t>Environmental (Sustainability)</w:t>
            </w:r>
          </w:p>
        </w:tc>
        <w:tc>
          <w:tcPr>
            <w:tcW w:w="3556" w:type="dxa"/>
            <w:noWrap/>
            <w:hideMark/>
          </w:tcPr>
          <w:p w14:paraId="0CAB2C5E" w14:textId="77777777" w:rsidR="00C774D7" w:rsidRPr="00337707" w:rsidRDefault="00000000">
            <w:pPr>
              <w:spacing w:after="160"/>
            </w:pPr>
            <w:r w:rsidRPr="00337707">
              <w:t>- Recognition as the world's most environmentally friendly</w:t>
            </w:r>
          </w:p>
        </w:tc>
        <w:tc>
          <w:tcPr>
            <w:tcW w:w="3906" w:type="dxa"/>
            <w:noWrap/>
            <w:hideMark/>
          </w:tcPr>
          <w:p w14:paraId="1DD1C122" w14:textId="77777777" w:rsidR="00C774D7" w:rsidRPr="00337707" w:rsidRDefault="00000000">
            <w:pPr>
              <w:spacing w:after="160"/>
            </w:pPr>
            <w:r w:rsidRPr="00337707">
              <w:t>- Carbon-neutral practices and internal tax demonstrate commitment</w:t>
            </w:r>
          </w:p>
        </w:tc>
      </w:tr>
      <w:tr w:rsidR="00C774D7" w:rsidRPr="00337707" w14:paraId="0079BBBF" w14:textId="77777777">
        <w:trPr>
          <w:trHeight w:val="428"/>
        </w:trPr>
        <w:tc>
          <w:tcPr>
            <w:tcW w:w="1826" w:type="dxa"/>
            <w:noWrap/>
            <w:hideMark/>
          </w:tcPr>
          <w:p w14:paraId="584F060F" w14:textId="77777777" w:rsidR="00C774D7" w:rsidRPr="00337707" w:rsidRDefault="00000000">
            <w:pPr>
              <w:spacing w:after="160"/>
            </w:pPr>
            <w:r w:rsidRPr="00337707">
              <w:t>Legal</w:t>
            </w:r>
          </w:p>
        </w:tc>
        <w:tc>
          <w:tcPr>
            <w:tcW w:w="3556" w:type="dxa"/>
            <w:noWrap/>
            <w:hideMark/>
          </w:tcPr>
          <w:p w14:paraId="6AA84B8F" w14:textId="77777777" w:rsidR="00C774D7" w:rsidRPr="00337707" w:rsidRDefault="00000000">
            <w:pPr>
              <w:spacing w:after="160"/>
            </w:pPr>
            <w:r w:rsidRPr="00337707">
              <w:t>- Proactive legal approach and spending on lobbyists</w:t>
            </w:r>
          </w:p>
        </w:tc>
        <w:tc>
          <w:tcPr>
            <w:tcW w:w="3906" w:type="dxa"/>
            <w:noWrap/>
            <w:hideMark/>
          </w:tcPr>
          <w:p w14:paraId="55678C2F" w14:textId="1CA7D3F8" w:rsidR="00C774D7" w:rsidRPr="00337707" w:rsidRDefault="00000000">
            <w:pPr>
              <w:spacing w:after="160"/>
            </w:pPr>
            <w:r w:rsidRPr="00337707">
              <w:t xml:space="preserve">- </w:t>
            </w:r>
            <w:r w:rsidR="000D3499">
              <w:t>High</w:t>
            </w:r>
            <w:r w:rsidR="000D3499" w:rsidRPr="00337707">
              <w:t xml:space="preserve"> risk</w:t>
            </w:r>
            <w:r w:rsidRPr="00337707">
              <w:t xml:space="preserve"> of legal challenges and substantial payouts</w:t>
            </w:r>
          </w:p>
        </w:tc>
      </w:tr>
      <w:tr w:rsidR="00C774D7" w:rsidRPr="00337707" w14:paraId="3AF6B37D" w14:textId="77777777">
        <w:trPr>
          <w:trHeight w:val="428"/>
        </w:trPr>
        <w:tc>
          <w:tcPr>
            <w:tcW w:w="1826" w:type="dxa"/>
            <w:noWrap/>
            <w:hideMark/>
          </w:tcPr>
          <w:p w14:paraId="59244B9A" w14:textId="77777777" w:rsidR="00C774D7" w:rsidRPr="00337707" w:rsidRDefault="00C774D7">
            <w:pPr>
              <w:spacing w:after="160"/>
            </w:pPr>
          </w:p>
        </w:tc>
        <w:tc>
          <w:tcPr>
            <w:tcW w:w="3556" w:type="dxa"/>
            <w:noWrap/>
            <w:hideMark/>
          </w:tcPr>
          <w:p w14:paraId="60753C25" w14:textId="77777777" w:rsidR="00C774D7" w:rsidRPr="00337707" w:rsidRDefault="00000000">
            <w:pPr>
              <w:spacing w:after="160"/>
            </w:pPr>
            <w:r w:rsidRPr="00337707">
              <w:t>- Commitment to careful customer satisfaction strategies</w:t>
            </w:r>
          </w:p>
        </w:tc>
        <w:tc>
          <w:tcPr>
            <w:tcW w:w="3906" w:type="dxa"/>
            <w:noWrap/>
            <w:hideMark/>
          </w:tcPr>
          <w:p w14:paraId="0C913DA6" w14:textId="77777777" w:rsidR="00C774D7" w:rsidRPr="00337707" w:rsidRDefault="00000000">
            <w:pPr>
              <w:spacing w:after="160"/>
            </w:pPr>
            <w:r w:rsidRPr="00337707">
              <w:t>- Legal entanglements and discrimination issues</w:t>
            </w:r>
          </w:p>
        </w:tc>
      </w:tr>
    </w:tbl>
    <w:p w14:paraId="2550A65E" w14:textId="77777777" w:rsidR="00C774D7" w:rsidRPr="00337707" w:rsidRDefault="00000000">
      <w:pPr>
        <w:jc w:val="center"/>
        <w:rPr>
          <w:i/>
          <w:iCs/>
        </w:rPr>
      </w:pPr>
      <w:r w:rsidRPr="00337707">
        <w:rPr>
          <w:i/>
          <w:iCs/>
        </w:rPr>
        <w:t>Summary of the Macro-Environment Analysis for Microsoft</w:t>
      </w:r>
    </w:p>
    <w:p w14:paraId="220B2377" w14:textId="77777777" w:rsidR="00C774D7" w:rsidRPr="00337707" w:rsidRDefault="00000000">
      <w:pPr>
        <w:jc w:val="center"/>
        <w:rPr>
          <w:i/>
          <w:iCs/>
        </w:rPr>
      </w:pPr>
      <w:r w:rsidRPr="00337707">
        <w:rPr>
          <w:i/>
          <w:iCs/>
        </w:rPr>
        <w:t>Source: Nkang, (2023)</w:t>
      </w:r>
    </w:p>
    <w:p w14:paraId="63EC3FEC" w14:textId="2E68BD6E" w:rsidR="00DE229B" w:rsidRPr="00337707" w:rsidRDefault="00CD089F" w:rsidP="00CD089F">
      <w:r w:rsidRPr="00337707">
        <w:t xml:space="preserve">Politically, Microsoft faces dual challenges, Navigating the regulatory compliance and countering accusations of monopoly power. The regulatory compliance is imperative, particularly concerning data privacy as revealed in their recent scrutiny. Noncompliance could lead to hefty fines, which will end up tarnishing the Company’s reputation </w:t>
      </w:r>
      <w:r w:rsidR="00B76EA5" w:rsidRPr="00337707">
        <w:t>and</w:t>
      </w:r>
      <w:r w:rsidRPr="00337707">
        <w:t xml:space="preserve"> undermines their customers </w:t>
      </w:r>
      <w:r w:rsidR="00DE229B" w:rsidRPr="00337707">
        <w:t>trust</w:t>
      </w:r>
      <w:r w:rsidRPr="00337707">
        <w:t xml:space="preserve"> and rating. Also, the accusations of monopoly power are a big issue which requires strategic and careful approach because its implication is much heavier than that of the previous issue, </w:t>
      </w:r>
      <w:r w:rsidR="00DE229B" w:rsidRPr="00337707">
        <w:t>it influences strategic decisions to ensure market access while also averting legal entanglements. In this case</w:t>
      </w:r>
      <w:r w:rsidR="00B76EA5" w:rsidRPr="00337707">
        <w:t>,</w:t>
      </w:r>
      <w:r w:rsidR="00DE229B" w:rsidRPr="00337707">
        <w:t xml:space="preserve"> the company’s lobbying effort will become critical and requires continuous investment in legal strategies and shaping a political landscape which will be conducive for their innovation</w:t>
      </w:r>
    </w:p>
    <w:p w14:paraId="6AD3E9AC" w14:textId="77777777" w:rsidR="0079124B" w:rsidRPr="00337707" w:rsidRDefault="00AB6700" w:rsidP="00CD089F">
      <w:r w:rsidRPr="00337707">
        <w:t xml:space="preserve">The company economic dynamics relies on developed economics for stability; However, the global economic downturns tend to threaten their software and hardware sales. Exchange rates fluctuations in these developed countries also  add more complexity which impacts </w:t>
      </w:r>
      <w:r w:rsidR="0079124B" w:rsidRPr="00337707">
        <w:t>their</w:t>
      </w:r>
      <w:r w:rsidRPr="00337707">
        <w:t xml:space="preserve"> overseas profit</w:t>
      </w:r>
      <w:r w:rsidR="0079124B" w:rsidRPr="00337707">
        <w:t xml:space="preserve">. To solve this, a structured balance between cost optimization and retaining skilled talent is pivotal since their transition to the H-1B visa program also demands strategic foresight. </w:t>
      </w:r>
    </w:p>
    <w:p w14:paraId="3F08EF46" w14:textId="7102D84C" w:rsidR="00C774D7" w:rsidRPr="00337707" w:rsidRDefault="0079124B" w:rsidP="00CD089F">
      <w:r w:rsidRPr="00337707">
        <w:t xml:space="preserve">The technological strategy of Microsoft revolves around cloud computing and sustainability commitments, </w:t>
      </w:r>
      <w:r w:rsidR="00BC3CFA" w:rsidRPr="00337707">
        <w:t>this</w:t>
      </w:r>
      <w:r w:rsidR="00B76EA5" w:rsidRPr="00337707">
        <w:t xml:space="preserve"> makes</w:t>
      </w:r>
      <w:r w:rsidRPr="00337707">
        <w:t xml:space="preserve"> product like Azure a crucial tool in </w:t>
      </w:r>
      <w:r w:rsidR="00905C93" w:rsidRPr="00337707">
        <w:t xml:space="preserve">their </w:t>
      </w:r>
      <w:r w:rsidRPr="00337707">
        <w:t xml:space="preserve">competitive positioning. The </w:t>
      </w:r>
      <w:r w:rsidRPr="00337707">
        <w:lastRenderedPageBreak/>
        <w:t xml:space="preserve">company has invested a lot of resources in research and development of this area. </w:t>
      </w:r>
      <w:r w:rsidR="00905C93" w:rsidRPr="00337707">
        <w:t>Thus,</w:t>
      </w:r>
      <w:r w:rsidRPr="00337707">
        <w:t xml:space="preserve"> its implication </w:t>
      </w:r>
      <w:r w:rsidR="00905C93" w:rsidRPr="00337707">
        <w:t>has been</w:t>
      </w:r>
      <w:r w:rsidRPr="00337707">
        <w:t xml:space="preserve"> profound as it has affected </w:t>
      </w:r>
      <w:r w:rsidR="00905C93" w:rsidRPr="00337707">
        <w:t>their</w:t>
      </w:r>
      <w:r w:rsidRPr="00337707">
        <w:t xml:space="preserve"> operational efficiency and </w:t>
      </w:r>
      <w:r w:rsidR="00905C93" w:rsidRPr="00337707">
        <w:t xml:space="preserve">customer experience generally. Also, Microsoft is heavily committed to sustainability which includes carbon neutrality. This commitment has been fueled with a lot of financial and strategic investments which now produces an </w:t>
      </w:r>
      <w:r w:rsidR="00685E09" w:rsidRPr="00337707">
        <w:t>overarching implication</w:t>
      </w:r>
      <w:r w:rsidR="00BC3CFA" w:rsidRPr="00337707">
        <w:t xml:space="preserve"> such as</w:t>
      </w:r>
      <w:r w:rsidR="002B4C08" w:rsidRPr="00337707">
        <w:t xml:space="preserve"> improve</w:t>
      </w:r>
      <w:r w:rsidR="00BC3CFA" w:rsidRPr="00337707">
        <w:t>ment in</w:t>
      </w:r>
      <w:r w:rsidR="002B4C08" w:rsidRPr="00337707">
        <w:t xml:space="preserve"> the brand's reputation and changes with the </w:t>
      </w:r>
      <w:r w:rsidR="00BC3CFA" w:rsidRPr="00337707">
        <w:t>preference</w:t>
      </w:r>
      <w:r w:rsidR="002B4C08" w:rsidRPr="00337707">
        <w:t xml:space="preserve"> of the consumer</w:t>
      </w:r>
      <w:r w:rsidR="008543C9" w:rsidRPr="00337707">
        <w:t>.</w:t>
      </w:r>
    </w:p>
    <w:p w14:paraId="0D159211" w14:textId="41B79937" w:rsidR="008543C9" w:rsidRPr="00337707" w:rsidRDefault="006C1A5D" w:rsidP="00E358D7">
      <w:r w:rsidRPr="00337707">
        <w:t>Data privacy regulations and antitrust concerns are significantly influencing Microsoft’s strategy. The organisation continues to devise measures to adhere to data privacy regulations like GDPR, which is a complex but necessary aspect. Hence, the company must continue to invest in compliance measures and user-centric  data practices to mitigate legal risks.</w:t>
      </w:r>
      <w:r w:rsidR="00FD11D5" w:rsidRPr="00337707">
        <w:t xml:space="preserve"> Legal entanglements often lead to significant financial settlements, affecting the company’s bottom line. </w:t>
      </w:r>
      <w:r w:rsidR="00FD11D5" w:rsidRPr="00337707">
        <w:tab/>
        <w:t xml:space="preserve">Although, </w:t>
      </w:r>
      <w:r w:rsidR="00587352">
        <w:t xml:space="preserve">Proactive </w:t>
      </w:r>
      <w:r w:rsidR="00FD11D5" w:rsidRPr="00337707">
        <w:t>legal measures and lobbying efforts are essential, they also incur additional costs. Financial resources</w:t>
      </w:r>
      <w:r w:rsidR="00FD11D5" w:rsidRPr="00337707">
        <w:t xml:space="preserve"> that could be used for research, development, and innovation is diverted when resources are allocated on legal matters.</w:t>
      </w:r>
      <w:r w:rsidR="00FD11D5" w:rsidRPr="00337707">
        <w:t xml:space="preserve"> Hence, Microsoft must aim to balance their legal defence expenditures with its </w:t>
      </w:r>
      <w:r w:rsidR="003453D3" w:rsidRPr="00337707">
        <w:t>long-term</w:t>
      </w:r>
      <w:r w:rsidR="00FD11D5" w:rsidRPr="00337707">
        <w:t xml:space="preserve"> financial objectives, aiming for stability and growth.</w:t>
      </w:r>
    </w:p>
    <w:p w14:paraId="2A9B5A75" w14:textId="6F3B99F3" w:rsidR="008543C9" w:rsidRPr="00337707" w:rsidRDefault="008543C9" w:rsidP="008543C9">
      <w:r w:rsidRPr="00337707">
        <w:t xml:space="preserve">The dynamic interplay of political tensions and economic stability significantly influences Microsoft's decision-making and market positioning. Geopolitical conflicts, such as the US-China trade war, </w:t>
      </w:r>
      <w:r w:rsidRPr="00337707">
        <w:t xml:space="preserve">also </w:t>
      </w:r>
      <w:r w:rsidRPr="00337707">
        <w:t xml:space="preserve">disrupt supply chains. Regulatory scrutiny necessitates careful compliance, presenting opportunities for Microsoft to lead in data privacy and antitrust measures, enhancing brand reputation. During economic downturns, the company can pivot to subscription-based models, fostering innovation through strategic R&amp;D investments. Adapting pricing strategies and geographical diversification in response to fluctuating exchange rates can maintain market positioning. Microsoft's resilient response to political and economic challenges lies in strategic agility, emphasizing cloud-based services, and prioritizing data privacy to turn challenges into opportunities. </w:t>
      </w:r>
    </w:p>
    <w:p w14:paraId="52E9741B" w14:textId="1899D473" w:rsidR="00C774D7" w:rsidRPr="00337707" w:rsidRDefault="008543C9" w:rsidP="00CA237A">
      <w:pPr>
        <w:pStyle w:val="Heading1"/>
        <w:jc w:val="center"/>
      </w:pPr>
      <w:r w:rsidRPr="00337707">
        <w:br w:type="page"/>
      </w:r>
      <w:bookmarkStart w:id="12" w:name="_Toc158742357"/>
      <w:bookmarkStart w:id="13" w:name="_Toc159156427"/>
      <w:r w:rsidR="00000000" w:rsidRPr="00337707">
        <w:lastRenderedPageBreak/>
        <w:t>INTERNAL ANALYSIS</w:t>
      </w:r>
      <w:bookmarkEnd w:id="12"/>
      <w:bookmarkEnd w:id="13"/>
    </w:p>
    <w:p w14:paraId="0A5BCD9C" w14:textId="77FB2E92" w:rsidR="00C774D7" w:rsidRPr="00337707" w:rsidRDefault="00000000">
      <w:r w:rsidRPr="00337707">
        <w:t xml:space="preserve">Strategic analysis has widely used the </w:t>
      </w:r>
      <w:r w:rsidR="00F26C5E" w:rsidRPr="00F26C5E">
        <w:t>Value, Rarity, Imitability, and Organization</w:t>
      </w:r>
      <w:r w:rsidR="00F26C5E">
        <w:t xml:space="preserve"> (</w:t>
      </w:r>
      <w:r w:rsidRPr="00337707">
        <w:t>VRIO</w:t>
      </w:r>
      <w:r w:rsidR="00F26C5E">
        <w:t xml:space="preserve">), </w:t>
      </w:r>
      <w:r w:rsidR="00F26C5E" w:rsidRPr="00F26C5E">
        <w:t>a strategic management framework used to analyze the internal resources and capabilities of a company to determine its competitive advantage</w:t>
      </w:r>
      <w:r w:rsidRPr="00337707">
        <w:t xml:space="preserve">, </w:t>
      </w:r>
      <w:r w:rsidR="00F26C5E" w:rsidRPr="00F26C5E">
        <w:t> </w:t>
      </w:r>
      <w:r w:rsidRPr="00337707">
        <w:t xml:space="preserve"> </w:t>
      </w:r>
      <w:r w:rsidR="00F26C5E">
        <w:t>Also, the tool</w:t>
      </w:r>
      <w:r w:rsidRPr="00337707">
        <w:t xml:space="preserve"> has been extended to include a sustainability dimension, making it a useful tool for </w:t>
      </w:r>
      <w:r w:rsidR="00CA237A" w:rsidRPr="00337707">
        <w:t>analysing</w:t>
      </w:r>
      <w:r w:rsidRPr="00337707">
        <w:t xml:space="preserve"> resources in a sustainable tourism context. (Bresser and Powalla, 2022) have found that the VRIO framework is more predictive of stock-market performance than other decision-making heuristics like gut feeling and analyst ratings.</w:t>
      </w:r>
    </w:p>
    <w:p w14:paraId="322318FB" w14:textId="501AF81A" w:rsidR="001A06A9" w:rsidRPr="00337707" w:rsidRDefault="00CA237A">
      <w:r>
        <w:t xml:space="preserve">Despite being widely used in strategic management, VRIO has been shown to have limitations for accounting for internal Microsoft analysis. (Knott, 2015): It may not adequately address turbulent and uncertain environments because it tends to elicit inward-looking descriptions and overlook resource disadvantages. According to Chatzoglou et al (2018), the VRIO framework may not capture firm-specific factors like manufacturing capabilities and organizational structure. Therefore, it is recommended to complement the VRIO framework with a more comprehensive and context-specific </w:t>
      </w:r>
      <w:r>
        <w:t>approach.</w:t>
      </w:r>
    </w:p>
    <w:p w14:paraId="67D2F98A" w14:textId="77777777" w:rsidR="00C774D7" w:rsidRPr="00337707" w:rsidRDefault="00000000">
      <w:pPr>
        <w:pStyle w:val="Heading2"/>
      </w:pPr>
      <w:bookmarkStart w:id="14" w:name="_Toc158742359"/>
      <w:bookmarkStart w:id="15" w:name="_Toc159156428"/>
      <w:r w:rsidRPr="00337707">
        <w:t>LEADING CORE COMPETENCIES OF MICROSOFT</w:t>
      </w:r>
      <w:bookmarkEnd w:id="14"/>
      <w:bookmarkEnd w:id="15"/>
    </w:p>
    <w:p w14:paraId="23BC0896" w14:textId="77777777" w:rsidR="00C774D7" w:rsidRPr="00337707" w:rsidRDefault="00000000">
      <w:r w:rsidRPr="00337707">
        <w:t xml:space="preserve">Based on the VRIO framework, Microsoft Corporation has several core competencies that contribute to its competitive advantage. (Pratap, 2020) </w:t>
      </w:r>
    </w:p>
    <w:p w14:paraId="7FA23A14" w14:textId="3891C2BF" w:rsidR="00C774D7" w:rsidRPr="00337707" w:rsidRDefault="00000000">
      <w:pPr>
        <w:pStyle w:val="ListParagraph"/>
        <w:numPr>
          <w:ilvl w:val="0"/>
          <w:numId w:val="1"/>
        </w:numPr>
      </w:pPr>
      <w:r w:rsidRPr="00337707">
        <w:rPr>
          <w:b/>
          <w:bCs/>
        </w:rPr>
        <w:t>Brand Recognition</w:t>
      </w:r>
      <w:r w:rsidRPr="00337707">
        <w:t xml:space="preserve">: </w:t>
      </w:r>
      <w:r w:rsidR="00DA76BA">
        <w:t>The Microsoft brand can compete favourably against lesser-known brands because it is associated with quality and innovation.</w:t>
      </w:r>
    </w:p>
    <w:p w14:paraId="0D9B1E6F" w14:textId="26E0D3D4" w:rsidR="00C774D7" w:rsidRPr="00337707" w:rsidRDefault="00000000">
      <w:pPr>
        <w:pStyle w:val="ListParagraph"/>
        <w:numPr>
          <w:ilvl w:val="0"/>
          <w:numId w:val="1"/>
        </w:numPr>
      </w:pPr>
      <w:r w:rsidRPr="00337707">
        <w:rPr>
          <w:b/>
          <w:bCs/>
        </w:rPr>
        <w:t>Strong Financials</w:t>
      </w:r>
      <w:r w:rsidRPr="00337707">
        <w:t xml:space="preserve">: </w:t>
      </w:r>
      <w:r w:rsidR="00DA76BA">
        <w:t>In 2018, Microsoft's net revenues increased by $110.4 billion, reflecting its ability to invest in research, development, and innovation. Its financial prowess allows it to remain competitive in a hypercompetitive technology industry.</w:t>
      </w:r>
    </w:p>
    <w:p w14:paraId="55DD2EA1" w14:textId="77777777" w:rsidR="00DA76BA" w:rsidRDefault="00000000" w:rsidP="00DA76BA">
      <w:pPr>
        <w:pStyle w:val="ListParagraph"/>
        <w:numPr>
          <w:ilvl w:val="0"/>
          <w:numId w:val="1"/>
        </w:numPr>
      </w:pPr>
      <w:r w:rsidRPr="00337707">
        <w:rPr>
          <w:b/>
          <w:bCs/>
        </w:rPr>
        <w:t>Product Portfolio:</w:t>
      </w:r>
      <w:r w:rsidRPr="00337707">
        <w:t xml:space="preserve"> </w:t>
      </w:r>
      <w:r w:rsidR="00DA76BA">
        <w:t>The Microsoft product portfolio includes Windows OS, Office Software, LinkedIn, and GitHub, making it less dependent on core products. As well as providing multiple income channels, this expansion enhances the company's overall resilience</w:t>
      </w:r>
      <w:r w:rsidR="00DA76BA">
        <w:t>.</w:t>
      </w:r>
    </w:p>
    <w:p w14:paraId="66986B2D" w14:textId="1C2BC2CF" w:rsidR="00C774D7" w:rsidRPr="00337707" w:rsidRDefault="00000000" w:rsidP="00DA76BA">
      <w:pPr>
        <w:pStyle w:val="ListParagraph"/>
        <w:numPr>
          <w:ilvl w:val="0"/>
          <w:numId w:val="1"/>
        </w:numPr>
      </w:pPr>
      <w:r w:rsidRPr="00DA76BA">
        <w:rPr>
          <w:b/>
          <w:bCs/>
        </w:rPr>
        <w:t>Technological Innovation</w:t>
      </w:r>
      <w:r w:rsidRPr="00337707">
        <w:t xml:space="preserve">: </w:t>
      </w:r>
      <w:r w:rsidR="00DA76BA" w:rsidRPr="00DA76BA">
        <w:t>Research and development expenses at Microsoft increased by $2.7 billion from 2016 to 2018. This core competency ensures a continuous stream of innovative products and services while maintaining market leadership.</w:t>
      </w:r>
    </w:p>
    <w:p w14:paraId="00548607" w14:textId="74A4BC4D" w:rsidR="00C774D7" w:rsidRPr="00337707" w:rsidRDefault="00000000">
      <w:pPr>
        <w:pStyle w:val="ListParagraph"/>
        <w:numPr>
          <w:ilvl w:val="0"/>
          <w:numId w:val="1"/>
        </w:numPr>
      </w:pPr>
      <w:r w:rsidRPr="00337707">
        <w:rPr>
          <w:b/>
          <w:bCs/>
        </w:rPr>
        <w:lastRenderedPageBreak/>
        <w:t>Talented Human Resources</w:t>
      </w:r>
      <w:r w:rsidRPr="00337707">
        <w:t xml:space="preserve">: </w:t>
      </w:r>
      <w:r w:rsidR="00DA76BA">
        <w:t>Microsoft's focus on acquiring and retaining talented employees is crucial for its competitive parity. Microsoft's ability to attract top talent has been strengthened by Satya Nadella's initiatives to create an inclusive and innovative company culture.</w:t>
      </w:r>
    </w:p>
    <w:tbl>
      <w:tblPr>
        <w:tblStyle w:val="TableGrid"/>
        <w:tblW w:w="9634" w:type="dxa"/>
        <w:tblLook w:val="04A0" w:firstRow="1" w:lastRow="0" w:firstColumn="1" w:lastColumn="0" w:noHBand="0" w:noVBand="1"/>
      </w:tblPr>
      <w:tblGrid>
        <w:gridCol w:w="1513"/>
        <w:gridCol w:w="1656"/>
        <w:gridCol w:w="1609"/>
        <w:gridCol w:w="1456"/>
        <w:gridCol w:w="1557"/>
        <w:gridCol w:w="1843"/>
      </w:tblGrid>
      <w:tr w:rsidR="00C774D7" w:rsidRPr="00337707" w14:paraId="406720F8" w14:textId="77777777">
        <w:trPr>
          <w:trHeight w:val="300"/>
        </w:trPr>
        <w:tc>
          <w:tcPr>
            <w:tcW w:w="1513" w:type="dxa"/>
            <w:noWrap/>
            <w:hideMark/>
          </w:tcPr>
          <w:p w14:paraId="45A66481" w14:textId="77777777" w:rsidR="00C774D7" w:rsidRPr="00337707" w:rsidRDefault="00000000">
            <w:pPr>
              <w:rPr>
                <w:b/>
                <w:bCs/>
                <w:szCs w:val="24"/>
              </w:rPr>
            </w:pPr>
            <w:r w:rsidRPr="00337707">
              <w:rPr>
                <w:b/>
                <w:bCs/>
                <w:szCs w:val="24"/>
              </w:rPr>
              <w:t>Resource</w:t>
            </w:r>
          </w:p>
        </w:tc>
        <w:tc>
          <w:tcPr>
            <w:tcW w:w="1656" w:type="dxa"/>
            <w:noWrap/>
            <w:hideMark/>
          </w:tcPr>
          <w:p w14:paraId="1B6A77EB" w14:textId="77777777" w:rsidR="00C774D7" w:rsidRPr="00337707" w:rsidRDefault="00000000">
            <w:pPr>
              <w:rPr>
                <w:b/>
                <w:bCs/>
                <w:szCs w:val="24"/>
              </w:rPr>
            </w:pPr>
            <w:r w:rsidRPr="00337707">
              <w:rPr>
                <w:b/>
                <w:bCs/>
                <w:szCs w:val="24"/>
              </w:rPr>
              <w:t>Valuable?</w:t>
            </w:r>
          </w:p>
        </w:tc>
        <w:tc>
          <w:tcPr>
            <w:tcW w:w="1609" w:type="dxa"/>
            <w:noWrap/>
            <w:hideMark/>
          </w:tcPr>
          <w:p w14:paraId="5E872612" w14:textId="77777777" w:rsidR="00C774D7" w:rsidRPr="00337707" w:rsidRDefault="00000000">
            <w:pPr>
              <w:rPr>
                <w:b/>
                <w:bCs/>
                <w:szCs w:val="24"/>
              </w:rPr>
            </w:pPr>
            <w:r w:rsidRPr="00337707">
              <w:rPr>
                <w:b/>
                <w:bCs/>
                <w:szCs w:val="24"/>
              </w:rPr>
              <w:t>Rare?</w:t>
            </w:r>
          </w:p>
        </w:tc>
        <w:tc>
          <w:tcPr>
            <w:tcW w:w="1456" w:type="dxa"/>
            <w:noWrap/>
            <w:hideMark/>
          </w:tcPr>
          <w:p w14:paraId="01CC671F" w14:textId="77777777" w:rsidR="00C774D7" w:rsidRPr="00337707" w:rsidRDefault="00000000">
            <w:pPr>
              <w:rPr>
                <w:b/>
                <w:bCs/>
                <w:szCs w:val="24"/>
              </w:rPr>
            </w:pPr>
            <w:r w:rsidRPr="00337707">
              <w:rPr>
                <w:b/>
                <w:bCs/>
                <w:szCs w:val="24"/>
              </w:rPr>
              <w:t>Inimitable?</w:t>
            </w:r>
          </w:p>
        </w:tc>
        <w:tc>
          <w:tcPr>
            <w:tcW w:w="1557" w:type="dxa"/>
            <w:noWrap/>
            <w:hideMark/>
          </w:tcPr>
          <w:p w14:paraId="199CB6ED" w14:textId="77777777" w:rsidR="00C774D7" w:rsidRPr="00337707" w:rsidRDefault="00000000">
            <w:pPr>
              <w:rPr>
                <w:b/>
                <w:bCs/>
                <w:szCs w:val="24"/>
              </w:rPr>
            </w:pPr>
            <w:r w:rsidRPr="00337707">
              <w:rPr>
                <w:b/>
                <w:bCs/>
                <w:szCs w:val="24"/>
              </w:rPr>
              <w:t>Organized?</w:t>
            </w:r>
          </w:p>
        </w:tc>
        <w:tc>
          <w:tcPr>
            <w:tcW w:w="1843" w:type="dxa"/>
            <w:noWrap/>
            <w:hideMark/>
          </w:tcPr>
          <w:p w14:paraId="2C227173" w14:textId="77777777" w:rsidR="00C774D7" w:rsidRPr="00337707" w:rsidRDefault="00000000">
            <w:pPr>
              <w:rPr>
                <w:b/>
                <w:bCs/>
                <w:szCs w:val="24"/>
              </w:rPr>
            </w:pPr>
            <w:r w:rsidRPr="00337707">
              <w:rPr>
                <w:b/>
                <w:bCs/>
                <w:szCs w:val="24"/>
              </w:rPr>
              <w:t>Competitive Advantage?</w:t>
            </w:r>
          </w:p>
        </w:tc>
      </w:tr>
      <w:tr w:rsidR="00C774D7" w:rsidRPr="00337707" w14:paraId="1450C8FB" w14:textId="77777777">
        <w:trPr>
          <w:trHeight w:val="300"/>
        </w:trPr>
        <w:tc>
          <w:tcPr>
            <w:tcW w:w="1513" w:type="dxa"/>
            <w:noWrap/>
            <w:hideMark/>
          </w:tcPr>
          <w:p w14:paraId="4F689BEA" w14:textId="77777777" w:rsidR="00C774D7" w:rsidRPr="00337707" w:rsidRDefault="00000000">
            <w:pPr>
              <w:rPr>
                <w:b/>
                <w:bCs/>
                <w:szCs w:val="24"/>
              </w:rPr>
            </w:pPr>
            <w:r w:rsidRPr="00337707">
              <w:rPr>
                <w:b/>
                <w:bCs/>
                <w:szCs w:val="24"/>
              </w:rPr>
              <w:t>Brand recognition</w:t>
            </w:r>
          </w:p>
        </w:tc>
        <w:tc>
          <w:tcPr>
            <w:tcW w:w="1656" w:type="dxa"/>
            <w:noWrap/>
            <w:hideMark/>
          </w:tcPr>
          <w:p w14:paraId="7B324755" w14:textId="77777777" w:rsidR="00C774D7" w:rsidRPr="00337707" w:rsidRDefault="00000000">
            <w:pPr>
              <w:spacing w:after="160"/>
              <w:rPr>
                <w:szCs w:val="24"/>
              </w:rPr>
            </w:pPr>
            <w:r w:rsidRPr="00337707">
              <w:rPr>
                <w:szCs w:val="24"/>
              </w:rPr>
              <w:t xml:space="preserve">Yes </w:t>
            </w:r>
          </w:p>
          <w:p w14:paraId="52E77439" w14:textId="77777777" w:rsidR="00C774D7" w:rsidRPr="00337707" w:rsidRDefault="00000000">
            <w:pPr>
              <w:rPr>
                <w:szCs w:val="24"/>
              </w:rPr>
            </w:pPr>
            <w:r w:rsidRPr="00337707">
              <w:rPr>
                <w:szCs w:val="24"/>
              </w:rPr>
              <w:t>(high trust, global reach)</w:t>
            </w:r>
          </w:p>
        </w:tc>
        <w:tc>
          <w:tcPr>
            <w:tcW w:w="1609" w:type="dxa"/>
            <w:noWrap/>
            <w:hideMark/>
          </w:tcPr>
          <w:p w14:paraId="1462A1BA" w14:textId="77777777" w:rsidR="00C774D7" w:rsidRPr="00337707" w:rsidRDefault="00000000">
            <w:pPr>
              <w:rPr>
                <w:szCs w:val="24"/>
              </w:rPr>
            </w:pPr>
            <w:r w:rsidRPr="00337707">
              <w:rPr>
                <w:szCs w:val="24"/>
              </w:rPr>
              <w:t>Yes (established over decades)</w:t>
            </w:r>
          </w:p>
        </w:tc>
        <w:tc>
          <w:tcPr>
            <w:tcW w:w="1456" w:type="dxa"/>
            <w:noWrap/>
            <w:hideMark/>
          </w:tcPr>
          <w:p w14:paraId="26E30914" w14:textId="77777777" w:rsidR="00C774D7" w:rsidRPr="00337707" w:rsidRDefault="00000000">
            <w:pPr>
              <w:rPr>
                <w:szCs w:val="24"/>
              </w:rPr>
            </w:pPr>
            <w:r w:rsidRPr="00337707">
              <w:rPr>
                <w:szCs w:val="24"/>
              </w:rPr>
              <w:t>Partially (competitors can build brand, but not same history)</w:t>
            </w:r>
          </w:p>
        </w:tc>
        <w:tc>
          <w:tcPr>
            <w:tcW w:w="1557" w:type="dxa"/>
            <w:noWrap/>
            <w:hideMark/>
          </w:tcPr>
          <w:p w14:paraId="6EE01A0E" w14:textId="77777777" w:rsidR="00C774D7" w:rsidRPr="00337707" w:rsidRDefault="00000000">
            <w:pPr>
              <w:spacing w:after="160"/>
              <w:rPr>
                <w:szCs w:val="24"/>
              </w:rPr>
            </w:pPr>
            <w:r w:rsidRPr="00337707">
              <w:rPr>
                <w:szCs w:val="24"/>
              </w:rPr>
              <w:t>Yes (strong marketing, consistent messaging)</w:t>
            </w:r>
          </w:p>
        </w:tc>
        <w:tc>
          <w:tcPr>
            <w:tcW w:w="1843" w:type="dxa"/>
            <w:noWrap/>
            <w:hideMark/>
          </w:tcPr>
          <w:p w14:paraId="26548A77" w14:textId="77777777" w:rsidR="00C774D7" w:rsidRPr="00337707" w:rsidRDefault="00000000">
            <w:pPr>
              <w:spacing w:after="160"/>
              <w:rPr>
                <w:szCs w:val="24"/>
              </w:rPr>
            </w:pPr>
            <w:r w:rsidRPr="00337707">
              <w:rPr>
                <w:szCs w:val="24"/>
              </w:rPr>
              <w:t>Yes (strong customer loyalty, premium pricing)</w:t>
            </w:r>
          </w:p>
        </w:tc>
      </w:tr>
      <w:tr w:rsidR="00C774D7" w:rsidRPr="00337707" w14:paraId="3C19C58F" w14:textId="77777777">
        <w:trPr>
          <w:trHeight w:val="300"/>
        </w:trPr>
        <w:tc>
          <w:tcPr>
            <w:tcW w:w="1513" w:type="dxa"/>
            <w:noWrap/>
            <w:hideMark/>
          </w:tcPr>
          <w:p w14:paraId="7A3AFF2D" w14:textId="77777777" w:rsidR="00C774D7" w:rsidRPr="00337707" w:rsidRDefault="00000000">
            <w:pPr>
              <w:rPr>
                <w:b/>
                <w:bCs/>
                <w:szCs w:val="24"/>
              </w:rPr>
            </w:pPr>
            <w:r w:rsidRPr="00337707">
              <w:rPr>
                <w:b/>
                <w:bCs/>
                <w:szCs w:val="24"/>
              </w:rPr>
              <w:t>Intellectual property (IP)</w:t>
            </w:r>
          </w:p>
        </w:tc>
        <w:tc>
          <w:tcPr>
            <w:tcW w:w="1656" w:type="dxa"/>
            <w:noWrap/>
            <w:hideMark/>
          </w:tcPr>
          <w:p w14:paraId="445C51D1" w14:textId="77777777" w:rsidR="00C774D7" w:rsidRPr="00337707" w:rsidRDefault="00000000">
            <w:pPr>
              <w:rPr>
                <w:szCs w:val="24"/>
              </w:rPr>
            </w:pPr>
            <w:r w:rsidRPr="00337707">
              <w:rPr>
                <w:szCs w:val="24"/>
              </w:rPr>
              <w:t>Yes (patents, copyrights, trade secrets)</w:t>
            </w:r>
          </w:p>
        </w:tc>
        <w:tc>
          <w:tcPr>
            <w:tcW w:w="1609" w:type="dxa"/>
            <w:noWrap/>
            <w:hideMark/>
          </w:tcPr>
          <w:p w14:paraId="24BB8B21" w14:textId="77777777" w:rsidR="00C774D7" w:rsidRPr="00337707" w:rsidRDefault="00000000">
            <w:pPr>
              <w:rPr>
                <w:szCs w:val="24"/>
              </w:rPr>
            </w:pPr>
            <w:r w:rsidRPr="00337707">
              <w:rPr>
                <w:szCs w:val="24"/>
              </w:rPr>
              <w:t>Partially (some publicly known, competitors can develop alternatives)</w:t>
            </w:r>
          </w:p>
        </w:tc>
        <w:tc>
          <w:tcPr>
            <w:tcW w:w="1456" w:type="dxa"/>
            <w:noWrap/>
            <w:hideMark/>
          </w:tcPr>
          <w:p w14:paraId="49D54069" w14:textId="77777777" w:rsidR="00C774D7" w:rsidRPr="00337707" w:rsidRDefault="00000000">
            <w:pPr>
              <w:rPr>
                <w:szCs w:val="24"/>
              </w:rPr>
            </w:pPr>
            <w:r w:rsidRPr="00337707">
              <w:rPr>
                <w:szCs w:val="24"/>
              </w:rPr>
              <w:t>Partially (legal protection, R&amp;D efforts, switching costs)</w:t>
            </w:r>
          </w:p>
        </w:tc>
        <w:tc>
          <w:tcPr>
            <w:tcW w:w="1557" w:type="dxa"/>
            <w:noWrap/>
            <w:hideMark/>
          </w:tcPr>
          <w:p w14:paraId="1514EAAB" w14:textId="77777777" w:rsidR="00C774D7" w:rsidRPr="00337707" w:rsidRDefault="00000000">
            <w:pPr>
              <w:rPr>
                <w:szCs w:val="24"/>
              </w:rPr>
            </w:pPr>
            <w:r w:rsidRPr="00337707">
              <w:rPr>
                <w:szCs w:val="24"/>
              </w:rPr>
              <w:t>Yes (active patent prosecution, knowledge management)</w:t>
            </w:r>
          </w:p>
        </w:tc>
        <w:tc>
          <w:tcPr>
            <w:tcW w:w="1843" w:type="dxa"/>
            <w:noWrap/>
            <w:hideMark/>
          </w:tcPr>
          <w:p w14:paraId="5E7B5286" w14:textId="77777777" w:rsidR="00C774D7" w:rsidRPr="00337707" w:rsidRDefault="00000000">
            <w:pPr>
              <w:rPr>
                <w:szCs w:val="24"/>
              </w:rPr>
            </w:pPr>
            <w:r w:rsidRPr="00337707">
              <w:rPr>
                <w:szCs w:val="24"/>
              </w:rPr>
              <w:t>Yes (differentiation, protection from competition)</w:t>
            </w:r>
          </w:p>
        </w:tc>
      </w:tr>
      <w:tr w:rsidR="00C774D7" w:rsidRPr="00337707" w14:paraId="4C24E3F0" w14:textId="77777777">
        <w:trPr>
          <w:trHeight w:val="300"/>
        </w:trPr>
        <w:tc>
          <w:tcPr>
            <w:tcW w:w="1513" w:type="dxa"/>
            <w:noWrap/>
            <w:hideMark/>
          </w:tcPr>
          <w:p w14:paraId="43BCC17C" w14:textId="77777777" w:rsidR="00C774D7" w:rsidRPr="00337707" w:rsidRDefault="00000000">
            <w:pPr>
              <w:rPr>
                <w:b/>
                <w:bCs/>
                <w:szCs w:val="24"/>
              </w:rPr>
            </w:pPr>
            <w:r w:rsidRPr="00337707">
              <w:rPr>
                <w:b/>
                <w:bCs/>
                <w:szCs w:val="24"/>
              </w:rPr>
              <w:t>Talent pool</w:t>
            </w:r>
          </w:p>
        </w:tc>
        <w:tc>
          <w:tcPr>
            <w:tcW w:w="1656" w:type="dxa"/>
            <w:noWrap/>
            <w:hideMark/>
          </w:tcPr>
          <w:p w14:paraId="3B579747" w14:textId="77777777" w:rsidR="00C774D7" w:rsidRPr="00337707" w:rsidRDefault="00000000">
            <w:pPr>
              <w:rPr>
                <w:szCs w:val="24"/>
              </w:rPr>
            </w:pPr>
            <w:r w:rsidRPr="00337707">
              <w:rPr>
                <w:szCs w:val="24"/>
              </w:rPr>
              <w:t>Yes (highly skilled workforce, diverse expertise)</w:t>
            </w:r>
          </w:p>
        </w:tc>
        <w:tc>
          <w:tcPr>
            <w:tcW w:w="1609" w:type="dxa"/>
            <w:noWrap/>
            <w:hideMark/>
          </w:tcPr>
          <w:p w14:paraId="2A53417B" w14:textId="77777777" w:rsidR="00C774D7" w:rsidRPr="00337707" w:rsidRDefault="00000000">
            <w:pPr>
              <w:rPr>
                <w:szCs w:val="24"/>
              </w:rPr>
            </w:pPr>
            <w:r w:rsidRPr="00337707">
              <w:rPr>
                <w:szCs w:val="24"/>
              </w:rPr>
              <w:t>Partially (others attract talent too)</w:t>
            </w:r>
          </w:p>
        </w:tc>
        <w:tc>
          <w:tcPr>
            <w:tcW w:w="1456" w:type="dxa"/>
            <w:noWrap/>
            <w:hideMark/>
          </w:tcPr>
          <w:p w14:paraId="5703D87C" w14:textId="77777777" w:rsidR="00C774D7" w:rsidRPr="00337707" w:rsidRDefault="00000000">
            <w:pPr>
              <w:rPr>
                <w:szCs w:val="24"/>
              </w:rPr>
            </w:pPr>
            <w:r w:rsidRPr="00337707">
              <w:rPr>
                <w:szCs w:val="24"/>
              </w:rPr>
              <w:t>Partially (strong employer brand, internal training)</w:t>
            </w:r>
          </w:p>
        </w:tc>
        <w:tc>
          <w:tcPr>
            <w:tcW w:w="1557" w:type="dxa"/>
            <w:noWrap/>
            <w:hideMark/>
          </w:tcPr>
          <w:p w14:paraId="4994EDDB" w14:textId="77777777" w:rsidR="00C774D7" w:rsidRPr="00337707" w:rsidRDefault="00000000">
            <w:pPr>
              <w:rPr>
                <w:szCs w:val="24"/>
              </w:rPr>
            </w:pPr>
            <w:r w:rsidRPr="00337707">
              <w:rPr>
                <w:szCs w:val="24"/>
              </w:rPr>
              <w:t>Yes (investments in employee development, diverse teams)</w:t>
            </w:r>
          </w:p>
        </w:tc>
        <w:tc>
          <w:tcPr>
            <w:tcW w:w="1843" w:type="dxa"/>
            <w:noWrap/>
            <w:hideMark/>
          </w:tcPr>
          <w:p w14:paraId="7175B81B" w14:textId="77777777" w:rsidR="00C774D7" w:rsidRPr="00337707" w:rsidRDefault="00000000">
            <w:pPr>
              <w:rPr>
                <w:szCs w:val="24"/>
              </w:rPr>
            </w:pPr>
            <w:r w:rsidRPr="00337707">
              <w:rPr>
                <w:szCs w:val="24"/>
              </w:rPr>
              <w:t>Yes (innovation capacity, operational efficiency)</w:t>
            </w:r>
          </w:p>
        </w:tc>
      </w:tr>
      <w:tr w:rsidR="00C774D7" w:rsidRPr="00337707" w14:paraId="22F081FC" w14:textId="77777777">
        <w:trPr>
          <w:trHeight w:val="300"/>
        </w:trPr>
        <w:tc>
          <w:tcPr>
            <w:tcW w:w="1513" w:type="dxa"/>
            <w:noWrap/>
            <w:hideMark/>
          </w:tcPr>
          <w:p w14:paraId="3E49390B" w14:textId="77777777" w:rsidR="00C774D7" w:rsidRPr="00337707" w:rsidRDefault="00000000">
            <w:pPr>
              <w:rPr>
                <w:b/>
                <w:bCs/>
                <w:szCs w:val="24"/>
              </w:rPr>
            </w:pPr>
            <w:r w:rsidRPr="00337707">
              <w:rPr>
                <w:b/>
                <w:bCs/>
                <w:szCs w:val="24"/>
              </w:rPr>
              <w:t>Ecosystem of partners</w:t>
            </w:r>
          </w:p>
        </w:tc>
        <w:tc>
          <w:tcPr>
            <w:tcW w:w="1656" w:type="dxa"/>
            <w:noWrap/>
            <w:hideMark/>
          </w:tcPr>
          <w:p w14:paraId="1A1E2015" w14:textId="77777777" w:rsidR="00C774D7" w:rsidRPr="00337707" w:rsidRDefault="00000000">
            <w:pPr>
              <w:rPr>
                <w:szCs w:val="24"/>
              </w:rPr>
            </w:pPr>
            <w:r w:rsidRPr="00337707">
              <w:rPr>
                <w:szCs w:val="24"/>
              </w:rPr>
              <w:t>Yes (broad partnerships, complementary offerings)</w:t>
            </w:r>
          </w:p>
        </w:tc>
        <w:tc>
          <w:tcPr>
            <w:tcW w:w="1609" w:type="dxa"/>
            <w:noWrap/>
            <w:hideMark/>
          </w:tcPr>
          <w:p w14:paraId="10C18B3E" w14:textId="77777777" w:rsidR="00C774D7" w:rsidRPr="00337707" w:rsidRDefault="00000000">
            <w:pPr>
              <w:rPr>
                <w:szCs w:val="24"/>
              </w:rPr>
            </w:pPr>
            <w:r w:rsidRPr="00337707">
              <w:rPr>
                <w:szCs w:val="24"/>
              </w:rPr>
              <w:t>Partially (competitors can build networks)</w:t>
            </w:r>
          </w:p>
        </w:tc>
        <w:tc>
          <w:tcPr>
            <w:tcW w:w="1456" w:type="dxa"/>
            <w:noWrap/>
            <w:hideMark/>
          </w:tcPr>
          <w:p w14:paraId="6C07732E" w14:textId="77777777" w:rsidR="00C774D7" w:rsidRPr="00337707" w:rsidRDefault="00000000">
            <w:pPr>
              <w:rPr>
                <w:szCs w:val="24"/>
              </w:rPr>
            </w:pPr>
            <w:r w:rsidRPr="00337707">
              <w:rPr>
                <w:szCs w:val="24"/>
              </w:rPr>
              <w:t>Partially (switching costs, trust, network effects)</w:t>
            </w:r>
          </w:p>
        </w:tc>
        <w:tc>
          <w:tcPr>
            <w:tcW w:w="1557" w:type="dxa"/>
            <w:noWrap/>
            <w:hideMark/>
          </w:tcPr>
          <w:p w14:paraId="74DAAB9C" w14:textId="77777777" w:rsidR="00C774D7" w:rsidRPr="00337707" w:rsidRDefault="00000000">
            <w:pPr>
              <w:rPr>
                <w:szCs w:val="24"/>
              </w:rPr>
            </w:pPr>
            <w:r w:rsidRPr="00337707">
              <w:rPr>
                <w:szCs w:val="24"/>
              </w:rPr>
              <w:t>Yes (joint marketing, platform integration)</w:t>
            </w:r>
          </w:p>
        </w:tc>
        <w:tc>
          <w:tcPr>
            <w:tcW w:w="1843" w:type="dxa"/>
            <w:noWrap/>
            <w:hideMark/>
          </w:tcPr>
          <w:p w14:paraId="03F68247" w14:textId="77777777" w:rsidR="00C774D7" w:rsidRPr="00337707" w:rsidRDefault="00000000">
            <w:pPr>
              <w:rPr>
                <w:szCs w:val="24"/>
              </w:rPr>
            </w:pPr>
            <w:r w:rsidRPr="00337707">
              <w:rPr>
                <w:szCs w:val="24"/>
              </w:rPr>
              <w:t>Yes (expanded reach, market access, innovation potential)</w:t>
            </w:r>
          </w:p>
        </w:tc>
      </w:tr>
      <w:tr w:rsidR="00C774D7" w:rsidRPr="00337707" w14:paraId="5A264DFE" w14:textId="77777777">
        <w:trPr>
          <w:trHeight w:val="300"/>
        </w:trPr>
        <w:tc>
          <w:tcPr>
            <w:tcW w:w="1513" w:type="dxa"/>
            <w:noWrap/>
            <w:hideMark/>
          </w:tcPr>
          <w:p w14:paraId="7FB7701E" w14:textId="77777777" w:rsidR="00C774D7" w:rsidRPr="00337707" w:rsidRDefault="00000000">
            <w:pPr>
              <w:rPr>
                <w:b/>
                <w:bCs/>
                <w:szCs w:val="24"/>
              </w:rPr>
            </w:pPr>
            <w:r w:rsidRPr="00337707">
              <w:rPr>
                <w:b/>
                <w:bCs/>
                <w:szCs w:val="24"/>
              </w:rPr>
              <w:lastRenderedPageBreak/>
              <w:t>Data and analytics capabilities</w:t>
            </w:r>
          </w:p>
        </w:tc>
        <w:tc>
          <w:tcPr>
            <w:tcW w:w="1656" w:type="dxa"/>
            <w:noWrap/>
            <w:hideMark/>
          </w:tcPr>
          <w:p w14:paraId="3B552B5B" w14:textId="77777777" w:rsidR="00C774D7" w:rsidRPr="00337707" w:rsidRDefault="00000000">
            <w:pPr>
              <w:rPr>
                <w:szCs w:val="24"/>
              </w:rPr>
            </w:pPr>
            <w:r w:rsidRPr="00337707">
              <w:rPr>
                <w:szCs w:val="24"/>
              </w:rPr>
              <w:t>Yes (massive datasets, AI expertise)</w:t>
            </w:r>
          </w:p>
        </w:tc>
        <w:tc>
          <w:tcPr>
            <w:tcW w:w="1609" w:type="dxa"/>
            <w:noWrap/>
            <w:hideMark/>
          </w:tcPr>
          <w:p w14:paraId="4D6D10A8" w14:textId="77777777" w:rsidR="00C774D7" w:rsidRPr="00337707" w:rsidRDefault="00000000">
            <w:pPr>
              <w:rPr>
                <w:szCs w:val="24"/>
              </w:rPr>
            </w:pPr>
            <w:r w:rsidRPr="00337707">
              <w:rPr>
                <w:szCs w:val="24"/>
              </w:rPr>
              <w:t>Partially (others collect data, develop AI)</w:t>
            </w:r>
          </w:p>
        </w:tc>
        <w:tc>
          <w:tcPr>
            <w:tcW w:w="1456" w:type="dxa"/>
            <w:noWrap/>
            <w:hideMark/>
          </w:tcPr>
          <w:p w14:paraId="6C24EB9F" w14:textId="77777777" w:rsidR="00C774D7" w:rsidRPr="00337707" w:rsidRDefault="00000000">
            <w:pPr>
              <w:rPr>
                <w:szCs w:val="24"/>
              </w:rPr>
            </w:pPr>
            <w:r w:rsidRPr="00337707">
              <w:rPr>
                <w:szCs w:val="24"/>
              </w:rPr>
              <w:t>Partially (expertise, data quality, proprietary algorithms)</w:t>
            </w:r>
          </w:p>
        </w:tc>
        <w:tc>
          <w:tcPr>
            <w:tcW w:w="1557" w:type="dxa"/>
            <w:noWrap/>
            <w:hideMark/>
          </w:tcPr>
          <w:p w14:paraId="5F7036DC" w14:textId="77777777" w:rsidR="00C774D7" w:rsidRPr="00337707" w:rsidRDefault="00000000">
            <w:pPr>
              <w:rPr>
                <w:szCs w:val="24"/>
              </w:rPr>
            </w:pPr>
            <w:r w:rsidRPr="00337707">
              <w:rPr>
                <w:szCs w:val="24"/>
              </w:rPr>
              <w:t>Yes (investments in cloud infrastructure, data science teams)</w:t>
            </w:r>
          </w:p>
        </w:tc>
        <w:tc>
          <w:tcPr>
            <w:tcW w:w="1843" w:type="dxa"/>
            <w:noWrap/>
            <w:hideMark/>
          </w:tcPr>
          <w:p w14:paraId="6EF578C0" w14:textId="77777777" w:rsidR="00C774D7" w:rsidRPr="00337707" w:rsidRDefault="00000000">
            <w:pPr>
              <w:rPr>
                <w:szCs w:val="24"/>
              </w:rPr>
            </w:pPr>
            <w:r w:rsidRPr="00337707">
              <w:rPr>
                <w:szCs w:val="24"/>
              </w:rPr>
              <w:t>Yes (personalized offerings, operational insights, improved decision-making)</w:t>
            </w:r>
          </w:p>
        </w:tc>
      </w:tr>
      <w:tr w:rsidR="00C774D7" w:rsidRPr="00337707" w14:paraId="2632CE1C" w14:textId="77777777">
        <w:trPr>
          <w:trHeight w:val="300"/>
        </w:trPr>
        <w:tc>
          <w:tcPr>
            <w:tcW w:w="1513" w:type="dxa"/>
            <w:noWrap/>
            <w:hideMark/>
          </w:tcPr>
          <w:p w14:paraId="0A8AE703" w14:textId="77777777" w:rsidR="00C774D7" w:rsidRPr="00337707" w:rsidRDefault="00000000">
            <w:pPr>
              <w:rPr>
                <w:b/>
                <w:bCs/>
                <w:szCs w:val="24"/>
              </w:rPr>
            </w:pPr>
            <w:r w:rsidRPr="00337707">
              <w:rPr>
                <w:b/>
                <w:bCs/>
                <w:szCs w:val="24"/>
              </w:rPr>
              <w:t>Financial resources</w:t>
            </w:r>
          </w:p>
        </w:tc>
        <w:tc>
          <w:tcPr>
            <w:tcW w:w="1656" w:type="dxa"/>
            <w:noWrap/>
            <w:hideMark/>
          </w:tcPr>
          <w:p w14:paraId="0DCD1A7C" w14:textId="77777777" w:rsidR="00C774D7" w:rsidRPr="00337707" w:rsidRDefault="00000000">
            <w:pPr>
              <w:rPr>
                <w:szCs w:val="24"/>
              </w:rPr>
            </w:pPr>
            <w:r w:rsidRPr="00337707">
              <w:rPr>
                <w:szCs w:val="24"/>
              </w:rPr>
              <w:t>Yes (large cash reserves, investment capital)</w:t>
            </w:r>
          </w:p>
        </w:tc>
        <w:tc>
          <w:tcPr>
            <w:tcW w:w="1609" w:type="dxa"/>
            <w:noWrap/>
            <w:hideMark/>
          </w:tcPr>
          <w:p w14:paraId="107DC9F6" w14:textId="77777777" w:rsidR="00C774D7" w:rsidRPr="00337707" w:rsidRDefault="00000000">
            <w:pPr>
              <w:rPr>
                <w:szCs w:val="24"/>
              </w:rPr>
            </w:pPr>
            <w:r w:rsidRPr="00337707">
              <w:rPr>
                <w:szCs w:val="24"/>
              </w:rPr>
              <w:t>Partially (other large companies have resources)</w:t>
            </w:r>
          </w:p>
        </w:tc>
        <w:tc>
          <w:tcPr>
            <w:tcW w:w="1456" w:type="dxa"/>
            <w:noWrap/>
            <w:hideMark/>
          </w:tcPr>
          <w:p w14:paraId="44B99DB6" w14:textId="77777777" w:rsidR="00C774D7" w:rsidRPr="00337707" w:rsidRDefault="00000000">
            <w:pPr>
              <w:rPr>
                <w:szCs w:val="24"/>
              </w:rPr>
            </w:pPr>
            <w:r w:rsidRPr="00337707">
              <w:rPr>
                <w:szCs w:val="24"/>
              </w:rPr>
              <w:t>Partially (prudent financial management, investment strategy)</w:t>
            </w:r>
          </w:p>
        </w:tc>
        <w:tc>
          <w:tcPr>
            <w:tcW w:w="1557" w:type="dxa"/>
            <w:noWrap/>
            <w:hideMark/>
          </w:tcPr>
          <w:p w14:paraId="1FE42390" w14:textId="77777777" w:rsidR="00C774D7" w:rsidRPr="00337707" w:rsidRDefault="00000000">
            <w:pPr>
              <w:rPr>
                <w:szCs w:val="24"/>
              </w:rPr>
            </w:pPr>
            <w:r w:rsidRPr="00337707">
              <w:rPr>
                <w:szCs w:val="24"/>
              </w:rPr>
              <w:t>Yes (acquisitions, R&amp;D funding, market resilience)</w:t>
            </w:r>
          </w:p>
        </w:tc>
        <w:tc>
          <w:tcPr>
            <w:tcW w:w="1843" w:type="dxa"/>
            <w:noWrap/>
            <w:hideMark/>
          </w:tcPr>
          <w:p w14:paraId="0E3519FE" w14:textId="77777777" w:rsidR="00C774D7" w:rsidRPr="00337707" w:rsidRDefault="00000000">
            <w:pPr>
              <w:rPr>
                <w:szCs w:val="24"/>
              </w:rPr>
            </w:pPr>
            <w:r w:rsidRPr="00337707">
              <w:rPr>
                <w:szCs w:val="24"/>
              </w:rPr>
              <w:t>Yes (flexibility, growth opportunities, competitive edge in acquisitions)</w:t>
            </w:r>
          </w:p>
        </w:tc>
      </w:tr>
    </w:tbl>
    <w:p w14:paraId="0619E1CA" w14:textId="77777777" w:rsidR="00C774D7" w:rsidRPr="00337707" w:rsidRDefault="00000000">
      <w:pPr>
        <w:spacing w:line="276" w:lineRule="auto"/>
        <w:jc w:val="center"/>
        <w:rPr>
          <w:i/>
          <w:iCs/>
          <w:szCs w:val="24"/>
        </w:rPr>
      </w:pPr>
      <w:r w:rsidRPr="00337707">
        <w:rPr>
          <w:i/>
          <w:iCs/>
          <w:szCs w:val="24"/>
        </w:rPr>
        <w:t>Resource Analysis Table - Microsoft Corporation</w:t>
      </w:r>
    </w:p>
    <w:p w14:paraId="7B628209" w14:textId="056AB858" w:rsidR="00C774D7" w:rsidRPr="00337707" w:rsidRDefault="00000000" w:rsidP="00690DA1">
      <w:pPr>
        <w:spacing w:line="276" w:lineRule="auto"/>
        <w:jc w:val="center"/>
        <w:rPr>
          <w:i/>
          <w:iCs/>
          <w:szCs w:val="24"/>
        </w:rPr>
      </w:pPr>
      <w:r w:rsidRPr="00337707">
        <w:rPr>
          <w:i/>
          <w:iCs/>
          <w:szCs w:val="24"/>
        </w:rPr>
        <w:t>Source: Miller, (2018)</w:t>
      </w:r>
    </w:p>
    <w:p w14:paraId="5D47210A" w14:textId="1EFDC303" w:rsidR="00DE1AC9" w:rsidRPr="00337707" w:rsidRDefault="00031854" w:rsidP="00031854">
      <w:r w:rsidRPr="00337707">
        <w:t xml:space="preserve">Microsoft’s brand recognition and robust financial position are the major and crucial competencies which fosters their customers loyalty and facilitates strategic investments. With a market capitalization of  </w:t>
      </w:r>
      <w:r w:rsidRPr="00337707">
        <w:t>$1.2 trillion</w:t>
      </w:r>
      <w:r w:rsidRPr="00337707">
        <w:t>, a financial prowess which is a key enabler for their sustained innovation and market resilience. However, the challenge lies in evolving consumer perceptions and the potential erosion of brand trust over time which will poses a threat to Microsoft standing. If there is a negative shift in consumer trust, consumer loyalty will reduce impacting product adoption and sales. To prevent this, maintaining a positive brand image</w:t>
      </w:r>
      <w:r w:rsidR="00DE1AC9" w:rsidRPr="00337707">
        <w:t xml:space="preserve"> is crucial for the company to sustain success and maintain a competitive edge against formidable rivals like Apple and Google.</w:t>
      </w:r>
    </w:p>
    <w:p w14:paraId="26508E40" w14:textId="4F00F91A" w:rsidR="006E43A0" w:rsidRPr="00337707" w:rsidRDefault="006E43A0" w:rsidP="00031854">
      <w:r w:rsidRPr="00337707">
        <w:t xml:space="preserve">From Windows to LinkedIn and Office, diversification of Product portfolio has contributed to Microsoft competitive advantage, </w:t>
      </w:r>
      <w:r w:rsidRPr="00337707">
        <w:t xml:space="preserve">reducing dependence on </w:t>
      </w:r>
      <w:r w:rsidR="000E482D" w:rsidRPr="00337707">
        <w:t>a specific product</w:t>
      </w:r>
      <w:r w:rsidRPr="00337707">
        <w:t xml:space="preserve"> and encouraging innovation</w:t>
      </w:r>
      <w:r w:rsidRPr="00337707">
        <w:t xml:space="preserve"> on a wider perspective. Quantitatively, the </w:t>
      </w:r>
      <w:r w:rsidR="00F74A1A" w:rsidRPr="00337707">
        <w:t xml:space="preserve">diversity is reflected in the extensive array of products and services the company provides. However, as these increases in their competitive advantage, there is risk of internal competition among Microsoft’s own product and services the company provides. This would lead to inefficient resource allocation and potential conflicts. To address these challenges, streamlining the product offerings might be a good strategic imperative. By </w:t>
      </w:r>
      <w:r w:rsidR="00F74A1A" w:rsidRPr="00337707">
        <w:lastRenderedPageBreak/>
        <w:t>considering this, a cohesive approach to innovation which will maximize the benefits of diversified product portfolio will be ensured.</w:t>
      </w:r>
    </w:p>
    <w:p w14:paraId="72523A40" w14:textId="1EE58327" w:rsidR="00830709" w:rsidRPr="00337707" w:rsidRDefault="00830709" w:rsidP="00031854">
      <w:r w:rsidRPr="00337707">
        <w:t xml:space="preserve">Microsoft has substantial investments in R&amp;D, which are essential for its competitive edge in the tech industry. Over the past years, the company has demonstrated there unwavering commitment to continuous innovation by increasing their R&amp;D expenses. </w:t>
      </w:r>
      <w:r w:rsidR="008D0C5E" w:rsidRPr="00337707">
        <w:t>However, the challenge lies i</w:t>
      </w:r>
      <w:r w:rsidRPr="00337707">
        <w:t>n the highly dynamic technological landscape</w:t>
      </w:r>
      <w:r w:rsidR="008D0C5E" w:rsidRPr="00337707">
        <w:t>,</w:t>
      </w:r>
      <w:r w:rsidRPr="00337707">
        <w:t xml:space="preserve"> where competitors are also making substantial investments in R&amp;D to stay at the forefront of the industry</w:t>
      </w:r>
      <w:r w:rsidR="008D0C5E" w:rsidRPr="00337707">
        <w:t>, Hence the most efficient way is to not only innovate but also effectively translate these innovations into user-centric solutions. User experience and practical application are paramount to turning technological prowess into a tangible competitive advantage.</w:t>
      </w:r>
    </w:p>
    <w:p w14:paraId="0D239D11" w14:textId="38ABA527" w:rsidR="00C774D7" w:rsidRPr="00337707" w:rsidRDefault="00000000" w:rsidP="00031854">
      <w:r w:rsidRPr="00337707">
        <w:br w:type="page"/>
      </w:r>
    </w:p>
    <w:p w14:paraId="72227DC0" w14:textId="32D42319" w:rsidR="00C774D7" w:rsidRPr="00337707" w:rsidRDefault="00000000">
      <w:pPr>
        <w:pStyle w:val="Heading1"/>
        <w:jc w:val="center"/>
      </w:pPr>
      <w:bookmarkStart w:id="16" w:name="_Toc158742361"/>
      <w:bookmarkStart w:id="17" w:name="_Toc159156429"/>
      <w:r w:rsidRPr="00337707">
        <w:lastRenderedPageBreak/>
        <w:t>STRATEGIC CHOICES</w:t>
      </w:r>
      <w:bookmarkEnd w:id="16"/>
      <w:r w:rsidR="00B91261" w:rsidRPr="00337707">
        <w:t xml:space="preserve"> (SP-ROA)</w:t>
      </w:r>
      <w:bookmarkEnd w:id="17"/>
    </w:p>
    <w:p w14:paraId="2A52BF25" w14:textId="58066539" w:rsidR="0013285E" w:rsidRPr="0013285E" w:rsidRDefault="0013285E" w:rsidP="0013285E">
      <w:bookmarkStart w:id="18" w:name="_Toc158742362"/>
      <w:r w:rsidRPr="0013285E">
        <w:t xml:space="preserve">Real options analysis (ROA) and scenario planning (SP) have been integrated to enhance both techniques (Favato and Vecchiato, 2017). Microsoft is particularly suited to use this approach in a rapidly evolving technological environment. Microsoft has been able to identify strategic issues and develop options </w:t>
      </w:r>
      <w:r w:rsidRPr="0013285E">
        <w:t>because of</w:t>
      </w:r>
      <w:r w:rsidRPr="0013285E">
        <w:t xml:space="preserve"> combining SP-ROA, thus making more dynamic decisions (Khan, 2011). Previous analyses have noted the need for flexible and adaptive strategy approaches.</w:t>
      </w:r>
    </w:p>
    <w:p w14:paraId="28989300" w14:textId="57A3B1F3" w:rsidR="0013285E" w:rsidRDefault="0013285E" w:rsidP="0013285E">
      <w:pPr>
        <w:rPr>
          <w:b/>
        </w:rPr>
      </w:pPr>
      <w:r w:rsidRPr="0013285E">
        <w:t xml:space="preserve">In forming and analysing Microsoft's strategic choices, SP-ROA framework may be limited by a number of factors. According to Raynor and Leroux (2014), rank-ordering heuristics may overlook the impact of individual projects on the portfolio and ignore technical interdependencies. Kind et al. (2018) </w:t>
      </w:r>
      <w:r w:rsidRPr="0013285E">
        <w:t>explains</w:t>
      </w:r>
      <w:r w:rsidRPr="0013285E">
        <w:t xml:space="preserve"> how the framework is extremely complex, especially when it comes to identifying and quantifying uncertainty sources and integrating them into scenarios. Al-Hazmi (2020) and Guo et al. (2021) emphasize the importance of a comprehensive conceptual framework and the possibility of errors in strategy evaluation. For valuable insights, SP-ROA should be used carefully and complemented with other analytical tools.</w:t>
      </w:r>
    </w:p>
    <w:p w14:paraId="27087FA2" w14:textId="6815D4FB" w:rsidR="00C774D7" w:rsidRPr="00337707" w:rsidRDefault="00000000" w:rsidP="0013285E">
      <w:pPr>
        <w:pStyle w:val="Heading2"/>
      </w:pPr>
      <w:bookmarkStart w:id="19" w:name="_Toc159156430"/>
      <w:r w:rsidRPr="00337707">
        <w:t>KEY STRATEGIC ISSUE FACED BY MICORSOFT</w:t>
      </w:r>
      <w:bookmarkEnd w:id="18"/>
      <w:bookmarkEnd w:id="19"/>
    </w:p>
    <w:p w14:paraId="1B1F4259" w14:textId="795CB465" w:rsidR="002C0B24" w:rsidRDefault="002C0B24" w:rsidP="002C0B24">
      <w:r>
        <w:t xml:space="preserve">Often, Microsoft succumbs to a "me-too" mentality, replicating competitor moves, to avoid addressing customers' specific needs (Gurel and Tat, 2017). These approaches have led to the abandonment of effective technologies, including MP3 players, cloud-based Office applications, and webcams, in </w:t>
      </w:r>
      <w:r>
        <w:t>favour</w:t>
      </w:r>
      <w:r>
        <w:t xml:space="preserve"> of unnecessary changes</w:t>
      </w:r>
      <w:r w:rsidR="00F26C5E">
        <w:t xml:space="preserve"> (Microsoft Corporation, 2024)</w:t>
      </w:r>
      <w:r>
        <w:t>. A lack of innovation despite substantial investments in Research and Development has prevented the company from developing groundbreaking products (Loebbecke et al, 2020).</w:t>
      </w:r>
    </w:p>
    <w:p w14:paraId="795EC42D" w14:textId="77777777" w:rsidR="002C0B24" w:rsidRDefault="002C0B24" w:rsidP="002C0B24">
      <w:r>
        <w:t>Its difficulty in introducing innovations without disrupting its existing systems is due to its inability to understand customers and resistance to change (Bort, 2019). As demonstrated by their reluctance to upgrade from Internet Explorer 6, enterprises are dependent on Microsoft's technology and resist constant change. As Thelwall (2018) warns, Microsoft faces a precarious position due to innovation and stability tensions.</w:t>
      </w:r>
    </w:p>
    <w:p w14:paraId="5F449EBF" w14:textId="0827C936" w:rsidR="002C0B24" w:rsidRPr="00337707" w:rsidRDefault="002C0B24" w:rsidP="002C0B24">
      <w:r>
        <w:t xml:space="preserve">Aside from that, Microsoft's tendency to build rather than partner for technology hinders its progress (Valentin, 2021). Instead of collaborating with established players like VMware, Warner insists on creating its own solutions, such as hypervisors and gaming consoles, leading to </w:t>
      </w:r>
      <w:r>
        <w:lastRenderedPageBreak/>
        <w:t>unnecessary expenses and opportunities. Despite market trends and competitors' strategies, Microsoft tends to go against them (Neumann et al, 2019).</w:t>
      </w:r>
    </w:p>
    <w:p w14:paraId="412FDE22" w14:textId="77777777" w:rsidR="00C774D7" w:rsidRPr="00337707" w:rsidRDefault="00000000">
      <w:pPr>
        <w:pStyle w:val="Heading2"/>
      </w:pPr>
      <w:bookmarkStart w:id="20" w:name="_Toc158742363"/>
      <w:bookmarkStart w:id="21" w:name="_Toc159156431"/>
      <w:r w:rsidRPr="00337707">
        <w:t>FACTORS INFLUENCING THE STRATEGIC CHOICES</w:t>
      </w:r>
      <w:bookmarkEnd w:id="20"/>
      <w:bookmarkEnd w:id="21"/>
    </w:p>
    <w:p w14:paraId="3EECC4E9" w14:textId="77777777" w:rsidR="00C774D7" w:rsidRPr="00337707" w:rsidRDefault="00000000">
      <w:pPr>
        <w:pStyle w:val="Heading3"/>
      </w:pPr>
      <w:bookmarkStart w:id="22" w:name="_Toc158742364"/>
      <w:r w:rsidRPr="00337707">
        <w:t>External Factors:</w:t>
      </w:r>
      <w:bookmarkEnd w:id="22"/>
    </w:p>
    <w:p w14:paraId="7FD8A4FF" w14:textId="4A2F50BC" w:rsidR="00C774D7" w:rsidRPr="00337707" w:rsidRDefault="00000000">
      <w:pPr>
        <w:pStyle w:val="ListParagraph"/>
        <w:numPr>
          <w:ilvl w:val="0"/>
          <w:numId w:val="4"/>
        </w:numPr>
      </w:pPr>
      <w:r w:rsidRPr="00337707">
        <w:rPr>
          <w:b/>
          <w:bCs/>
        </w:rPr>
        <w:t xml:space="preserve">Competitive Landscape: </w:t>
      </w:r>
      <w:r w:rsidRPr="00337707">
        <w:t xml:space="preserve">Microsoft detects opportunities and threats by </w:t>
      </w:r>
      <w:r w:rsidR="002C0B24" w:rsidRPr="00337707">
        <w:t>analysing</w:t>
      </w:r>
      <w:r w:rsidRPr="00337707">
        <w:t xml:space="preserve"> the strategies of competitors, especially in areas like search engines (Google).</w:t>
      </w:r>
    </w:p>
    <w:p w14:paraId="353EC299" w14:textId="77777777" w:rsidR="00C774D7" w:rsidRPr="00337707" w:rsidRDefault="00000000">
      <w:pPr>
        <w:pStyle w:val="ListParagraph"/>
        <w:numPr>
          <w:ilvl w:val="0"/>
          <w:numId w:val="4"/>
        </w:numPr>
      </w:pPr>
      <w:r w:rsidRPr="00337707">
        <w:rPr>
          <w:b/>
          <w:bCs/>
        </w:rPr>
        <w:t>Regulatory Environment</w:t>
      </w:r>
      <w:r w:rsidRPr="00337707">
        <w:t>: A diverse regulatory environment poses challenges to Microsoft due to its global reach. Keeping up with changing regulatory frameworks requires flexibility and strategic foresight.</w:t>
      </w:r>
    </w:p>
    <w:p w14:paraId="43BC3A14" w14:textId="77777777" w:rsidR="00C774D7" w:rsidRPr="00337707" w:rsidRDefault="00000000">
      <w:pPr>
        <w:pStyle w:val="Heading3"/>
      </w:pPr>
      <w:bookmarkStart w:id="23" w:name="_Toc158742365"/>
      <w:r w:rsidRPr="00337707">
        <w:t>Internal Factors:</w:t>
      </w:r>
      <w:bookmarkEnd w:id="23"/>
    </w:p>
    <w:p w14:paraId="270CEA95" w14:textId="77777777" w:rsidR="00C774D7" w:rsidRPr="00337707" w:rsidRDefault="00000000">
      <w:pPr>
        <w:numPr>
          <w:ilvl w:val="0"/>
          <w:numId w:val="6"/>
        </w:numPr>
      </w:pPr>
      <w:r w:rsidRPr="00337707">
        <w:rPr>
          <w:b/>
          <w:bCs/>
        </w:rPr>
        <w:t xml:space="preserve">Innovation and R&amp;D: </w:t>
      </w:r>
      <w:r w:rsidRPr="00337707">
        <w:t>It's critical that Microsoft fosters a culture of innovation to create breakthrough products and services in order to maintain its dominance as the world's leading operating system provider.</w:t>
      </w:r>
    </w:p>
    <w:p w14:paraId="35901D63" w14:textId="77777777" w:rsidR="00C774D7" w:rsidRPr="00337707" w:rsidRDefault="00000000">
      <w:pPr>
        <w:numPr>
          <w:ilvl w:val="0"/>
          <w:numId w:val="6"/>
        </w:numPr>
      </w:pPr>
      <w:r w:rsidRPr="00337707">
        <w:rPr>
          <w:b/>
          <w:bCs/>
        </w:rPr>
        <w:t xml:space="preserve">Employee Satisfaction and Retention: </w:t>
      </w:r>
      <w:r w:rsidRPr="00337707">
        <w:t>In the analysis, employee discontent is highlighted as a cause of concern; employee satisfaction directly impacts productivity and innovation. Therefore, strategic initiatives should be focused on retaining top talent and creating a positive work environment.</w:t>
      </w:r>
    </w:p>
    <w:p w14:paraId="24828025" w14:textId="79F397F1" w:rsidR="00C774D7" w:rsidRPr="00337707" w:rsidRDefault="00000000" w:rsidP="002C0B24">
      <w:pPr>
        <w:numPr>
          <w:ilvl w:val="0"/>
          <w:numId w:val="6"/>
        </w:numPr>
      </w:pPr>
      <w:r w:rsidRPr="00337707">
        <w:rPr>
          <w:b/>
          <w:bCs/>
        </w:rPr>
        <w:t>Product Diversification</w:t>
      </w:r>
      <w:r w:rsidRPr="00337707">
        <w:t>: Microsoft's overreliance on Windows and Office leaves it vulnerable. By expanding into emerging technologies or enhancing Bing's market share, strategies should explore new avenues for revenue.</w:t>
      </w:r>
      <w:r w:rsidR="001A06A9" w:rsidRPr="00337707">
        <w:br w:type="page"/>
      </w:r>
    </w:p>
    <w:p w14:paraId="2E3692C7" w14:textId="77777777" w:rsidR="00C774D7" w:rsidRPr="00337707" w:rsidRDefault="00000000">
      <w:pPr>
        <w:pStyle w:val="Heading1"/>
      </w:pPr>
      <w:bookmarkStart w:id="24" w:name="_Toc158742368"/>
      <w:bookmarkStart w:id="25" w:name="_Toc159156432"/>
      <w:r w:rsidRPr="00337707">
        <w:lastRenderedPageBreak/>
        <w:t>RECOMMENDED STRATEGIES FOR MICROSOFT</w:t>
      </w:r>
      <w:bookmarkEnd w:id="24"/>
      <w:bookmarkEnd w:id="25"/>
    </w:p>
    <w:p w14:paraId="4F558CAE" w14:textId="4DAF7433" w:rsidR="00C774D7" w:rsidRPr="00337707" w:rsidRDefault="007462A6" w:rsidP="00892E78">
      <w:pPr>
        <w:pStyle w:val="Heading2"/>
        <w:rPr>
          <w:i/>
          <w:iCs/>
        </w:rPr>
      </w:pPr>
      <w:bookmarkStart w:id="26" w:name="_Toc158742369"/>
      <w:bookmarkStart w:id="27" w:name="_Toc159156433"/>
      <w:r w:rsidRPr="00337707">
        <w:t>Innovative Software Development</w:t>
      </w:r>
      <w:bookmarkEnd w:id="26"/>
      <w:bookmarkEnd w:id="27"/>
    </w:p>
    <w:p w14:paraId="6EA05800" w14:textId="70613751" w:rsidR="00892E78" w:rsidRDefault="00892E78" w:rsidP="00892E78">
      <w:bookmarkStart w:id="28" w:name="_Toc158742370"/>
      <w:r>
        <w:t xml:space="preserve">To meet the evolving expectations of customers, Microsoft must innovate continuously by aligning itself with market trends. By embracing the open-source community and incorporating fresh approaches and initiatives, Microsoft can leverage its external expertise, foster a dynamic </w:t>
      </w:r>
      <w:r>
        <w:t>ecosystem,</w:t>
      </w:r>
      <w:r>
        <w:t xml:space="preserve"> and enhance its market share. In this way, Microsoft can enhance its industry influence not only as a product innovator, but also as a contributor to a broader technological community.</w:t>
      </w:r>
    </w:p>
    <w:p w14:paraId="3F604F05" w14:textId="3A14507A" w:rsidR="00892E78" w:rsidRDefault="00892E78" w:rsidP="00892E78">
      <w:r>
        <w:t xml:space="preserve">Based on Gietzmann and Selby's (2021) user-initiated interface design strategy and Quintas' (2023) product-process innovation model, innovative software development can be applied to strategic issues. </w:t>
      </w:r>
      <w:r>
        <w:t>To</w:t>
      </w:r>
      <w:r>
        <w:t xml:space="preserve"> integrate user feedback, product diffusion and process innovation must interact. These strategies are a cohesive way to address challenges associated with product portfolio diversity and facilitate seamless integration.</w:t>
      </w:r>
    </w:p>
    <w:p w14:paraId="01265008" w14:textId="42393524" w:rsidR="00892E78" w:rsidRDefault="00892E78" w:rsidP="00892E78">
      <w:r>
        <w:t>Currently, software development technologies align with the trends of microservices architecture, API-driven integration, and AI-powered personalization, according to Pichler (2022). It emphasizes, however, the need for meticulous planning and careful implementation of change when internal resistance is acknowledged. Microsoft must consider crucial factors before investing in innovative software development for growth, including hiring and training in emerging technologies, cultivating an experimentation culture, ensuring scalable infrastructure, and prioritizing user-centricity and data-driven decisions.</w:t>
      </w:r>
    </w:p>
    <w:p w14:paraId="2518D2B5" w14:textId="44A821D2" w:rsidR="00C774D7" w:rsidRPr="00337707" w:rsidRDefault="00000000">
      <w:pPr>
        <w:pStyle w:val="Heading2"/>
      </w:pPr>
      <w:bookmarkStart w:id="29" w:name="_Toc159156434"/>
      <w:r w:rsidRPr="00337707">
        <w:t>Strategic Alliances</w:t>
      </w:r>
      <w:r w:rsidRPr="00337707">
        <w:rPr>
          <w:i/>
          <w:iCs/>
        </w:rPr>
        <w:t>:</w:t>
      </w:r>
      <w:bookmarkEnd w:id="28"/>
      <w:bookmarkEnd w:id="29"/>
      <w:r w:rsidRPr="00337707">
        <w:t xml:space="preserve"> </w:t>
      </w:r>
    </w:p>
    <w:p w14:paraId="603568DF" w14:textId="5EFF1BB3" w:rsidR="00216310" w:rsidRPr="00216310" w:rsidRDefault="00216310" w:rsidP="00216310">
      <w:bookmarkStart w:id="30" w:name="_Toc158742371"/>
      <w:r w:rsidRPr="00216310">
        <w:t xml:space="preserve">For Microsoft to remain competitive, strategic alliances </w:t>
      </w:r>
      <w:r w:rsidRPr="00337707">
        <w:t>are</w:t>
      </w:r>
      <w:r w:rsidRPr="00216310">
        <w:t xml:space="preserve"> an essential strategy. The company's competitive edge is enhanced by these partnerships</w:t>
      </w:r>
      <w:r w:rsidRPr="00337707">
        <w:t xml:space="preserve"> (</w:t>
      </w:r>
      <w:r w:rsidRPr="00337707">
        <w:t>Abell</w:t>
      </w:r>
      <w:r w:rsidRPr="00337707">
        <w:t xml:space="preserve">, </w:t>
      </w:r>
      <w:r w:rsidRPr="00337707">
        <w:t>2018)</w:t>
      </w:r>
      <w:r w:rsidRPr="00216310">
        <w:t xml:space="preserve">. If Microsoft fails to form strategic alliances, it could miss opportunities to access </w:t>
      </w:r>
      <w:r w:rsidR="002C0B24" w:rsidRPr="00216310">
        <w:t>innovative technologies</w:t>
      </w:r>
      <w:r w:rsidRPr="00216310">
        <w:t xml:space="preserve"> and markets quickly, limiting its ability to stay at the forefront of dynamic fields like artificial intelligence and cloud computing. The company may also struggle to diversify its customer base and establish brand recognition in untapped areas without collaborative ventures</w:t>
      </w:r>
      <w:r w:rsidRPr="00337707">
        <w:t xml:space="preserve"> (</w:t>
      </w:r>
      <w:r w:rsidRPr="00337707">
        <w:t>Knott</w:t>
      </w:r>
      <w:r w:rsidR="009041DB" w:rsidRPr="00337707">
        <w:t>,</w:t>
      </w:r>
      <w:r w:rsidRPr="00337707">
        <w:t xml:space="preserve"> 2015)</w:t>
      </w:r>
      <w:r w:rsidRPr="00216310">
        <w:t>.</w:t>
      </w:r>
    </w:p>
    <w:p w14:paraId="7C051E9B" w14:textId="02709E93" w:rsidR="00216310" w:rsidRPr="00216310" w:rsidRDefault="00216310" w:rsidP="00216310">
      <w:r w:rsidRPr="00216310">
        <w:t>Strategic alliances are implemented using a systematic framework. As</w:t>
      </w:r>
      <w:r w:rsidR="00032B02" w:rsidRPr="00337707">
        <w:t xml:space="preserve"> </w:t>
      </w:r>
      <w:r w:rsidR="00032B02" w:rsidRPr="00216310">
        <w:t>Tjemkes</w:t>
      </w:r>
      <w:r w:rsidR="00032B02" w:rsidRPr="00337707">
        <w:t xml:space="preserve"> </w:t>
      </w:r>
      <w:r w:rsidR="00032B02" w:rsidRPr="00337707">
        <w:rPr>
          <w:i/>
          <w:iCs/>
        </w:rPr>
        <w:t>et al,</w:t>
      </w:r>
      <w:r w:rsidR="00032B02" w:rsidRPr="00216310">
        <w:t xml:space="preserve"> (2017)</w:t>
      </w:r>
      <w:r w:rsidRPr="00216310">
        <w:t xml:space="preserve"> argues, the decision to cooperate necessitates careful planning, control, and management of human </w:t>
      </w:r>
      <w:r w:rsidRPr="00216310">
        <w:lastRenderedPageBreak/>
        <w:t xml:space="preserve">resources. </w:t>
      </w:r>
      <w:r w:rsidR="00032B02" w:rsidRPr="00337707">
        <w:t xml:space="preserve">Also, </w:t>
      </w:r>
      <w:r w:rsidRPr="00216310">
        <w:t>Tjemkes</w:t>
      </w:r>
      <w:r w:rsidR="00032B02" w:rsidRPr="00337707">
        <w:t xml:space="preserve"> </w:t>
      </w:r>
      <w:r w:rsidR="00032B02" w:rsidRPr="00337707">
        <w:rPr>
          <w:i/>
          <w:iCs/>
        </w:rPr>
        <w:t>et al,</w:t>
      </w:r>
      <w:r w:rsidRPr="00216310">
        <w:t xml:space="preserve"> (2017) emphasizes the importance of decision-making structures and the lifecycle of an alliance when selecting an appropriate development path and partner. As Zamir </w:t>
      </w:r>
      <w:r w:rsidR="00FB0378" w:rsidRPr="00337707">
        <w:rPr>
          <w:i/>
          <w:iCs/>
        </w:rPr>
        <w:t xml:space="preserve">et al, </w:t>
      </w:r>
      <w:r w:rsidRPr="00216310">
        <w:t>(201</w:t>
      </w:r>
      <w:r w:rsidR="00FB0378" w:rsidRPr="00337707">
        <w:t>9</w:t>
      </w:r>
      <w:r w:rsidRPr="00216310">
        <w:t>) emphasizes in his article, successful alliance formation is based on strategic planning, effective management, and continuous evaluation. By following this step-by-step process, Microsoft ensures that strategic alliances are systematically integrated into the company's operations.</w:t>
      </w:r>
    </w:p>
    <w:p w14:paraId="104461F9" w14:textId="0A0111D1" w:rsidR="00216310" w:rsidRPr="00337707" w:rsidRDefault="00216310" w:rsidP="00216310">
      <w:r w:rsidRPr="00216310">
        <w:t xml:space="preserve">Intensive analysis, as highlighted by Zamir </w:t>
      </w:r>
      <w:r w:rsidR="00FB0378" w:rsidRPr="00337707">
        <w:rPr>
          <w:i/>
          <w:iCs/>
        </w:rPr>
        <w:t xml:space="preserve">et al, </w:t>
      </w:r>
      <w:r w:rsidRPr="00216310">
        <w:t>(201</w:t>
      </w:r>
      <w:r w:rsidR="00FB0378" w:rsidRPr="00337707">
        <w:t>9</w:t>
      </w:r>
      <w:r w:rsidRPr="00216310">
        <w:t>)</w:t>
      </w:r>
      <w:r w:rsidR="00FB0378" w:rsidRPr="00337707">
        <w:t xml:space="preserve"> shows that it</w:t>
      </w:r>
      <w:r w:rsidRPr="00216310">
        <w:t xml:space="preserve"> is imperative for identifying potential partners and potential risks for</w:t>
      </w:r>
      <w:r w:rsidR="00FB0378" w:rsidRPr="00337707">
        <w:t xml:space="preserve"> company like</w:t>
      </w:r>
      <w:r w:rsidRPr="00216310">
        <w:t xml:space="preserve"> Microsoft to successfully implement this strategy. </w:t>
      </w:r>
      <w:r w:rsidR="00FB0378" w:rsidRPr="00337707">
        <w:t>A</w:t>
      </w:r>
      <w:r w:rsidRPr="00216310">
        <w:t>lliances can be sustained for a long time by designing robust cooperation structures and management processes</w:t>
      </w:r>
      <w:r w:rsidR="009041DB" w:rsidRPr="00337707">
        <w:t xml:space="preserve"> (Knott, 2015)</w:t>
      </w:r>
      <w:r w:rsidRPr="00216310">
        <w:t xml:space="preserve">. Microsoft must possess this strategic foresight and commitment to resources </w:t>
      </w:r>
      <w:r w:rsidR="00FB0378" w:rsidRPr="00337707">
        <w:t>to</w:t>
      </w:r>
      <w:r w:rsidRPr="00216310">
        <w:t xml:space="preserve"> navigate the complex landscape of strategic alliances.</w:t>
      </w:r>
    </w:p>
    <w:p w14:paraId="078DC242" w14:textId="39BC84EE" w:rsidR="00C774D7" w:rsidRPr="00337707" w:rsidRDefault="00000000">
      <w:pPr>
        <w:pStyle w:val="Heading2"/>
      </w:pPr>
      <w:bookmarkStart w:id="31" w:name="_Toc159156435"/>
      <w:r w:rsidRPr="00337707">
        <w:t>AI as a Core Competency</w:t>
      </w:r>
      <w:bookmarkEnd w:id="30"/>
      <w:bookmarkEnd w:id="31"/>
    </w:p>
    <w:p w14:paraId="6DF6B0F3" w14:textId="66152224" w:rsidR="004F39A0" w:rsidRPr="004F39A0" w:rsidRDefault="004F39A0" w:rsidP="004F39A0">
      <w:r w:rsidRPr="004F39A0">
        <w:t>The positioning of "AI as a core competency" is paramount to Microsoft's growth and development. By offering AI-powered solutions across its product, customer knowledge, and effective AI implementation, Microsoft stands to differentiate itself from its competitors</w:t>
      </w:r>
      <w:r w:rsidRPr="00337707">
        <w:t xml:space="preserve"> (</w:t>
      </w:r>
      <w:r w:rsidRPr="004F39A0">
        <w:t xml:space="preserve">Amershi </w:t>
      </w:r>
      <w:r w:rsidR="00ED25D4" w:rsidRPr="00337707">
        <w:rPr>
          <w:i/>
          <w:iCs/>
        </w:rPr>
        <w:t xml:space="preserve">et al, </w:t>
      </w:r>
      <w:r w:rsidRPr="004F39A0">
        <w:t xml:space="preserve">2019). It is possible for the company to lose competitiveness if this strategy is not pursued, thereby </w:t>
      </w:r>
      <w:r w:rsidR="002C0B24" w:rsidRPr="004F39A0">
        <w:t>missing</w:t>
      </w:r>
      <w:r w:rsidRPr="004F39A0">
        <w:t xml:space="preserve"> the transformative potential of AI. </w:t>
      </w:r>
      <w:r w:rsidR="00E51E60" w:rsidRPr="00337707">
        <w:t>Furthermore,</w:t>
      </w:r>
      <w:r w:rsidR="00ED25D4" w:rsidRPr="00337707">
        <w:t xml:space="preserve"> Amer</w:t>
      </w:r>
      <w:r w:rsidR="00725CAB" w:rsidRPr="00337707">
        <w:t>s</w:t>
      </w:r>
      <w:r w:rsidR="00ED25D4" w:rsidRPr="00337707">
        <w:t xml:space="preserve">hi </w:t>
      </w:r>
      <w:r w:rsidR="00ED25D4" w:rsidRPr="00337707">
        <w:rPr>
          <w:i/>
          <w:iCs/>
        </w:rPr>
        <w:t xml:space="preserve">et al, </w:t>
      </w:r>
      <w:r w:rsidR="00ED25D4" w:rsidRPr="00337707">
        <w:t>(2019)</w:t>
      </w:r>
      <w:r w:rsidRPr="004F39A0">
        <w:t xml:space="preserve"> point out that AI application development presents </w:t>
      </w:r>
      <w:r w:rsidRPr="00337707">
        <w:t>a few</w:t>
      </w:r>
      <w:r w:rsidRPr="004F39A0">
        <w:t xml:space="preserve"> challenges, which could limit Microsoft's ability to navigate evolving technological landscapes if AI is not adopted as a core competency. </w:t>
      </w:r>
    </w:p>
    <w:p w14:paraId="2BEF4E31" w14:textId="7520013E" w:rsidR="004F39A0" w:rsidRPr="004F39A0" w:rsidRDefault="004F39A0" w:rsidP="004F39A0">
      <w:r w:rsidRPr="004F39A0">
        <w:t>"AI as a core competency" requires a systematic approach, as described by Reim</w:t>
      </w:r>
      <w:r w:rsidR="00725CAB" w:rsidRPr="00337707">
        <w:t xml:space="preserve"> </w:t>
      </w:r>
      <w:r w:rsidR="00725CAB" w:rsidRPr="00337707">
        <w:rPr>
          <w:i/>
          <w:iCs/>
        </w:rPr>
        <w:t>et al</w:t>
      </w:r>
      <w:r w:rsidRPr="004F39A0">
        <w:t xml:space="preserve"> (2020). The first step is to secure leadership buy-in, set strategic goals, and assess current capabilities. Recruiting AI specialists, upskilling existing employees, and cultivating a learning culture are crucial to talent acquisition and development. To integrate artificial intelligence into core operations, pilot projects must </w:t>
      </w:r>
      <w:r w:rsidR="00725CAB" w:rsidRPr="00337707">
        <w:t xml:space="preserve">also </w:t>
      </w:r>
      <w:r w:rsidRPr="004F39A0">
        <w:t xml:space="preserve">be conducted, internal AI platforms should be developed, and governance frameworks must be established. Amershi </w:t>
      </w:r>
      <w:r w:rsidR="00B656DE" w:rsidRPr="00337707">
        <w:rPr>
          <w:i/>
          <w:iCs/>
        </w:rPr>
        <w:t xml:space="preserve">et al, </w:t>
      </w:r>
      <w:r w:rsidRPr="004F39A0">
        <w:t xml:space="preserve">(2019) suggests that addressing AI challenges requires an evolved software engineering process. As a result of this comprehensive strategy, Microsoft </w:t>
      </w:r>
      <w:r w:rsidR="00B656DE" w:rsidRPr="00337707">
        <w:t>must continue to</w:t>
      </w:r>
      <w:r w:rsidRPr="004F39A0">
        <w:t xml:space="preserve"> ensur</w:t>
      </w:r>
      <w:r w:rsidR="00B656DE" w:rsidRPr="00337707">
        <w:t>e</w:t>
      </w:r>
      <w:r w:rsidRPr="004F39A0">
        <w:t xml:space="preserve"> a deliberate and continuous journey towards creating an organization where AI is ingrained from the ground up.</w:t>
      </w:r>
    </w:p>
    <w:p w14:paraId="169787A5" w14:textId="2274D099" w:rsidR="004F39A0" w:rsidRPr="004F39A0" w:rsidRDefault="004F39A0" w:rsidP="004F39A0">
      <w:r w:rsidRPr="004F39A0">
        <w:t xml:space="preserve">Microsoft needs to allocate resources and meet specific requirements </w:t>
      </w:r>
      <w:r w:rsidR="00B656DE" w:rsidRPr="00337707">
        <w:t>to</w:t>
      </w:r>
      <w:r w:rsidRPr="004F39A0">
        <w:t xml:space="preserve"> successfully implement AI as a core competency. Leadership commitment is crucial, which requires ensuring the allocation of financial and human resources to recruit and retain AI talent</w:t>
      </w:r>
      <w:r w:rsidR="00A13C01" w:rsidRPr="00337707">
        <w:t xml:space="preserve"> (</w:t>
      </w:r>
      <w:r w:rsidR="00A13C01" w:rsidRPr="004F39A0">
        <w:t>Reim</w:t>
      </w:r>
      <w:r w:rsidR="00A13C01" w:rsidRPr="00337707">
        <w:t xml:space="preserve"> </w:t>
      </w:r>
      <w:r w:rsidR="00A13C01" w:rsidRPr="00337707">
        <w:rPr>
          <w:i/>
          <w:iCs/>
        </w:rPr>
        <w:t>et al</w:t>
      </w:r>
      <w:r w:rsidR="00A13C01" w:rsidRPr="00337707">
        <w:t xml:space="preserve">, </w:t>
      </w:r>
      <w:r w:rsidR="00A13C01" w:rsidRPr="004F39A0">
        <w:t>2020)</w:t>
      </w:r>
      <w:r w:rsidRPr="004F39A0">
        <w:t xml:space="preserve">. A culture of </w:t>
      </w:r>
      <w:r w:rsidRPr="004F39A0">
        <w:lastRenderedPageBreak/>
        <w:t>continuous learning and adaptation requires ongoing investments in employee training programs as well as the development of internal AI platforms and governance frameworks</w:t>
      </w:r>
      <w:r w:rsidR="00A13C01" w:rsidRPr="00337707">
        <w:t xml:space="preserve"> (</w:t>
      </w:r>
      <w:r w:rsidR="00A13C01" w:rsidRPr="00337707">
        <w:t xml:space="preserve">van de Sande’s </w:t>
      </w:r>
      <w:r w:rsidR="00A13C01" w:rsidRPr="00337707">
        <w:rPr>
          <w:i/>
          <w:iCs/>
        </w:rPr>
        <w:t>et al</w:t>
      </w:r>
      <w:r w:rsidR="00A13C01" w:rsidRPr="00337707">
        <w:t>. 2022)</w:t>
      </w:r>
      <w:r w:rsidRPr="004F39A0">
        <w:t>. To ensure Microsoft remains at the forefront of technological advancement and innovation, these strategic resource allocations are essential.</w:t>
      </w:r>
    </w:p>
    <w:p w14:paraId="652CC32D" w14:textId="77777777" w:rsidR="00C774D7" w:rsidRPr="00337707" w:rsidRDefault="00C774D7"/>
    <w:p w14:paraId="57E61C2C" w14:textId="77777777" w:rsidR="00C774D7" w:rsidRPr="00337707" w:rsidRDefault="00C774D7">
      <w:pPr>
        <w:spacing w:line="259" w:lineRule="auto"/>
        <w:jc w:val="both"/>
      </w:pPr>
    </w:p>
    <w:p w14:paraId="31D39895" w14:textId="77777777" w:rsidR="00C774D7" w:rsidRPr="00337707" w:rsidRDefault="00000000">
      <w:pPr>
        <w:spacing w:line="259" w:lineRule="auto"/>
      </w:pPr>
      <w:r w:rsidRPr="00337707">
        <w:br w:type="page"/>
      </w:r>
    </w:p>
    <w:p w14:paraId="1D914DD8" w14:textId="77777777" w:rsidR="00C774D7" w:rsidRPr="00337707" w:rsidRDefault="00000000">
      <w:pPr>
        <w:pStyle w:val="Heading1"/>
        <w:jc w:val="center"/>
      </w:pPr>
      <w:bookmarkStart w:id="32" w:name="_Toc158742375"/>
      <w:bookmarkStart w:id="33" w:name="_Toc159156436"/>
      <w:r w:rsidRPr="00337707">
        <w:lastRenderedPageBreak/>
        <w:t>STRATEGY IN ACTION</w:t>
      </w:r>
      <w:bookmarkEnd w:id="32"/>
      <w:bookmarkEnd w:id="33"/>
    </w:p>
    <w:p w14:paraId="1B28A454" w14:textId="05309A25" w:rsidR="000E482D" w:rsidRPr="000E482D" w:rsidRDefault="000E482D" w:rsidP="000E482D">
      <w:pPr>
        <w:rPr>
          <w:lang w:val="en-US"/>
        </w:rPr>
      </w:pPr>
      <w:bookmarkStart w:id="34" w:name="_Toc158742376"/>
      <w:r w:rsidRPr="000E482D">
        <w:rPr>
          <w:lang w:val="en-US"/>
        </w:rPr>
        <w:t>The Strategic Planning and Road Mapping (SP-ROA) framework focuses on process improvement and strategic alignment</w:t>
      </w:r>
      <w:r w:rsidR="00DD1724">
        <w:rPr>
          <w:lang w:val="en-US"/>
        </w:rPr>
        <w:t xml:space="preserve"> </w:t>
      </w:r>
      <w:r w:rsidR="00DD1724" w:rsidRPr="000E482D">
        <w:rPr>
          <w:lang w:val="en-US"/>
        </w:rPr>
        <w:t>(Keshta et al, 2020)</w:t>
      </w:r>
      <w:r w:rsidRPr="000E482D">
        <w:rPr>
          <w:lang w:val="en-US"/>
        </w:rPr>
        <w:t xml:space="preserve">. This is particularly important in Microsoft's change requirements, as it ensures that the company's business strategy is effectively translated into software processes. The framework emphasizes requirements </w:t>
      </w:r>
      <w:r w:rsidR="00DD1724" w:rsidRPr="000E482D">
        <w:rPr>
          <w:lang w:val="en-US"/>
        </w:rPr>
        <w:t>management and</w:t>
      </w:r>
      <w:r w:rsidRPr="000E482D">
        <w:rPr>
          <w:lang w:val="en-US"/>
        </w:rPr>
        <w:t xml:space="preserve"> incorporates modern technology trends (Napoli and Kaloyanova 2011). It incorporates strategic reference point </w:t>
      </w:r>
      <w:r w:rsidR="00892E78" w:rsidRPr="000E482D">
        <w:rPr>
          <w:lang w:val="en-US"/>
        </w:rPr>
        <w:t>theory to</w:t>
      </w:r>
      <w:r w:rsidRPr="000E482D">
        <w:rPr>
          <w:lang w:val="en-US"/>
        </w:rPr>
        <w:t xml:space="preserve"> help Microsoft make informed strategic decisions and navigate the implementation of its roadmap</w:t>
      </w:r>
      <w:r w:rsidR="00892E78">
        <w:rPr>
          <w:lang w:val="en-US"/>
        </w:rPr>
        <w:t xml:space="preserve"> </w:t>
      </w:r>
      <w:r w:rsidR="00892E78" w:rsidRPr="00892E78">
        <w:rPr>
          <w:lang w:val="en-US"/>
        </w:rPr>
        <w:t>(Shoham and Fiegenbaum 2019)</w:t>
      </w:r>
      <w:r w:rsidRPr="000E482D">
        <w:rPr>
          <w:lang w:val="en-US"/>
        </w:rPr>
        <w:t>.</w:t>
      </w:r>
    </w:p>
    <w:p w14:paraId="18AB31E1" w14:textId="6911EE1E" w:rsidR="000E482D" w:rsidRPr="000E482D" w:rsidRDefault="000E482D" w:rsidP="000E482D">
      <w:pPr>
        <w:rPr>
          <w:lang w:val="en-US"/>
        </w:rPr>
      </w:pPr>
      <w:r w:rsidRPr="000E482D">
        <w:rPr>
          <w:lang w:val="en-US"/>
        </w:rPr>
        <w:t xml:space="preserve">In a case study like Microsoft, SP-ROA has limitations in analyzing strategy in action and implementation road map. As a first step, the framework may not adequately address how organizations ensure their professionals have the necessary skill sets to apply software process innovations Guo et al. (2021). </w:t>
      </w:r>
    </w:p>
    <w:p w14:paraId="07191828" w14:textId="0C970518" w:rsidR="00C774D7" w:rsidRPr="00337707" w:rsidRDefault="00000000">
      <w:pPr>
        <w:pStyle w:val="Heading2"/>
      </w:pPr>
      <w:bookmarkStart w:id="35" w:name="_Toc159156437"/>
      <w:r w:rsidRPr="00337707">
        <w:t>IMPLEMENTATION ROADMAP CONSIDERATIONS</w:t>
      </w:r>
      <w:bookmarkEnd w:id="34"/>
      <w:bookmarkEnd w:id="35"/>
    </w:p>
    <w:p w14:paraId="68C07159" w14:textId="77777777" w:rsidR="00C774D7" w:rsidRPr="00337707" w:rsidRDefault="00000000">
      <w:pPr>
        <w:pStyle w:val="Heading3"/>
      </w:pPr>
      <w:bookmarkStart w:id="36" w:name="_Toc158742377"/>
      <w:r w:rsidRPr="00337707">
        <w:t>Configuration Management</w:t>
      </w:r>
      <w:bookmarkEnd w:id="36"/>
    </w:p>
    <w:p w14:paraId="3EDD5EA2" w14:textId="5A6EA802" w:rsidR="00892E78" w:rsidRDefault="00892E78" w:rsidP="00082FFF">
      <w:bookmarkStart w:id="37" w:name="_Toc158742378"/>
      <w:r w:rsidRPr="00892E78">
        <w:t> It is only through integrating Configuration Management (CM) into Microsoft's implementation roadmap that software quality, cost-effectiveness, and change management can be achieved. According to Kölmel and Eisenbiegler (2021), CM aligns with governance structures and minimizes costs in software development. A successful implementation includes initial investment, change management, tool selection, and streamlined development. The development strategy of Microsoft aligns with industry best practices through CM integration. The absence of CM in Microsoft's roadmap can lead to inconsistencies, security vulnerabilities, and delays in deployments. Long-term consequences include reduced innovation, reduced developer productivity, and competitive vulnerability. CM must therefore be prioritized in Microsoft's implementation roadmap.</w:t>
      </w:r>
    </w:p>
    <w:p w14:paraId="6B8B49F2" w14:textId="1DCF903E" w:rsidR="00082FFF" w:rsidRPr="00337707" w:rsidRDefault="00082FFF" w:rsidP="00082FFF">
      <w:r w:rsidRPr="00337707">
        <w:t>Successful</w:t>
      </w:r>
      <w:r w:rsidRPr="00337707">
        <w:t xml:space="preserve"> strategy implementation and overall development require configuration management. By adopting CM best practices and aligning with governance structures</w:t>
      </w:r>
      <w:r w:rsidR="000B4C3E" w:rsidRPr="00337707">
        <w:t xml:space="preserve">. </w:t>
      </w:r>
      <w:r w:rsidR="00593050" w:rsidRPr="00337707">
        <w:t>Aiello</w:t>
      </w:r>
      <w:r w:rsidR="00593050" w:rsidRPr="00337707">
        <w:t xml:space="preserve"> and </w:t>
      </w:r>
      <w:r w:rsidR="00593050" w:rsidRPr="00337707">
        <w:t>Sachs,</w:t>
      </w:r>
      <w:r w:rsidR="00593050" w:rsidRPr="00337707">
        <w:t xml:space="preserve"> </w:t>
      </w:r>
      <w:r w:rsidR="000B4C3E" w:rsidRPr="00337707">
        <w:t>(</w:t>
      </w:r>
      <w:r w:rsidR="00593050" w:rsidRPr="00337707">
        <w:t>2020)</w:t>
      </w:r>
      <w:r w:rsidR="00593050" w:rsidRPr="00337707">
        <w:t xml:space="preserve"> </w:t>
      </w:r>
      <w:r w:rsidRPr="00337707">
        <w:t xml:space="preserve">emphasize the importance of streamlined software and system development. Microsoft's projects </w:t>
      </w:r>
      <w:r w:rsidR="0096381D" w:rsidRPr="00337707">
        <w:t xml:space="preserve">will then </w:t>
      </w:r>
      <w:r w:rsidRPr="00337707">
        <w:t xml:space="preserve">become better </w:t>
      </w:r>
      <w:r w:rsidR="0096381D" w:rsidRPr="00337707">
        <w:t xml:space="preserve">in </w:t>
      </w:r>
      <w:r w:rsidRPr="00337707">
        <w:t xml:space="preserve">quality and more secure through CM. A lack of continuous integration </w:t>
      </w:r>
      <w:r w:rsidR="0096381D" w:rsidRPr="00337707">
        <w:t>might jeopardize the</w:t>
      </w:r>
      <w:r w:rsidRPr="00337707">
        <w:t xml:space="preserve"> quality, security, and competitiveness</w:t>
      </w:r>
      <w:r w:rsidR="0096381D" w:rsidRPr="00337707">
        <w:t xml:space="preserve"> of Microsoft in the technological </w:t>
      </w:r>
      <w:r w:rsidR="0096381D" w:rsidRPr="00337707">
        <w:lastRenderedPageBreak/>
        <w:t>landscape</w:t>
      </w:r>
      <w:r w:rsidRPr="00337707">
        <w:t>.</w:t>
      </w:r>
      <w:r w:rsidR="0096381D" w:rsidRPr="00337707">
        <w:t xml:space="preserve"> Therefore, Microsoft’s</w:t>
      </w:r>
      <w:r w:rsidRPr="00337707">
        <w:t xml:space="preserve"> efficient, agile, and secure development strategy relies heavily on continuous integration.</w:t>
      </w:r>
    </w:p>
    <w:p w14:paraId="7B9DCBBA" w14:textId="0372F0C4" w:rsidR="00C774D7" w:rsidRPr="00337707" w:rsidRDefault="00000000">
      <w:pPr>
        <w:pStyle w:val="Heading3"/>
        <w:rPr>
          <w:i/>
          <w:iCs/>
        </w:rPr>
      </w:pPr>
      <w:r w:rsidRPr="00337707">
        <w:t>Change Context and Communication</w:t>
      </w:r>
      <w:bookmarkEnd w:id="37"/>
    </w:p>
    <w:p w14:paraId="23DAE559" w14:textId="21B7220F" w:rsidR="00E57F9A" w:rsidRDefault="00E57F9A" w:rsidP="00E57F9A">
      <w:bookmarkStart w:id="38" w:name="_Toc158742380"/>
      <w:r>
        <w:t xml:space="preserve">As part of Microsoft's development roadmap, they need to integrate Change Context and Communication to ensure seamless transitions and success. During organizational transitions, tailored communication facilitates employee buy-in and strengthens relationships (Ströh and Jaatinen, 2022). The failure to pay attention to this, as highlighted by Kitchen and Daly (2022), risks Microsoft's inability to adapt, stakeholder relationships, and inadequate change management, resulting in confusion, resistance, and missed business opportunities. Change Context and Communication can better improve Microsoft’s successful strategy implementation and development rather than merely procedural steps. As discussed by Dirsmith and Covaleski (2023), employee transition is dynamic, flexible, and creative. </w:t>
      </w:r>
      <w:r>
        <w:t xml:space="preserve">Hence, </w:t>
      </w:r>
      <w:r>
        <w:t>Microsoft's strategy implementation requires addressing the context of change and communicating effectively.</w:t>
      </w:r>
    </w:p>
    <w:p w14:paraId="7D10ACCA" w14:textId="6F5E77ED" w:rsidR="007022EB" w:rsidRPr="00337707" w:rsidRDefault="00E57F9A" w:rsidP="00E57F9A">
      <w:r>
        <w:t>Communication and aligning employee goals with strategy are crucial to fostering adoption (Kitchen and Daly, 2022). Open communication builds trust, and ownership contributes to growth (Bakri et al, 2022). Communication strengthens relationships, encourages collaboration, and sparks innovation (Jae-woong and Geun-woo, 2010). To implement Microsoft's strategy effectively, Change Context and Communication must be strategically integrated, providing the foundation for growth and development.</w:t>
      </w:r>
    </w:p>
    <w:p w14:paraId="624A453A" w14:textId="4C3DE1EA" w:rsidR="00C774D7" w:rsidRPr="00337707" w:rsidRDefault="00000000">
      <w:pPr>
        <w:pStyle w:val="Heading2"/>
      </w:pPr>
      <w:bookmarkStart w:id="39" w:name="_Toc159156438"/>
      <w:r w:rsidRPr="00337707">
        <w:t>SP-ROA FRAMEWORK FOR IMPLEMENTATION ROADMAP FORMULATION</w:t>
      </w:r>
      <w:bookmarkEnd w:id="38"/>
      <w:bookmarkEnd w:id="39"/>
    </w:p>
    <w:p w14:paraId="2554D68E" w14:textId="77777777" w:rsidR="00C774D7" w:rsidRDefault="00000000">
      <w:pPr>
        <w:pStyle w:val="Heading3"/>
      </w:pPr>
      <w:bookmarkStart w:id="40" w:name="_Toc158742381"/>
      <w:r w:rsidRPr="00337707">
        <w:t>Strategic Planning</w:t>
      </w:r>
      <w:bookmarkEnd w:id="40"/>
    </w:p>
    <w:p w14:paraId="2531983A" w14:textId="77777777" w:rsidR="000E482D" w:rsidRPr="000E482D" w:rsidRDefault="000E482D" w:rsidP="000E482D">
      <w:pPr>
        <w:rPr>
          <w:lang w:val="en-US"/>
        </w:rPr>
      </w:pPr>
      <w:r w:rsidRPr="000E482D">
        <w:rPr>
          <w:lang w:val="en-US"/>
        </w:rPr>
        <w:t>The Strategic Planning (SP) process plays a key role in Microsoft's growth and development, providing a comprehensive roadmap for implementation. To plan effectively, Wade et al. (2014) suggest a broader understanding of opportunities and threats. It involves defining the context, setting clear goals, developing strategic options, choosing a winning strategy, creating an action plan, and continuously monitoring and adjusting to trends and organizational change (Pospil et al, 2023). Using the SP-ROA framework, Microsoft's strategic planning can be further enhanced by factors like employee engagement, agility, and data-driven decision-making.</w:t>
      </w:r>
    </w:p>
    <w:p w14:paraId="458F6D29" w14:textId="1B4A3FA4" w:rsidR="000E482D" w:rsidRPr="000E482D" w:rsidRDefault="000E482D" w:rsidP="000E482D">
      <w:pPr>
        <w:rPr>
          <w:lang w:val="en-US"/>
        </w:rPr>
      </w:pPr>
      <w:r w:rsidRPr="000E482D">
        <w:rPr>
          <w:lang w:val="en-US"/>
        </w:rPr>
        <w:lastRenderedPageBreak/>
        <w:t>(Bakri et al, 2012) emphasize critical success factors such as employee engagement, ensuring buy-in across all levels, cultivating an agile mindset to adapt to changing circumstances, and embracing data-driven decision-making to inform strategic planning and progress measurement in Microsoft's Strategy in Action implementation process. In this integrated approach, Microsoft's strategic planning is not simply a bureaucratic exercise, but aligns business strategy with software process improvement (Qisman et al, 2021). Microsoft uses the SP-ROA framework to formulate goals, assign responsibilities, and develop performance indicators (Asikhia and Nwadiuru, 2021). With a focus on problems and success factors, Microsoft can navigate the challenges of strategic planning, creating an effective and seamless roadmap.</w:t>
      </w:r>
    </w:p>
    <w:p w14:paraId="1E2F21E2" w14:textId="5F1F95A4" w:rsidR="00C774D7" w:rsidRPr="00337707" w:rsidRDefault="00000000">
      <w:pPr>
        <w:pStyle w:val="Heading3"/>
        <w:rPr>
          <w:i/>
          <w:iCs/>
        </w:rPr>
      </w:pPr>
      <w:bookmarkStart w:id="41" w:name="_Toc158742382"/>
      <w:r w:rsidRPr="00337707">
        <w:t>Resource-Based Organizational Analysis (ROA)</w:t>
      </w:r>
      <w:bookmarkEnd w:id="41"/>
    </w:p>
    <w:p w14:paraId="5EEF9416" w14:textId="3F7666CF" w:rsidR="007E1350" w:rsidRPr="007E1350" w:rsidRDefault="007E1350" w:rsidP="007E1350">
      <w:pPr>
        <w:rPr>
          <w:lang w:val="en-US"/>
        </w:rPr>
      </w:pPr>
      <w:r w:rsidRPr="007E1350">
        <w:rPr>
          <w:lang w:val="en-US"/>
        </w:rPr>
        <w:t xml:space="preserve">Microsoft will need to analyze its current capabilities and resources </w:t>
      </w:r>
      <w:r w:rsidR="000E482D" w:rsidRPr="007E1350">
        <w:rPr>
          <w:lang w:val="en-US"/>
        </w:rPr>
        <w:t>to</w:t>
      </w:r>
      <w:r w:rsidRPr="007E1350">
        <w:rPr>
          <w:lang w:val="en-US"/>
        </w:rPr>
        <w:t xml:space="preserve"> identify its strengths and weaknesses, including its human capital, technology infrastructure, and finances (Abell, 2018). A RBV workshop (Kearn, 2022) suggests integrating ROA into the implementation roadmap by assessing key resources, mapping them to specific initiatives, developing acquisition plans for resource gaps, and monitoring and adapting continuously. </w:t>
      </w:r>
      <w:r>
        <w:rPr>
          <w:lang w:val="en-US"/>
        </w:rPr>
        <w:t>(</w:t>
      </w:r>
      <w:r w:rsidRPr="007E1350">
        <w:rPr>
          <w:lang w:val="en-US"/>
        </w:rPr>
        <w:t>Bort, 2019) believes that Microsoft's growth and development can be accelerated by using this approach.</w:t>
      </w:r>
    </w:p>
    <w:p w14:paraId="2810EAF5" w14:textId="77777777" w:rsidR="007E1350" w:rsidRPr="007E1350" w:rsidRDefault="007E1350" w:rsidP="007E1350">
      <w:pPr>
        <w:rPr>
          <w:lang w:val="en-US"/>
        </w:rPr>
      </w:pPr>
      <w:r w:rsidRPr="007E1350">
        <w:rPr>
          <w:lang w:val="en-US"/>
        </w:rPr>
        <w:t>In addition, the approach examines firm-level resources and capabilities, actions managers can take to create a resource-based advantage, and the relationship between organizational strategy, resources, and capabilities. This comprehensive approach is suggested by Zhao (2022) to help Microsoft promote sustainable growth and development. In this framework, resources are dynamic, continuously monitored, and adaptable to changing resource environments (Simão, 2023). Using the SP-ROA framework, Microsoft can make strategic decisions and maximize the impact of its initiatives despite the complexity of resource analysis.</w:t>
      </w:r>
    </w:p>
    <w:p w14:paraId="2FE6A624" w14:textId="77777777" w:rsidR="00BC33FD" w:rsidRPr="00BC33FD" w:rsidRDefault="00BC33FD" w:rsidP="00BC33FD"/>
    <w:p w14:paraId="3A7E3F58" w14:textId="77777777" w:rsidR="00C774D7" w:rsidRPr="00337707" w:rsidRDefault="00C774D7"/>
    <w:p w14:paraId="717D2B2E" w14:textId="77777777" w:rsidR="00C774D7" w:rsidRPr="00337707" w:rsidRDefault="00C774D7"/>
    <w:p w14:paraId="69EE8AF4" w14:textId="77777777" w:rsidR="00C774D7" w:rsidRPr="00337707" w:rsidRDefault="00C774D7"/>
    <w:p w14:paraId="59617398" w14:textId="6BBDC809" w:rsidR="008A3617" w:rsidRPr="00337707" w:rsidRDefault="008A3617" w:rsidP="00892E78">
      <w:pPr>
        <w:pStyle w:val="Heading1"/>
        <w:jc w:val="center"/>
      </w:pPr>
      <w:bookmarkStart w:id="42" w:name="_Toc158742385"/>
      <w:r w:rsidRPr="00337707">
        <w:br w:type="page"/>
      </w:r>
      <w:bookmarkStart w:id="43" w:name="_Toc159156439"/>
      <w:r w:rsidRPr="00337707">
        <w:lastRenderedPageBreak/>
        <w:t>CONCLUSION</w:t>
      </w:r>
      <w:bookmarkEnd w:id="43"/>
    </w:p>
    <w:p w14:paraId="1FAA8505" w14:textId="5591AE77" w:rsidR="008A3617" w:rsidRPr="00337707" w:rsidRDefault="00E57F9A" w:rsidP="00FE3DBB">
      <w:pPr>
        <w:rPr>
          <w:rFonts w:eastAsia="SimSun"/>
          <w:b/>
          <w:sz w:val="36"/>
          <w:szCs w:val="40"/>
        </w:rPr>
      </w:pPr>
      <w:r w:rsidRPr="00E57F9A">
        <w:t>A strategic planning and road mapping (SP-ROA) framework helps us understand Microsoft's competitive environment, resource capabilities, and key strategic challenges. In a fast-paced technology industry, Microsoft needs adaptability, which is why the framework emphasizes strategic alignment, process improvement, and dynamic decision-making. An innovation hub, strategic partnerships, and customer-centric focus are necessary to overcome innovation resistance. Implementation roadmaps should incorporate Configuration Management, Change Context, and Communication to emphasize organizational adaptability and effective communication. A seamless and focused path to sustained growth is ensured by Microsoft with Strategic Planning and Resource-Based Organizational Analysis. Microsoft's strategic decisions are based on the SP-ROA framework, which aligns business strategy with software process improvement, fosters innovation, and maximizes resource utilization.</w:t>
      </w:r>
      <w:r w:rsidR="008A3617" w:rsidRPr="00337707">
        <w:br w:type="page"/>
      </w:r>
    </w:p>
    <w:p w14:paraId="150E7C20" w14:textId="420F2093" w:rsidR="00C774D7" w:rsidRPr="00337707" w:rsidRDefault="00000000">
      <w:pPr>
        <w:pStyle w:val="Heading1"/>
        <w:jc w:val="center"/>
      </w:pPr>
      <w:bookmarkStart w:id="44" w:name="_Toc159156440"/>
      <w:r w:rsidRPr="00337707">
        <w:lastRenderedPageBreak/>
        <w:t>REFERENCES</w:t>
      </w:r>
      <w:bookmarkEnd w:id="42"/>
      <w:bookmarkEnd w:id="44"/>
    </w:p>
    <w:p w14:paraId="47455536" w14:textId="77777777" w:rsidR="00C774D7" w:rsidRPr="00337707" w:rsidRDefault="00000000">
      <w:r w:rsidRPr="00337707">
        <w:t>EWUSI-MENSAH, K., 2021. The external organizational environment and its impact on management information systems. Accounting, Organizations and Society, vol. 6, no. 4, pp. 301–316.</w:t>
      </w:r>
    </w:p>
    <w:p w14:paraId="1F0C7488" w14:textId="77777777" w:rsidR="00C774D7" w:rsidRPr="00337707" w:rsidRDefault="00000000">
      <w:r w:rsidRPr="00337707">
        <w:t>MILLER, C.C., OGILVIE, DT, and GLICK, W.H., 2016. Assessing the External Environment: An Enrichment of the Archival Tradition. Research Methodology in Strategy and Management, pp. 97–122.</w:t>
      </w:r>
    </w:p>
    <w:p w14:paraId="3BDF3882" w14:textId="77777777" w:rsidR="00C774D7" w:rsidRPr="00337707" w:rsidRDefault="00000000">
      <w:r w:rsidRPr="00337707">
        <w:t>DIRSMITH, M.W. and COVALESKI, M.A., 2023. Strategy, external communication, and environmental context. Strategic Management Journal, vol. 4, no. 2, pp. 137–151.</w:t>
      </w:r>
    </w:p>
    <w:p w14:paraId="7D87A86B" w14:textId="77777777" w:rsidR="00C774D7" w:rsidRPr="00337707" w:rsidRDefault="00000000">
      <w:r w:rsidRPr="00337707">
        <w:t>UITTO, J.I., 2016. The Environment</w:t>
      </w:r>
      <w:r w:rsidRPr="00337707">
        <w:rPr>
          <w:rFonts w:ascii="Times New Roman" w:hAnsi="Times New Roman" w:cs="Times New Roman"/>
        </w:rPr>
        <w:t>‐</w:t>
      </w:r>
      <w:r w:rsidRPr="00337707">
        <w:t>poverty Nexus in Evaluation: Implications for the Sustainable Development Goals. Global Policy, vol. 7, no. 3, pp. 441–447.</w:t>
      </w:r>
    </w:p>
    <w:p w14:paraId="5854FEDD" w14:textId="77777777" w:rsidR="00C774D7" w:rsidRPr="00337707" w:rsidRDefault="00000000">
      <w:r w:rsidRPr="00337707">
        <w:t>EGAMI, N. and HARTMAN, E., 2020. Elements of External Validity: Framework, Design, and Analysis. SSRN Electronic Journal.</w:t>
      </w:r>
    </w:p>
    <w:p w14:paraId="4FC25700" w14:textId="77777777" w:rsidR="00C774D7" w:rsidRPr="00337707" w:rsidRDefault="00000000">
      <w:r w:rsidRPr="00337707">
        <w:t>M. GALINDRO, B., BEY, N., I. OLSEN, S., E. FRIES, C., and R. SOARES, S., 2019. Use of data envelopment analysis to benchmark environmental product declarations—a suggested framework. The International Journal of Life Cycle Assessment, vol. 25, no. 12, pp. 2417–2431.</w:t>
      </w:r>
    </w:p>
    <w:p w14:paraId="6D90785C" w14:textId="77777777" w:rsidR="00C774D7" w:rsidRPr="00337707" w:rsidRDefault="00000000">
      <w:r w:rsidRPr="00337707">
        <w:t>ZHANG, H., LIU, L., and LI, T., 2011. Designing IT systems according to environmental settings: A strategic analysis framework. The Journal of Strategic Information Systems, vol. 20, no. 1, pp. 80–95.</w:t>
      </w:r>
    </w:p>
    <w:p w14:paraId="5A6647B3" w14:textId="77777777" w:rsidR="00C774D7" w:rsidRPr="00337707" w:rsidRDefault="00000000">
      <w:r w:rsidRPr="00337707">
        <w:t>SCHUETZ, C.G., MAIR, E., and SCHREFL, M., 2018. PESTEL Modeler: Strategy Analysis Using MetaEdit+, iStar 2.0, and Semantic Technologies. 2018 IEEE 22nd International Enterprise Distributed Object Computing Workshop (EDOCW).</w:t>
      </w:r>
    </w:p>
    <w:p w14:paraId="20D9759F" w14:textId="77777777" w:rsidR="00C774D7" w:rsidRPr="00337707" w:rsidRDefault="00000000">
      <w:r w:rsidRPr="00337707">
        <w:t>MOKHTAR, S., 2021. A framework for sustainable environmental analysis. IOP Conference Series: Earth and Environmental Science, vol. 685, no. 1, p. 012005.</w:t>
      </w:r>
    </w:p>
    <w:p w14:paraId="51821533" w14:textId="77777777" w:rsidR="00C774D7" w:rsidRPr="00337707" w:rsidRDefault="00000000">
      <w:r w:rsidRPr="00337707">
        <w:t xml:space="preserve">Jahan, S. A., &amp; Sazu, M. H. (2023). Role of IoTs and analytics in efficient sustainable manufacturing of consumer electronics. </w:t>
      </w:r>
      <w:r w:rsidRPr="00337707">
        <w:rPr>
          <w:i/>
          <w:iCs/>
        </w:rPr>
        <w:t>International Journal of Computing Sciences Research</w:t>
      </w:r>
      <w:r w:rsidRPr="00337707">
        <w:t>, 7, 1337-1350.</w:t>
      </w:r>
    </w:p>
    <w:p w14:paraId="06742776" w14:textId="77777777" w:rsidR="00C774D7" w:rsidRPr="00337707" w:rsidRDefault="00000000">
      <w:r w:rsidRPr="00337707">
        <w:t xml:space="preserve">Microsoft Corporation (2024). </w:t>
      </w:r>
      <w:r w:rsidRPr="00337707">
        <w:rPr>
          <w:i/>
          <w:iCs/>
        </w:rPr>
        <w:t>Form 10-K</w:t>
      </w:r>
      <w:r w:rsidRPr="00337707">
        <w:t>.</w:t>
      </w:r>
    </w:p>
    <w:p w14:paraId="311A9CDB" w14:textId="77777777" w:rsidR="00C774D7" w:rsidRPr="00337707" w:rsidRDefault="00000000">
      <w:r w:rsidRPr="00337707">
        <w:lastRenderedPageBreak/>
        <w:t xml:space="preserve">Microsoft Corporation (2023). </w:t>
      </w:r>
      <w:r w:rsidRPr="00337707">
        <w:rPr>
          <w:i/>
          <w:iCs/>
        </w:rPr>
        <w:t>Our Sustainability Journey</w:t>
      </w:r>
      <w:r w:rsidRPr="00337707">
        <w:t>.</w:t>
      </w:r>
    </w:p>
    <w:p w14:paraId="65003FDE" w14:textId="77777777" w:rsidR="00C774D7" w:rsidRPr="00337707" w:rsidRDefault="00000000">
      <w:r w:rsidRPr="00337707">
        <w:t xml:space="preserve">Modak, N. M., Sinha, S., &amp; Ghosh, D. K. (2023). A review on remanufacturing, reuse, and recycling in supply chain – Exploring the evolution of information technology over two decades. </w:t>
      </w:r>
      <w:r w:rsidRPr="00337707">
        <w:rPr>
          <w:i/>
          <w:iCs/>
        </w:rPr>
        <w:t>International Journal of Information Management Data Insights</w:t>
      </w:r>
      <w:r w:rsidRPr="00337707">
        <w:t>, 3(1), 100160.</w:t>
      </w:r>
    </w:p>
    <w:p w14:paraId="559F1E55" w14:textId="77777777" w:rsidR="00C774D7" w:rsidRPr="00337707" w:rsidRDefault="00000000">
      <w:r w:rsidRPr="00337707">
        <w:t xml:space="preserve">U.S. Department of Commerce – International Trade Administration (Year). </w:t>
      </w:r>
      <w:r w:rsidRPr="00337707">
        <w:rPr>
          <w:i/>
          <w:iCs/>
        </w:rPr>
        <w:t>Software and Information Technology Industry</w:t>
      </w:r>
      <w:r w:rsidRPr="00337707">
        <w:t>.</w:t>
      </w:r>
    </w:p>
    <w:p w14:paraId="545B984A" w14:textId="77777777" w:rsidR="00C774D7" w:rsidRPr="00337707" w:rsidRDefault="00000000">
      <w:r w:rsidRPr="00337707">
        <w:t>Bakri, N.A.M., Zulhairi, A., Yahmin, N., Hashim, K., Traval, R., Khair, U.N.J. and Chew, B.C., 2012, February. PESTLE Analysis on Cloud Computing. In </w:t>
      </w:r>
      <w:r w:rsidRPr="00337707">
        <w:rPr>
          <w:i/>
          <w:iCs/>
        </w:rPr>
        <w:t>Proceedings of 2012 International Conference on Technology Management and Technopreneurship: IC-TMT2012</w:t>
      </w:r>
      <w:r w:rsidRPr="00337707">
        <w:t> (pp. 6-7).</w:t>
      </w:r>
    </w:p>
    <w:p w14:paraId="58EE40EC" w14:textId="77777777" w:rsidR="00C774D7" w:rsidRPr="00337707" w:rsidRDefault="00000000">
      <w:r w:rsidRPr="00337707">
        <w:t>Nkang, C.N., 2023. PESTLE Analysis Report for BAE Systems: Integrating Cloud Technology in the Defence Sector.</w:t>
      </w:r>
    </w:p>
    <w:p w14:paraId="473D891B" w14:textId="77777777" w:rsidR="00C774D7" w:rsidRPr="00337707" w:rsidRDefault="00000000">
      <w:r w:rsidRPr="00337707">
        <w:t>Microsoft Legal Issues. (2024). In-depth analysis of Microsoft's legal challenges and implications</w:t>
      </w:r>
    </w:p>
    <w:p w14:paraId="1EC1B5D0" w14:textId="77777777" w:rsidR="00C774D7" w:rsidRPr="00337707" w:rsidRDefault="00000000">
      <w:r w:rsidRPr="00337707">
        <w:t xml:space="preserve">SEITOVA, D., 2022. The terms of internationally accepted computer-based terminology. </w:t>
      </w:r>
      <w:r w:rsidRPr="00337707">
        <w:rPr>
          <w:i/>
          <w:iCs/>
        </w:rPr>
        <w:t>Ренессанс в парадигме новаций образования и технологий в XXI веке</w:t>
      </w:r>
      <w:r w:rsidRPr="00337707">
        <w:t>, no. 1, pp. 53–54.</w:t>
      </w:r>
    </w:p>
    <w:p w14:paraId="0868C0B6" w14:textId="77777777" w:rsidR="00C774D7" w:rsidRPr="00337707" w:rsidRDefault="00000000">
      <w:bookmarkStart w:id="45" w:name="_Hlk158629822"/>
      <w:r w:rsidRPr="00337707">
        <w:t>Williams, B. and Figueiredo, J., 2021</w:t>
      </w:r>
      <w:bookmarkEnd w:id="45"/>
      <w:r w:rsidRPr="00337707">
        <w:t>, June. Strategy and technology management: An innovation-leader case study. In </w:t>
      </w:r>
      <w:r w:rsidRPr="00337707">
        <w:rPr>
          <w:i/>
          <w:iCs/>
        </w:rPr>
        <w:t>First International Technology Management Conference</w:t>
      </w:r>
      <w:r w:rsidRPr="00337707">
        <w:t> (pp. 806-811). IEEE.</w:t>
      </w:r>
    </w:p>
    <w:p w14:paraId="35B5B8EB" w14:textId="77777777" w:rsidR="00C774D7" w:rsidRPr="00337707" w:rsidRDefault="00000000">
      <w:r w:rsidRPr="00337707">
        <w:t>Jae-woong, B. and Geun-woo, R., 2010. A global brand of the microsoft company: 4ps and pest analysis. </w:t>
      </w:r>
      <w:r w:rsidRPr="00337707">
        <w:rPr>
          <w:rFonts w:ascii="Malgun Gothic" w:eastAsia="Malgun Gothic" w:hAnsi="Malgun Gothic" w:cs="Malgun Gothic"/>
          <w:i/>
          <w:iCs/>
        </w:rPr>
        <w:t>문화산업연구</w:t>
      </w:r>
      <w:r w:rsidRPr="00337707">
        <w:t>, </w:t>
      </w:r>
      <w:r w:rsidRPr="00337707">
        <w:rPr>
          <w:i/>
          <w:iCs/>
        </w:rPr>
        <w:t>10</w:t>
      </w:r>
      <w:r w:rsidRPr="00337707">
        <w:t>(2), pp.185-196.</w:t>
      </w:r>
    </w:p>
    <w:p w14:paraId="1783EF0F" w14:textId="77777777" w:rsidR="00C774D7" w:rsidRPr="00337707" w:rsidRDefault="00000000">
      <w:r w:rsidRPr="00337707">
        <w:t>Qisman, M., Rosadi, R. and Abdullah, A.S., 2021. Market basket analysis using apriori algorithm to find consumer patterns in buying goods through transaction data (case study of Mizan computer retail stores). In </w:t>
      </w:r>
      <w:r w:rsidRPr="00337707">
        <w:rPr>
          <w:i/>
          <w:iCs/>
        </w:rPr>
        <w:t>Journal of Physics: Conference Series</w:t>
      </w:r>
      <w:r w:rsidRPr="00337707">
        <w:t> (Vol. 1722, No. 1, p. 012020). IOP Publishing.</w:t>
      </w:r>
    </w:p>
    <w:p w14:paraId="3B76C434" w14:textId="77777777" w:rsidR="00C774D7" w:rsidRPr="00337707" w:rsidRDefault="00000000">
      <w:pPr>
        <w:jc w:val="both"/>
      </w:pPr>
      <w:r w:rsidRPr="00337707">
        <w:t>Wade, Michael R. and John Hulland. The Resource-Based View and Information Systems Research: Review, Extension, and Suggestions for Future Research. MIS Q. 28 (2014): 107-142.</w:t>
      </w:r>
    </w:p>
    <w:p w14:paraId="5651C9BE" w14:textId="77777777" w:rsidR="00C774D7" w:rsidRPr="00337707" w:rsidRDefault="00000000">
      <w:pPr>
        <w:jc w:val="both"/>
      </w:pPr>
      <w:r w:rsidRPr="00337707">
        <w:t xml:space="preserve">GRANT, R.M., 2019. The Resource-Based Theory of Competitive Advantage: Implications for Strategy Formulation. </w:t>
      </w:r>
      <w:r w:rsidRPr="00337707">
        <w:rPr>
          <w:i/>
          <w:iCs/>
        </w:rPr>
        <w:t>California Management Review</w:t>
      </w:r>
      <w:r w:rsidRPr="00337707">
        <w:t>, vol. 33, no. 3, pp. 114–135.</w:t>
      </w:r>
    </w:p>
    <w:p w14:paraId="1AB56979" w14:textId="77777777" w:rsidR="00C774D7" w:rsidRPr="00337707" w:rsidRDefault="00000000">
      <w:pPr>
        <w:jc w:val="both"/>
      </w:pPr>
      <w:r w:rsidRPr="00337707">
        <w:t>Pospísil, M., Mates, V., &amp; Hruska, T. (2023). Analysing Resource Performance and its Application.</w:t>
      </w:r>
    </w:p>
    <w:p w14:paraId="3C9C0C91" w14:textId="77777777" w:rsidR="00C774D7" w:rsidRPr="00337707" w:rsidRDefault="00000000">
      <w:pPr>
        <w:jc w:val="both"/>
      </w:pPr>
      <w:r w:rsidRPr="00337707">
        <w:lastRenderedPageBreak/>
        <w:t xml:space="preserve">KNOTT, P.J., 2015. Does VRIO help managers evaluate a firm’s resources? </w:t>
      </w:r>
      <w:r w:rsidRPr="00337707">
        <w:rPr>
          <w:i/>
          <w:iCs/>
        </w:rPr>
        <w:t>Management Decision</w:t>
      </w:r>
      <w:r w:rsidRPr="00337707">
        <w:t>, vol. 53, no. 8, pp. 1806–1822.</w:t>
      </w:r>
    </w:p>
    <w:p w14:paraId="499AE6B3" w14:textId="77777777" w:rsidR="00C774D7" w:rsidRPr="00337707" w:rsidRDefault="00000000">
      <w:pPr>
        <w:jc w:val="both"/>
      </w:pPr>
      <w:r w:rsidRPr="00337707">
        <w:t>Simão, J. (2023). An extended VRIO model as a framework for sustainable tourism planning: a review. </w:t>
      </w:r>
      <w:r w:rsidRPr="00337707">
        <w:rPr>
          <w:i/>
          <w:iCs/>
        </w:rPr>
        <w:t>WIT Transactions on State-of-the-art in Science and Engineering, 72</w:t>
      </w:r>
      <w:r w:rsidRPr="00337707">
        <w:t>, 71-81.</w:t>
      </w:r>
    </w:p>
    <w:p w14:paraId="56913A91" w14:textId="77777777" w:rsidR="00C774D7" w:rsidRPr="00337707" w:rsidRDefault="00000000">
      <w:pPr>
        <w:jc w:val="both"/>
      </w:pPr>
      <w:r w:rsidRPr="00337707">
        <w:t xml:space="preserve">BRESSER, R.K.F. and POWALLA, C., 2012. Practical implications of the resource-based view. </w:t>
      </w:r>
      <w:r w:rsidRPr="00337707">
        <w:rPr>
          <w:i/>
          <w:iCs/>
        </w:rPr>
        <w:t>Zeitschrift für Betriebswirtschaft</w:t>
      </w:r>
      <w:r w:rsidRPr="00337707">
        <w:t>, vol. 82, no. 4, pp. 335–359.</w:t>
      </w:r>
    </w:p>
    <w:p w14:paraId="1C80A8D7" w14:textId="77777777" w:rsidR="00C774D7" w:rsidRPr="00337707" w:rsidRDefault="00000000">
      <w:pPr>
        <w:jc w:val="both"/>
      </w:pPr>
      <w:r w:rsidRPr="00337707">
        <w:t xml:space="preserve">VINAYACHANDRA and K., K.P., 2019. Executing Product Broadening Procedures for the Sustainability of an Innovation Organization - A Contextual Analysis of Microsoft Corporation. </w:t>
      </w:r>
      <w:r w:rsidRPr="00337707">
        <w:rPr>
          <w:i/>
          <w:iCs/>
        </w:rPr>
        <w:t>International Journal of Case Studies in Business, IT, and Education</w:t>
      </w:r>
      <w:r w:rsidRPr="00337707">
        <w:t>, pp. 28–40.</w:t>
      </w:r>
    </w:p>
    <w:p w14:paraId="0EDA039F" w14:textId="77777777" w:rsidR="00C774D7" w:rsidRPr="00337707" w:rsidRDefault="00000000">
      <w:pPr>
        <w:jc w:val="both"/>
      </w:pPr>
      <w:r w:rsidRPr="00337707">
        <w:t>NEWBERT, S.L., 2018. Value, rareness, competitive advantage, and performance: a conceptual</w:t>
      </w:r>
      <w:r w:rsidRPr="00337707">
        <w:rPr>
          <w:rFonts w:ascii="Times New Roman" w:hAnsi="Times New Roman" w:cs="Times New Roman"/>
        </w:rPr>
        <w:t>‐</w:t>
      </w:r>
      <w:r w:rsidRPr="00337707">
        <w:t>level empirical investigation of the resource</w:t>
      </w:r>
      <w:r w:rsidRPr="00337707">
        <w:rPr>
          <w:rFonts w:ascii="Times New Roman" w:hAnsi="Times New Roman" w:cs="Times New Roman"/>
        </w:rPr>
        <w:t>‐</w:t>
      </w:r>
      <w:r w:rsidRPr="00337707">
        <w:t xml:space="preserve">based view of the firm. </w:t>
      </w:r>
      <w:r w:rsidRPr="00337707">
        <w:rPr>
          <w:i/>
          <w:iCs/>
        </w:rPr>
        <w:t>Strategic Management Journal</w:t>
      </w:r>
      <w:r w:rsidRPr="00337707">
        <w:t>, vol. 29, no. 7, pp. 745–768.</w:t>
      </w:r>
    </w:p>
    <w:p w14:paraId="5CC99120" w14:textId="77777777" w:rsidR="00C774D7" w:rsidRPr="00337707" w:rsidRDefault="00000000">
      <w:pPr>
        <w:jc w:val="both"/>
      </w:pPr>
      <w:r w:rsidRPr="00337707">
        <w:t>HULTEN, C., 2010. Decoding Microsoft: Intangible Capital as a Source of Company Growth.</w:t>
      </w:r>
    </w:p>
    <w:p w14:paraId="3BD15277" w14:textId="77777777" w:rsidR="00C774D7" w:rsidRPr="00337707" w:rsidRDefault="00000000">
      <w:pPr>
        <w:jc w:val="both"/>
      </w:pPr>
      <w:r w:rsidRPr="00337707">
        <w:t>Miller, R. (2018). Leadership During Microsoft’s Turnaround. Forbes.</w:t>
      </w:r>
    </w:p>
    <w:p w14:paraId="685570E6" w14:textId="77777777" w:rsidR="00C774D7" w:rsidRPr="00337707" w:rsidRDefault="00000000">
      <w:pPr>
        <w:jc w:val="both"/>
      </w:pPr>
      <w:r w:rsidRPr="00337707">
        <w:t>Pratap, Abhijeet. “MICROSOFT VRIO ANALYSIS.” </w:t>
      </w:r>
      <w:r w:rsidRPr="00337707">
        <w:rPr>
          <w:i/>
          <w:iCs/>
        </w:rPr>
        <w:t>Cheshnotes.com</w:t>
      </w:r>
      <w:r w:rsidRPr="00337707">
        <w:t>. N.p., 2020. Web. 15 Jan. 2020.</w:t>
      </w:r>
    </w:p>
    <w:p w14:paraId="30D9274F" w14:textId="77777777" w:rsidR="00C774D7" w:rsidRPr="00337707" w:rsidRDefault="00000000">
      <w:pPr>
        <w:jc w:val="both"/>
      </w:pPr>
      <w:r w:rsidRPr="00337707">
        <w:t xml:space="preserve">Favato, G., &amp; </w:t>
      </w:r>
      <w:bookmarkStart w:id="46" w:name="_Hlk158665620"/>
      <w:r w:rsidRPr="00337707">
        <w:t>Vecchiato</w:t>
      </w:r>
      <w:bookmarkEnd w:id="46"/>
      <w:r w:rsidRPr="00337707">
        <w:t>, R. (2017). Embedding real options in scenario planning: A new methodological approach. Technological Forecasting and Social Change, 124, 135-149.</w:t>
      </w:r>
    </w:p>
    <w:p w14:paraId="15C5CFED" w14:textId="77777777" w:rsidR="00C774D7" w:rsidRPr="00337707" w:rsidRDefault="00000000">
      <w:pPr>
        <w:jc w:val="both"/>
      </w:pPr>
      <w:r w:rsidRPr="00337707">
        <w:t>Khan, R.H. (2011). The Use of Real Option Analysis (ROA) to assist in Security Solution Decisions.</w:t>
      </w:r>
    </w:p>
    <w:p w14:paraId="60C682D9" w14:textId="77777777" w:rsidR="00C774D7" w:rsidRPr="00337707" w:rsidRDefault="00000000">
      <w:pPr>
        <w:jc w:val="both"/>
      </w:pPr>
      <w:r w:rsidRPr="00337707">
        <w:t xml:space="preserve">ALHAWAMDEH, H.M., 2019. Strategic Decision Making and Organization Performance: A Literature Review. [online]. Available from: </w:t>
      </w:r>
      <w:hyperlink r:id="rId23" w:history="1">
        <w:r w:rsidRPr="00337707">
          <w:rPr>
            <w:rStyle w:val="Hyperlink"/>
          </w:rPr>
          <w:t>https://doi.org/10.32479/IRMM.8161</w:t>
        </w:r>
      </w:hyperlink>
      <w:r w:rsidRPr="00337707">
        <w:t>.</w:t>
      </w:r>
    </w:p>
    <w:p w14:paraId="3A96B12C" w14:textId="77777777" w:rsidR="00C774D7" w:rsidRPr="00337707" w:rsidRDefault="00000000">
      <w:pPr>
        <w:jc w:val="both"/>
      </w:pPr>
      <w:r w:rsidRPr="00337707">
        <w:t xml:space="preserve">GENÇ, E.G. and ŞENGÜL, R., 2015. A Review on the Relationship Between Strategic Management and Performance: The Role of Internal and External Contexts. [online]. </w:t>
      </w:r>
      <w:r w:rsidRPr="00337707">
        <w:rPr>
          <w:i/>
          <w:iCs/>
        </w:rPr>
        <w:t>Strategic Public Management Journal</w:t>
      </w:r>
      <w:r w:rsidRPr="00337707">
        <w:t xml:space="preserve">. Available from: </w:t>
      </w:r>
      <w:hyperlink r:id="rId24" w:history="1">
        <w:r w:rsidRPr="00337707">
          <w:rPr>
            <w:rStyle w:val="Hyperlink"/>
          </w:rPr>
          <w:t>https://doi.org/10.25069/spmj.290425</w:t>
        </w:r>
      </w:hyperlink>
      <w:r w:rsidRPr="00337707">
        <w:t>.</w:t>
      </w:r>
    </w:p>
    <w:p w14:paraId="4217C5DE" w14:textId="77777777" w:rsidR="00C774D7" w:rsidRPr="00337707" w:rsidRDefault="00000000">
      <w:pPr>
        <w:jc w:val="both"/>
      </w:pPr>
      <w:r w:rsidRPr="00337707">
        <w:t xml:space="preserve">ASIKHIA, O. and NWADIURU, C., 2021. The Influence of Strategic Decision Making on Organizational Performance. [online]. </w:t>
      </w:r>
      <w:r w:rsidRPr="00337707">
        <w:rPr>
          <w:i/>
          <w:iCs/>
        </w:rPr>
        <w:t>The International Journal of Business and Management</w:t>
      </w:r>
      <w:r w:rsidRPr="00337707">
        <w:t xml:space="preserve">. Available from: </w:t>
      </w:r>
      <w:hyperlink r:id="rId25" w:history="1">
        <w:r w:rsidRPr="00337707">
          <w:rPr>
            <w:rStyle w:val="Hyperlink"/>
          </w:rPr>
          <w:t>https://doi.org/10.24940/theijbm/2021/v9/i1/bm2101-050</w:t>
        </w:r>
      </w:hyperlink>
      <w:r w:rsidRPr="00337707">
        <w:t>.</w:t>
      </w:r>
    </w:p>
    <w:p w14:paraId="250EAA2B" w14:textId="77777777" w:rsidR="00C774D7" w:rsidRPr="00337707" w:rsidRDefault="00000000">
      <w:pPr>
        <w:jc w:val="both"/>
      </w:pPr>
      <w:r w:rsidRPr="00337707">
        <w:lastRenderedPageBreak/>
        <w:t>Schlange, L.E., &amp; Jüttner, U. (2017). Helping managers to identify the key strategic issues. </w:t>
      </w:r>
      <w:r w:rsidRPr="00337707">
        <w:rPr>
          <w:i/>
          <w:iCs/>
        </w:rPr>
        <w:t>Long Range Planning, 30</w:t>
      </w:r>
      <w:r w:rsidRPr="00337707">
        <w:t>, 777-786.</w:t>
      </w:r>
    </w:p>
    <w:p w14:paraId="3EA30944" w14:textId="77777777" w:rsidR="00C774D7" w:rsidRPr="00337707" w:rsidRDefault="00000000">
      <w:pPr>
        <w:jc w:val="both"/>
      </w:pPr>
      <w:r w:rsidRPr="00337707">
        <w:t>Abell, D.F. (2018). Strategic Windows. </w:t>
      </w:r>
      <w:r w:rsidRPr="00337707">
        <w:rPr>
          <w:i/>
          <w:iCs/>
        </w:rPr>
        <w:t>Journal of Marketing, 42</w:t>
      </w:r>
      <w:r w:rsidRPr="00337707">
        <w:t>, 21 - 26.</w:t>
      </w:r>
    </w:p>
    <w:p w14:paraId="0FA740C9" w14:textId="77777777" w:rsidR="00C774D7" w:rsidRPr="00337707" w:rsidRDefault="00000000">
      <w:pPr>
        <w:jc w:val="both"/>
      </w:pPr>
      <w:r w:rsidRPr="00337707">
        <w:t>ZHAO, B., 2022. Microsoft’s overview and development strategies based on multiple analyses. [online]. BCP business &amp; management. Available from: https://doi.org/10.54691/bcpbm.v19i.730.</w:t>
      </w:r>
    </w:p>
    <w:p w14:paraId="1E6D12A6" w14:textId="77777777" w:rsidR="00C774D7" w:rsidRPr="00337707" w:rsidRDefault="00000000">
      <w:pPr>
        <w:jc w:val="both"/>
      </w:pPr>
      <w:r w:rsidRPr="00337707">
        <w:t>Kearns, K. (2022). From comparative advantage to damage control: Clarifying strategic issues using swot analysis. </w:t>
      </w:r>
      <w:r w:rsidRPr="00337707">
        <w:rPr>
          <w:i/>
          <w:iCs/>
        </w:rPr>
        <w:t>Nonprofit Management and Leadership, 3</w:t>
      </w:r>
      <w:r w:rsidRPr="00337707">
        <w:t>, 3-22.</w:t>
      </w:r>
    </w:p>
    <w:p w14:paraId="646DA95E" w14:textId="77777777" w:rsidR="00C774D7" w:rsidRPr="00337707" w:rsidRDefault="00000000">
      <w:pPr>
        <w:jc w:val="both"/>
      </w:pPr>
      <w:r w:rsidRPr="00337707">
        <w:t xml:space="preserve">Bort, J., 2019. Six Reasons Why Microsoft Struggles With Innovation. [online] www.infoworld.com/. Available at: https://www.infoworld.com/article/2631572/six-reasons-why-microsoft-struggles-with-innovation.html [Accessed 4 September 2020]. </w:t>
      </w:r>
    </w:p>
    <w:p w14:paraId="5E07707C" w14:textId="77777777" w:rsidR="00C774D7" w:rsidRPr="00337707" w:rsidRDefault="00000000">
      <w:pPr>
        <w:jc w:val="both"/>
      </w:pPr>
      <w:r w:rsidRPr="00337707">
        <w:t>Gürel, E. and Tat, M., 2017. SWOT analysis: a theoretical review. </w:t>
      </w:r>
      <w:r w:rsidRPr="00337707">
        <w:rPr>
          <w:i/>
          <w:iCs/>
        </w:rPr>
        <w:t>Journal of International Social Research</w:t>
      </w:r>
      <w:r w:rsidRPr="00337707">
        <w:t>, </w:t>
      </w:r>
      <w:r w:rsidRPr="00337707">
        <w:rPr>
          <w:i/>
          <w:iCs/>
        </w:rPr>
        <w:t>10</w:t>
      </w:r>
      <w:r w:rsidRPr="00337707">
        <w:t xml:space="preserve">(51). </w:t>
      </w:r>
    </w:p>
    <w:p w14:paraId="5E73301E" w14:textId="77777777" w:rsidR="00C774D7" w:rsidRPr="00337707" w:rsidRDefault="00000000">
      <w:pPr>
        <w:jc w:val="both"/>
      </w:pPr>
      <w:r w:rsidRPr="00337707">
        <w:t>Loebbecke, C., Soehnel, A., Weniger, S. and Weiss, T., 2020, June. Innovating for the mobile end-user market: Amazon’s Kindle 2 strategy as emerging business model. In </w:t>
      </w:r>
      <w:r w:rsidRPr="00337707">
        <w:rPr>
          <w:i/>
          <w:iCs/>
        </w:rPr>
        <w:t>2020 Ninth International Conference on Mobile Business and 2010 Ninth Global Mobility Roundtable (ICMB-GMR)</w:t>
      </w:r>
      <w:r w:rsidRPr="00337707">
        <w:t xml:space="preserve"> (pp. 51-57). IEEE. </w:t>
      </w:r>
    </w:p>
    <w:p w14:paraId="0409DE65" w14:textId="77777777" w:rsidR="00C774D7" w:rsidRPr="00337707" w:rsidRDefault="00000000">
      <w:pPr>
        <w:jc w:val="both"/>
      </w:pPr>
      <w:r w:rsidRPr="00337707">
        <w:t>Neumann, C., Metoyer, R.A. and Burnett, M., 2019. End-user strategy programming. </w:t>
      </w:r>
      <w:r w:rsidRPr="00337707">
        <w:rPr>
          <w:i/>
          <w:iCs/>
        </w:rPr>
        <w:t>Journal of Visual Languages &amp; Computing</w:t>
      </w:r>
      <w:r w:rsidRPr="00337707">
        <w:t>, </w:t>
      </w:r>
      <w:r w:rsidRPr="00337707">
        <w:rPr>
          <w:i/>
          <w:iCs/>
        </w:rPr>
        <w:t>20</w:t>
      </w:r>
      <w:r w:rsidRPr="00337707">
        <w:t>(1), pp.16-29.</w:t>
      </w:r>
    </w:p>
    <w:p w14:paraId="09A586F6" w14:textId="77777777" w:rsidR="00C774D7" w:rsidRPr="00337707" w:rsidRDefault="00000000">
      <w:pPr>
        <w:jc w:val="both"/>
      </w:pPr>
      <w:r w:rsidRPr="00337707">
        <w:t>Thelwall, M., 2018. Microsoft Academic automatic document searches: Accuracy for journal articles and suitability for citation analysis. </w:t>
      </w:r>
      <w:r w:rsidRPr="00337707">
        <w:rPr>
          <w:i/>
          <w:iCs/>
        </w:rPr>
        <w:t>Journal of Informetrics</w:t>
      </w:r>
      <w:r w:rsidRPr="00337707">
        <w:t>, </w:t>
      </w:r>
      <w:r w:rsidRPr="00337707">
        <w:rPr>
          <w:i/>
          <w:iCs/>
        </w:rPr>
        <w:t>12</w:t>
      </w:r>
      <w:r w:rsidRPr="00337707">
        <w:t>(1), pp.1-9.</w:t>
      </w:r>
    </w:p>
    <w:p w14:paraId="2E373CAC" w14:textId="77777777" w:rsidR="00C774D7" w:rsidRPr="00337707" w:rsidRDefault="00000000">
      <w:pPr>
        <w:jc w:val="both"/>
      </w:pPr>
      <w:r w:rsidRPr="00337707">
        <w:t>Valentin, E.K., 2021. SWOT analysis from a resource-based view. </w:t>
      </w:r>
      <w:r w:rsidRPr="00337707">
        <w:rPr>
          <w:i/>
          <w:iCs/>
        </w:rPr>
        <w:t>Journal of marketing theory and practice</w:t>
      </w:r>
      <w:r w:rsidRPr="00337707">
        <w:t>, </w:t>
      </w:r>
      <w:r w:rsidRPr="00337707">
        <w:rPr>
          <w:i/>
          <w:iCs/>
        </w:rPr>
        <w:t>9</w:t>
      </w:r>
      <w:r w:rsidRPr="00337707">
        <w:t>(2), pp.54-69.</w:t>
      </w:r>
    </w:p>
    <w:p w14:paraId="181F59E5" w14:textId="77777777" w:rsidR="00C774D7" w:rsidRPr="00337707" w:rsidRDefault="00000000">
      <w:pPr>
        <w:jc w:val="both"/>
      </w:pPr>
      <w:r w:rsidRPr="00337707">
        <w:t>Warner, J.P., 2019. Microsoft: A Strategic Audit.</w:t>
      </w:r>
    </w:p>
    <w:p w14:paraId="05C85DA4" w14:textId="77777777" w:rsidR="00C774D7" w:rsidRPr="00337707" w:rsidRDefault="00000000">
      <w:pPr>
        <w:jc w:val="both"/>
      </w:pPr>
      <w:r w:rsidRPr="00337707">
        <w:t>Eitzman, A. (2019). A Strategic Audit of Microsoft.</w:t>
      </w:r>
    </w:p>
    <w:p w14:paraId="72BD1FF0" w14:textId="77777777" w:rsidR="00C774D7" w:rsidRPr="00337707" w:rsidRDefault="00000000">
      <w:pPr>
        <w:jc w:val="both"/>
      </w:pPr>
      <w:r w:rsidRPr="00337707">
        <w:t>Warner, J.P. (2019). Microsoft: A Strategic Audit.</w:t>
      </w:r>
    </w:p>
    <w:p w14:paraId="5C7F1F57" w14:textId="77777777" w:rsidR="00C774D7" w:rsidRPr="00337707" w:rsidRDefault="00000000">
      <w:pPr>
        <w:jc w:val="both"/>
      </w:pPr>
      <w:r w:rsidRPr="00337707">
        <w:t xml:space="preserve">CUSUMANO, M.A. and SELBY, R.W., 1996. How Microsoft Competes. </w:t>
      </w:r>
      <w:r w:rsidRPr="00337707">
        <w:rPr>
          <w:i/>
          <w:iCs/>
        </w:rPr>
        <w:t>Research-Technology Management</w:t>
      </w:r>
      <w:r w:rsidRPr="00337707">
        <w:t>, vol. 39, no. 1, pp. 26–30.</w:t>
      </w:r>
    </w:p>
    <w:p w14:paraId="13E22ED7" w14:textId="77777777" w:rsidR="00C774D7" w:rsidRPr="00337707" w:rsidRDefault="00000000">
      <w:pPr>
        <w:jc w:val="both"/>
      </w:pPr>
      <w:r w:rsidRPr="00337707">
        <w:lastRenderedPageBreak/>
        <w:t xml:space="preserve">VINAYACHANDRA and K., K.P., 2019. Executing Product Broadening Procedures for the Sustainability of an Innovation Organization - A Contextual Analysis of Microsoft Corporation. </w:t>
      </w:r>
      <w:r w:rsidRPr="00337707">
        <w:rPr>
          <w:i/>
          <w:iCs/>
        </w:rPr>
        <w:t>International Journal of Case Studies in Business, IT, and Education</w:t>
      </w:r>
      <w:r w:rsidRPr="00337707">
        <w:t>, pp. 28–40.</w:t>
      </w:r>
    </w:p>
    <w:p w14:paraId="672BA699" w14:textId="77777777" w:rsidR="00C774D7" w:rsidRPr="00337707" w:rsidRDefault="00000000">
      <w:pPr>
        <w:rPr>
          <w:szCs w:val="24"/>
        </w:rPr>
      </w:pPr>
      <w:r w:rsidRPr="00337707">
        <w:rPr>
          <w:szCs w:val="24"/>
        </w:rPr>
        <w:t xml:space="preserve">KURUPPUARACHCHI, P.R., MANDAL, P., and SMITH, R., 2002. IT project implementation strategies for effective changes: a critical review. </w:t>
      </w:r>
      <w:r w:rsidRPr="00337707">
        <w:rPr>
          <w:i/>
          <w:iCs/>
          <w:szCs w:val="24"/>
        </w:rPr>
        <w:t>Logistics Information Management</w:t>
      </w:r>
      <w:r w:rsidRPr="00337707">
        <w:rPr>
          <w:szCs w:val="24"/>
        </w:rPr>
        <w:t>, vol. 15, no. 2, pp. 126–137.</w:t>
      </w:r>
    </w:p>
    <w:p w14:paraId="10A33A24" w14:textId="77777777" w:rsidR="00C774D7" w:rsidRPr="00337707" w:rsidRDefault="00000000">
      <w:pPr>
        <w:rPr>
          <w:szCs w:val="24"/>
        </w:rPr>
      </w:pPr>
      <w:r w:rsidRPr="00337707">
        <w:rPr>
          <w:szCs w:val="24"/>
        </w:rPr>
        <w:t xml:space="preserve">KRISTJANSDOTTIR, K., SHAFIEE, S., and HVAM, L., 2016. Development and implementation strategy for the of product configuration systems in engineer-to-order companies. </w:t>
      </w:r>
      <w:r w:rsidRPr="00337707">
        <w:rPr>
          <w:i/>
          <w:iCs/>
          <w:szCs w:val="24"/>
        </w:rPr>
        <w:t>2016 IEEE International Conference on Industrial Engineering and Engineering Management (IEEM)</w:t>
      </w:r>
      <w:r w:rsidRPr="00337707">
        <w:rPr>
          <w:szCs w:val="24"/>
        </w:rPr>
        <w:t>.</w:t>
      </w:r>
    </w:p>
    <w:p w14:paraId="60FA2289" w14:textId="77777777" w:rsidR="00C774D7" w:rsidRPr="00337707" w:rsidRDefault="00000000">
      <w:pPr>
        <w:rPr>
          <w:szCs w:val="24"/>
        </w:rPr>
      </w:pPr>
      <w:r w:rsidRPr="00337707">
        <w:rPr>
          <w:szCs w:val="24"/>
        </w:rPr>
        <w:t xml:space="preserve">FONSECA RODRÍGUEZ, S.L., CASTELLANOS, O.F., and JIMÉNEZ HERNANDEZ, C.N., 2012. Considerations for generating and implementing technological strategies. </w:t>
      </w:r>
      <w:r w:rsidRPr="00337707">
        <w:rPr>
          <w:i/>
          <w:iCs/>
          <w:szCs w:val="24"/>
        </w:rPr>
        <w:t>Ingeniería e Investigación</w:t>
      </w:r>
      <w:r w:rsidRPr="00337707">
        <w:rPr>
          <w:szCs w:val="24"/>
        </w:rPr>
        <w:t>, vol. 32, no. 2, pp. 83–88.</w:t>
      </w:r>
    </w:p>
    <w:p w14:paraId="770BC918" w14:textId="77777777" w:rsidR="00C774D7" w:rsidRPr="00337707" w:rsidRDefault="00000000">
      <w:pPr>
        <w:rPr>
          <w:szCs w:val="24"/>
        </w:rPr>
      </w:pPr>
      <w:r w:rsidRPr="00337707">
        <w:rPr>
          <w:szCs w:val="24"/>
        </w:rPr>
        <w:t>KESHTA, I.M., NIAZI, M., and ALSHAYEB, M., 2020. Towards the implementation of requirements management specific practices (SP 1.1 and SP 1.2) for small</w:t>
      </w:r>
      <w:r w:rsidRPr="00337707">
        <w:rPr>
          <w:rFonts w:ascii="Times New Roman" w:hAnsi="Times New Roman" w:cs="Times New Roman"/>
          <w:szCs w:val="24"/>
        </w:rPr>
        <w:t>‐</w:t>
      </w:r>
      <w:r w:rsidRPr="00337707">
        <w:rPr>
          <w:szCs w:val="24"/>
        </w:rPr>
        <w:t xml:space="preserve"> and medium</w:t>
      </w:r>
      <w:r w:rsidRPr="00337707">
        <w:rPr>
          <w:rFonts w:ascii="Times New Roman" w:hAnsi="Times New Roman" w:cs="Times New Roman"/>
          <w:szCs w:val="24"/>
        </w:rPr>
        <w:t>‐</w:t>
      </w:r>
      <w:r w:rsidRPr="00337707">
        <w:rPr>
          <w:szCs w:val="24"/>
        </w:rPr>
        <w:t>sized software development organisations. IET Software, vol. 14, no. 3, pp. 308</w:t>
      </w:r>
      <w:r w:rsidRPr="00337707">
        <w:rPr>
          <w:rFonts w:cs="Garamond"/>
          <w:szCs w:val="24"/>
        </w:rPr>
        <w:t>–</w:t>
      </w:r>
      <w:r w:rsidRPr="00337707">
        <w:rPr>
          <w:szCs w:val="24"/>
        </w:rPr>
        <w:t>317.</w:t>
      </w:r>
    </w:p>
    <w:p w14:paraId="1A2E8A11" w14:textId="77777777" w:rsidR="00C774D7" w:rsidRPr="00337707" w:rsidRDefault="00000000">
      <w:pPr>
        <w:rPr>
          <w:szCs w:val="24"/>
        </w:rPr>
      </w:pPr>
      <w:r w:rsidRPr="00337707">
        <w:rPr>
          <w:szCs w:val="24"/>
        </w:rPr>
        <w:t xml:space="preserve">NAPOLI, J.P. and KALOYANOVA, K., 2011. An integrated approach for RUP, EA, SOA and BPM implementation. </w:t>
      </w:r>
      <w:r w:rsidRPr="00337707">
        <w:rPr>
          <w:i/>
          <w:iCs/>
          <w:szCs w:val="24"/>
        </w:rPr>
        <w:t>Proceedings of the 12th International Conference on Computer Systems and Technologies - CompSysTech ’11</w:t>
      </w:r>
      <w:r w:rsidRPr="00337707">
        <w:rPr>
          <w:szCs w:val="24"/>
        </w:rPr>
        <w:t>.</w:t>
      </w:r>
    </w:p>
    <w:p w14:paraId="06737AD5" w14:textId="77777777" w:rsidR="00C774D7" w:rsidRPr="00337707" w:rsidRDefault="00000000">
      <w:pPr>
        <w:rPr>
          <w:szCs w:val="24"/>
        </w:rPr>
      </w:pPr>
      <w:r w:rsidRPr="00337707">
        <w:rPr>
          <w:szCs w:val="24"/>
        </w:rPr>
        <w:t xml:space="preserve">SHOHAM, A. and FIEGENBAUM, A., 2019. Extending the Competitive Marketing Strategy Paradigm: The Role of Strategic Reference Points Theory. </w:t>
      </w:r>
      <w:r w:rsidRPr="00337707">
        <w:rPr>
          <w:i/>
          <w:iCs/>
          <w:szCs w:val="24"/>
        </w:rPr>
        <w:t>Journal of the Academy of Marketing Science</w:t>
      </w:r>
      <w:r w:rsidRPr="00337707">
        <w:rPr>
          <w:szCs w:val="24"/>
        </w:rPr>
        <w:t>, vol. 27, no. 4, pp. 442–454.</w:t>
      </w:r>
    </w:p>
    <w:p w14:paraId="173BE9E4" w14:textId="77777777" w:rsidR="00C774D7" w:rsidRPr="00337707" w:rsidRDefault="00000000">
      <w:pPr>
        <w:rPr>
          <w:szCs w:val="24"/>
        </w:rPr>
      </w:pPr>
      <w:r w:rsidRPr="00337707">
        <w:rPr>
          <w:szCs w:val="24"/>
        </w:rPr>
        <w:t>Alkhafaji, A., &amp; Nelson, R. A. (2013). Strategic management: formulation, implementation, and control in a dynamic environment. Routledge.</w:t>
      </w:r>
    </w:p>
    <w:p w14:paraId="694B3715" w14:textId="77777777" w:rsidR="006A7A73" w:rsidRPr="006A7A73" w:rsidRDefault="006A7A73" w:rsidP="006A7A73">
      <w:pPr>
        <w:rPr>
          <w:szCs w:val="24"/>
        </w:rPr>
      </w:pPr>
      <w:r w:rsidRPr="006A7A73">
        <w:rPr>
          <w:szCs w:val="24"/>
        </w:rPr>
        <w:t>Microsoft Unveils a New Look - The Official Microsoft Blog  - Site Home - TechNet Blogs. [online], 2012. Available from: https://web.archive.org/web/20120825012157/http://blogs.technet.com/b/microsoft_blog/archive/2012/08/23/microsoft-unveils-a-new-look.aspx.</w:t>
      </w:r>
    </w:p>
    <w:p w14:paraId="1EB7E779" w14:textId="12C204C7" w:rsidR="006A7A73" w:rsidRPr="00337707" w:rsidRDefault="008445B4">
      <w:pPr>
        <w:rPr>
          <w:szCs w:val="24"/>
        </w:rPr>
      </w:pPr>
      <w:r w:rsidRPr="00337707">
        <w:rPr>
          <w:szCs w:val="24"/>
        </w:rPr>
        <w:lastRenderedPageBreak/>
        <w:t>Jugdev, K. (20</w:t>
      </w:r>
      <w:r w:rsidRPr="00337707">
        <w:rPr>
          <w:szCs w:val="24"/>
        </w:rPr>
        <w:t>1</w:t>
      </w:r>
      <w:r w:rsidRPr="00337707">
        <w:rPr>
          <w:szCs w:val="24"/>
        </w:rPr>
        <w:t>6). The VRIO Framework of Competitive Advantage : Preliminary Research Implications for Organizational Innovations as Drawn from a Project Management Study.</w:t>
      </w:r>
    </w:p>
    <w:p w14:paraId="3F9BFD8A" w14:textId="77777777" w:rsidR="008445B4" w:rsidRPr="008445B4" w:rsidRDefault="008445B4" w:rsidP="008445B4">
      <w:pPr>
        <w:jc w:val="both"/>
      </w:pPr>
      <w:r w:rsidRPr="008445B4">
        <w:t xml:space="preserve">KNOTT, P.J., 2015. Does VRIO help managers evaluate a firm’s resources? </w:t>
      </w:r>
      <w:r w:rsidRPr="008445B4">
        <w:rPr>
          <w:i/>
          <w:iCs/>
        </w:rPr>
        <w:t>Management Decision</w:t>
      </w:r>
      <w:r w:rsidRPr="008445B4">
        <w:t>, vol. 53, no. 8, pp. 1806–1822.</w:t>
      </w:r>
    </w:p>
    <w:p w14:paraId="4750309B" w14:textId="77777777" w:rsidR="008445B4" w:rsidRPr="008445B4" w:rsidRDefault="008445B4" w:rsidP="008445B4">
      <w:pPr>
        <w:jc w:val="both"/>
      </w:pPr>
      <w:r w:rsidRPr="008445B4">
        <w:t>LIN, C., TSAI, H., WU, Y., and KIANG, M., 2012. A fuzzy quantitative VRIO</w:t>
      </w:r>
      <w:r w:rsidRPr="008445B4">
        <w:rPr>
          <w:rFonts w:ascii="Times New Roman" w:hAnsi="Times New Roman" w:cs="Times New Roman"/>
        </w:rPr>
        <w:t>‐</w:t>
      </w:r>
      <w:r w:rsidRPr="008445B4">
        <w:t xml:space="preserve">based framework for evaluating organizational activities. </w:t>
      </w:r>
      <w:r w:rsidRPr="008445B4">
        <w:rPr>
          <w:i/>
          <w:iCs/>
        </w:rPr>
        <w:t>Management Decision</w:t>
      </w:r>
      <w:r w:rsidRPr="008445B4">
        <w:t>, vol. 50, no. 8, pp. 1396–1411.</w:t>
      </w:r>
    </w:p>
    <w:p w14:paraId="306B63D5" w14:textId="77777777" w:rsidR="008445B4" w:rsidRPr="00337707" w:rsidRDefault="008445B4" w:rsidP="008445B4">
      <w:pPr>
        <w:jc w:val="both"/>
      </w:pPr>
      <w:r w:rsidRPr="008445B4">
        <w:t xml:space="preserve">CHATZOGLOU, P., CHATZOUDES, D., SARIGIANNIDIS, L., and THERIOU, G., 2018. The role of firm-specific factors in the strategy-performance relationship. </w:t>
      </w:r>
      <w:r w:rsidRPr="008445B4">
        <w:rPr>
          <w:i/>
          <w:iCs/>
        </w:rPr>
        <w:t>Management Research Review</w:t>
      </w:r>
      <w:r w:rsidRPr="008445B4">
        <w:t>, vol. 41, no. 1, pp. 46–73.</w:t>
      </w:r>
    </w:p>
    <w:p w14:paraId="69E2C4A5" w14:textId="77777777" w:rsidR="00216076" w:rsidRPr="00216076" w:rsidRDefault="00216076" w:rsidP="00216076">
      <w:pPr>
        <w:jc w:val="both"/>
      </w:pPr>
      <w:r w:rsidRPr="00216076">
        <w:t xml:space="preserve">GUO, L., LIBBY, T., WONG-ON-WING, B., and DAN, Y., 2021. Limiting the Effect of Attribution and Construal Errors on Strategy Evaluation Using a Strategic Performance Measurement System. </w:t>
      </w:r>
      <w:r w:rsidRPr="00216076">
        <w:rPr>
          <w:i/>
          <w:iCs/>
        </w:rPr>
        <w:t>SSRN Electronic Journal</w:t>
      </w:r>
      <w:r w:rsidRPr="00216076">
        <w:t>.</w:t>
      </w:r>
    </w:p>
    <w:p w14:paraId="612ECCE0" w14:textId="77777777" w:rsidR="00216076" w:rsidRPr="00216076" w:rsidRDefault="00216076" w:rsidP="00216076">
      <w:pPr>
        <w:jc w:val="both"/>
      </w:pPr>
      <w:r w:rsidRPr="00216076">
        <w:t xml:space="preserve">AL-HAZMI, M.H., 2020. Strategic Choices: The Case Of Management Accounting System. </w:t>
      </w:r>
      <w:r w:rsidRPr="00216076">
        <w:rPr>
          <w:i/>
          <w:iCs/>
        </w:rPr>
        <w:t>Journal of Applied Business Research (JABR)</w:t>
      </w:r>
      <w:r w:rsidRPr="00216076">
        <w:t>, vol. 26, no. 6.</w:t>
      </w:r>
    </w:p>
    <w:p w14:paraId="23F9C7D6" w14:textId="77777777" w:rsidR="00216076" w:rsidRPr="00216076" w:rsidRDefault="00216076" w:rsidP="00216076">
      <w:pPr>
        <w:jc w:val="both"/>
      </w:pPr>
      <w:r w:rsidRPr="00216076">
        <w:t xml:space="preserve">KIND, J.M., BAAYEN, J.H., and BOTZEN, W.J.W., 2018. Benefits and Limitations of Real Options Analysis for the Practice of River Flood Risk Management. </w:t>
      </w:r>
      <w:r w:rsidRPr="00216076">
        <w:rPr>
          <w:i/>
          <w:iCs/>
        </w:rPr>
        <w:t>Water Resources Research</w:t>
      </w:r>
      <w:r w:rsidRPr="00216076">
        <w:t>, vol. 54, no. 4, pp. 3018–3036.</w:t>
      </w:r>
    </w:p>
    <w:p w14:paraId="5FB77200" w14:textId="77777777" w:rsidR="00216076" w:rsidRPr="00337707" w:rsidRDefault="00216076" w:rsidP="00216076">
      <w:pPr>
        <w:jc w:val="both"/>
      </w:pPr>
      <w:r w:rsidRPr="00216076">
        <w:t xml:space="preserve">RAYNOR, M.E. and LEROUX, X., 2014. Strategic Flexibility in R&amp;D. </w:t>
      </w:r>
      <w:r w:rsidRPr="00216076">
        <w:rPr>
          <w:i/>
          <w:iCs/>
        </w:rPr>
        <w:t>Research-Technology Management</w:t>
      </w:r>
      <w:r w:rsidRPr="00216076">
        <w:t>, vol. 47, no. 3, pp. 27–32.</w:t>
      </w:r>
    </w:p>
    <w:p w14:paraId="701E6815" w14:textId="4A5717B7" w:rsidR="008A3617" w:rsidRPr="00337707" w:rsidRDefault="008A3617" w:rsidP="00216076">
      <w:pPr>
        <w:jc w:val="both"/>
      </w:pPr>
      <w:r w:rsidRPr="00337707">
        <w:t>YÜKSEL, I., 2022. Developing a Multi-</w:t>
      </w:r>
      <w:r w:rsidRPr="00337707">
        <w:t>Criteria Decision-Making</w:t>
      </w:r>
      <w:r w:rsidRPr="00337707">
        <w:t xml:space="preserve"> Model for PESTEL Analysis. International Journal of Business and Management, vol. 7, no. 24.</w:t>
      </w:r>
    </w:p>
    <w:p w14:paraId="6D623847" w14:textId="77777777" w:rsidR="008A3617" w:rsidRPr="00337707" w:rsidRDefault="008A3617" w:rsidP="008A3617">
      <w:pPr>
        <w:jc w:val="both"/>
      </w:pPr>
      <w:r w:rsidRPr="008A3617">
        <w:t xml:space="preserve">SCHOMAKER, R.M. and SITTER, A., 2020. Die PESTEL-Analyse – Status quo und innovative Anpassungen. </w:t>
      </w:r>
      <w:r w:rsidRPr="008A3617">
        <w:rPr>
          <w:i/>
          <w:iCs/>
        </w:rPr>
        <w:t>Der Betriebswirt: Volume 61, Issue 1</w:t>
      </w:r>
      <w:r w:rsidRPr="008A3617">
        <w:t>, vol. 61, no. 1, pp. 3–21.</w:t>
      </w:r>
    </w:p>
    <w:p w14:paraId="1C8AD80D" w14:textId="77777777" w:rsidR="00082FFF" w:rsidRPr="008A3617" w:rsidRDefault="00082FFF" w:rsidP="008A3617">
      <w:pPr>
        <w:jc w:val="both"/>
      </w:pPr>
    </w:p>
    <w:p w14:paraId="62434604" w14:textId="77777777" w:rsidR="008A3617" w:rsidRPr="008A3617" w:rsidRDefault="008A3617" w:rsidP="008A3617">
      <w:pPr>
        <w:jc w:val="both"/>
      </w:pPr>
      <w:r w:rsidRPr="008A3617">
        <w:t xml:space="preserve">SCHUETZ, C.G., MAIR, E., and SCHREFL, M., 2018. PESTEL Modeler: Strategy Analysis Using MetaEdit+, iStar 2.0, and Semantic Technologies. </w:t>
      </w:r>
      <w:r w:rsidRPr="008A3617">
        <w:rPr>
          <w:i/>
          <w:iCs/>
        </w:rPr>
        <w:t>2018 IEEE 22nd International Enterprise Distributed Object Computing Workshop (EDOCW)</w:t>
      </w:r>
      <w:r w:rsidRPr="008A3617">
        <w:t>.</w:t>
      </w:r>
    </w:p>
    <w:p w14:paraId="02587353" w14:textId="77777777" w:rsidR="008A3617" w:rsidRPr="008A3617" w:rsidRDefault="008A3617" w:rsidP="008A3617">
      <w:pPr>
        <w:jc w:val="both"/>
      </w:pPr>
      <w:r w:rsidRPr="008A3617">
        <w:lastRenderedPageBreak/>
        <w:t xml:space="preserve">ISSA, D.T., CHANG, A.V., and ISSA, D.T., 2020. Sustainable Business Strategies and PESTEL Framework. </w:t>
      </w:r>
      <w:r w:rsidRPr="008A3617">
        <w:rPr>
          <w:i/>
          <w:iCs/>
        </w:rPr>
        <w:t>GSTF INTERNATIONAL JOURNAL ON COMPUTING</w:t>
      </w:r>
      <w:r w:rsidRPr="008A3617">
        <w:t>, vol. 1, no. 1.</w:t>
      </w:r>
    </w:p>
    <w:p w14:paraId="1E9551C8" w14:textId="77777777" w:rsidR="009D6B0F" w:rsidRPr="009D6B0F" w:rsidRDefault="009D6B0F" w:rsidP="009D6B0F">
      <w:pPr>
        <w:jc w:val="both"/>
      </w:pPr>
      <w:r w:rsidRPr="009D6B0F">
        <w:t xml:space="preserve">GIETZMANN, M.B. and SELBY, M.J.P., 2021. Assessment of innovative software technology: developing an end-user-initiated interface design strategy. </w:t>
      </w:r>
      <w:r w:rsidRPr="009D6B0F">
        <w:rPr>
          <w:i/>
          <w:iCs/>
        </w:rPr>
        <w:t>Technology Analysis &amp; Strategic Management</w:t>
      </w:r>
      <w:r w:rsidRPr="009D6B0F">
        <w:t>, vol. 6, no. 4, pp. 473–485.</w:t>
      </w:r>
    </w:p>
    <w:p w14:paraId="5318D63F" w14:textId="77777777" w:rsidR="009D6B0F" w:rsidRPr="009D6B0F" w:rsidRDefault="009D6B0F" w:rsidP="009D6B0F">
      <w:pPr>
        <w:jc w:val="both"/>
      </w:pPr>
      <w:r w:rsidRPr="009D6B0F">
        <w:t xml:space="preserve">QUINTAS, P., 2023. A Product-Process Model of Innovation in Software Development. </w:t>
      </w:r>
      <w:r w:rsidRPr="009D6B0F">
        <w:rPr>
          <w:i/>
          <w:iCs/>
        </w:rPr>
        <w:t>Journal of Information Technology</w:t>
      </w:r>
      <w:r w:rsidRPr="009D6B0F">
        <w:t>, vol. 9, no. 1, pp. 3–17.</w:t>
      </w:r>
    </w:p>
    <w:p w14:paraId="6EA8AD94" w14:textId="77777777" w:rsidR="009D6B0F" w:rsidRPr="00337707" w:rsidRDefault="009D6B0F" w:rsidP="009D6B0F">
      <w:pPr>
        <w:jc w:val="both"/>
      </w:pPr>
      <w:r w:rsidRPr="009D6B0F">
        <w:t xml:space="preserve">PICHLER, R., 2022. </w:t>
      </w:r>
      <w:r w:rsidRPr="009D6B0F">
        <w:rPr>
          <w:i/>
          <w:iCs/>
        </w:rPr>
        <w:t>Strategize: Product Strategy and Product Roadmap Practices for the Digital Age</w:t>
      </w:r>
      <w:r w:rsidRPr="009D6B0F">
        <w:t>. Pichler Consulting.</w:t>
      </w:r>
    </w:p>
    <w:p w14:paraId="09F38EC9" w14:textId="318308B4" w:rsidR="00032B02" w:rsidRPr="009D6B0F" w:rsidRDefault="00032B02" w:rsidP="009D6B0F">
      <w:pPr>
        <w:jc w:val="both"/>
      </w:pPr>
      <w:r w:rsidRPr="00337707">
        <w:t>TJEMKES, B., VOS, P., and BURGERS, K., 2017. Strategic Alliance Management.</w:t>
      </w:r>
    </w:p>
    <w:p w14:paraId="6DFE17B3" w14:textId="3B341CE4" w:rsidR="00216076" w:rsidRPr="008445B4" w:rsidRDefault="00FB0378" w:rsidP="008445B4">
      <w:pPr>
        <w:jc w:val="both"/>
      </w:pPr>
      <w:r w:rsidRPr="00337707">
        <w:t>Zamir, Z., Sahar, A., &amp; Zafar, F. (201</w:t>
      </w:r>
      <w:r w:rsidRPr="00337707">
        <w:t>9</w:t>
      </w:r>
      <w:r w:rsidRPr="00337707">
        <w:t>). Strategic Alliances ; A Comparative Analysis of Successful Alliances in Large and Medium Scale Enterprises around the World.</w:t>
      </w:r>
    </w:p>
    <w:p w14:paraId="70887F41" w14:textId="25F0C84F" w:rsidR="00C774D7" w:rsidRPr="00337707" w:rsidRDefault="00ED25D4">
      <w:pPr>
        <w:jc w:val="both"/>
      </w:pPr>
      <w:r w:rsidRPr="00337707">
        <w:t>AMERSHI, S., BEGEL, A., BIRD, C., DELINE, R., GALL, H., KAMAR, E., NAGAPPAN, N., NUSHI, B., and ZIMMERMANN, T., 2019. Software Engineering for Machine Learning: A Case Study. 2019 IEEE/ACM 41st International Conference on Software Engineering: Software Engineering in Practice (ICSE-SEIP).</w:t>
      </w:r>
    </w:p>
    <w:p w14:paraId="5A918D0D" w14:textId="77777777" w:rsidR="00725CAB" w:rsidRPr="00725CAB" w:rsidRDefault="00725CAB" w:rsidP="00725CAB">
      <w:r w:rsidRPr="00725CAB">
        <w:t xml:space="preserve">REIM, W., ÅSTRÖM, J., and ERIKSSON, O., 2020. Implementation of Artificial Intelligence (AI): A Roadmap for Business Model Innovation. </w:t>
      </w:r>
      <w:r w:rsidRPr="00725CAB">
        <w:rPr>
          <w:i/>
          <w:iCs/>
        </w:rPr>
        <w:t>AI</w:t>
      </w:r>
      <w:r w:rsidRPr="00725CAB">
        <w:t>, vol. 1, no. 2, pp. 180–191.</w:t>
      </w:r>
    </w:p>
    <w:p w14:paraId="3F86DFFE" w14:textId="32A7151F" w:rsidR="00C774D7" w:rsidRPr="00337707" w:rsidRDefault="00725CAB">
      <w:r w:rsidRPr="00725CAB">
        <w:t xml:space="preserve">VAN DE SANDE, D., VAN GENDEREN, M.E., SMIT, J.M., HUISKENS, J., VISSER, J.J., VEEN, R.E.R., VAN UNEN, E., BA, O.H., GOMMERS, D., and BOMMEL, J. VAN, 2022. Developing, </w:t>
      </w:r>
      <w:r w:rsidRPr="00337707">
        <w:t>implementing,</w:t>
      </w:r>
      <w:r w:rsidRPr="00725CAB">
        <w:t xml:space="preserve"> and governing artificial intelligence in medicine: a step-by-step approach to prevent an artificial intelligence winter. </w:t>
      </w:r>
      <w:r w:rsidRPr="00725CAB">
        <w:rPr>
          <w:i/>
          <w:iCs/>
        </w:rPr>
        <w:t>BMJ Health Care Inform</w:t>
      </w:r>
      <w:r w:rsidRPr="00725CAB">
        <w:t>, vol. 29, no. 1, p. e100495.</w:t>
      </w:r>
    </w:p>
    <w:p w14:paraId="29035597" w14:textId="77777777" w:rsidR="00082FFF" w:rsidRPr="00337707" w:rsidRDefault="00082FFF" w:rsidP="00082FFF">
      <w:r w:rsidRPr="00082FFF">
        <w:t xml:space="preserve">KÖLMEL, B. and EISENBIEGLER, J., 2001. Impact of Configuration Management. </w:t>
      </w:r>
      <w:r w:rsidRPr="00082FFF">
        <w:rPr>
          <w:i/>
          <w:iCs/>
        </w:rPr>
        <w:t>Managing the Change: Software Configuration and Change Management</w:t>
      </w:r>
      <w:r w:rsidRPr="00082FFF">
        <w:t>, pp. 66–76.</w:t>
      </w:r>
    </w:p>
    <w:p w14:paraId="7F54329A" w14:textId="0B9F2AFB" w:rsidR="00082FFF" w:rsidRPr="00082FFF" w:rsidRDefault="00593050" w:rsidP="00082FFF">
      <w:r w:rsidRPr="00337707">
        <w:t>Aiello, R., &amp; Sachs, L.R. (20</w:t>
      </w:r>
      <w:r w:rsidRPr="00337707">
        <w:t>2</w:t>
      </w:r>
      <w:r w:rsidRPr="00337707">
        <w:t>0). Configuration Management Best Practices: Practical Methods that Work in the Real World.</w:t>
      </w:r>
    </w:p>
    <w:p w14:paraId="0D0507A6" w14:textId="77777777" w:rsidR="00B1150B" w:rsidRPr="00B1150B" w:rsidRDefault="00B1150B" w:rsidP="00B1150B">
      <w:r w:rsidRPr="00B1150B">
        <w:lastRenderedPageBreak/>
        <w:t xml:space="preserve">KITCHEN, P.J. and DALY, F., 2002. Internal communication during change management. </w:t>
      </w:r>
      <w:r w:rsidRPr="00B1150B">
        <w:rPr>
          <w:i/>
          <w:iCs/>
        </w:rPr>
        <w:t>Corporate Communications: An International Journal</w:t>
      </w:r>
      <w:r w:rsidRPr="00B1150B">
        <w:t>, vol. 7, no. 1, pp. 46–53.</w:t>
      </w:r>
    </w:p>
    <w:p w14:paraId="6E2891CF" w14:textId="35C3285F" w:rsidR="00082FFF" w:rsidRPr="00337707" w:rsidRDefault="00B1150B">
      <w:r w:rsidRPr="00B1150B">
        <w:t>STRÖH, U. and JAATINEN, M., 20</w:t>
      </w:r>
      <w:r w:rsidRPr="00337707">
        <w:t>22</w:t>
      </w:r>
      <w:r w:rsidRPr="00B1150B">
        <w:t xml:space="preserve">. New approaches to communication management for transformation and change in organisations. </w:t>
      </w:r>
      <w:r w:rsidRPr="00B1150B">
        <w:rPr>
          <w:i/>
          <w:iCs/>
        </w:rPr>
        <w:t>Journal of Communication Management</w:t>
      </w:r>
      <w:r w:rsidRPr="00B1150B">
        <w:t>, vol. 6, no. 2, pp. 148–165.</w:t>
      </w:r>
    </w:p>
    <w:sectPr w:rsidR="00082FFF" w:rsidRPr="00337707">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B818C" w14:textId="77777777" w:rsidR="00AD73C1" w:rsidRPr="00337707" w:rsidRDefault="00AD73C1">
      <w:pPr>
        <w:spacing w:after="0" w:line="240" w:lineRule="auto"/>
      </w:pPr>
      <w:r w:rsidRPr="00337707">
        <w:separator/>
      </w:r>
    </w:p>
  </w:endnote>
  <w:endnote w:type="continuationSeparator" w:id="0">
    <w:p w14:paraId="7BCE64C3" w14:textId="77777777" w:rsidR="00AD73C1" w:rsidRPr="00337707" w:rsidRDefault="00AD73C1">
      <w:pPr>
        <w:spacing w:after="0" w:line="240" w:lineRule="auto"/>
      </w:pPr>
      <w:r w:rsidRPr="0033770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1515" w14:textId="77777777" w:rsidR="00C774D7" w:rsidRPr="00337707" w:rsidRDefault="00000000">
    <w:pPr>
      <w:pStyle w:val="Footer"/>
      <w:jc w:val="right"/>
    </w:pPr>
    <w:r w:rsidRPr="00337707">
      <w:t xml:space="preserve">Page </w:t>
    </w:r>
    <w:r w:rsidRPr="00337707">
      <w:rPr>
        <w:b/>
        <w:bCs/>
        <w:szCs w:val="24"/>
      </w:rPr>
      <w:fldChar w:fldCharType="begin"/>
    </w:r>
    <w:r w:rsidRPr="00337707">
      <w:rPr>
        <w:b/>
        <w:bCs/>
      </w:rPr>
      <w:instrText xml:space="preserve"> PAGE </w:instrText>
    </w:r>
    <w:r w:rsidRPr="00337707">
      <w:rPr>
        <w:b/>
        <w:bCs/>
        <w:szCs w:val="24"/>
      </w:rPr>
      <w:fldChar w:fldCharType="separate"/>
    </w:r>
    <w:r w:rsidRPr="00337707">
      <w:rPr>
        <w:b/>
        <w:bCs/>
        <w:noProof/>
      </w:rPr>
      <w:t>2</w:t>
    </w:r>
    <w:r w:rsidRPr="00337707">
      <w:rPr>
        <w:b/>
        <w:bCs/>
        <w:szCs w:val="24"/>
      </w:rPr>
      <w:fldChar w:fldCharType="end"/>
    </w:r>
    <w:r w:rsidRPr="00337707">
      <w:t xml:space="preserve"> of </w:t>
    </w:r>
    <w:r w:rsidRPr="00337707">
      <w:rPr>
        <w:b/>
        <w:bCs/>
        <w:szCs w:val="24"/>
      </w:rPr>
      <w:fldChar w:fldCharType="begin"/>
    </w:r>
    <w:r w:rsidRPr="00337707">
      <w:rPr>
        <w:b/>
        <w:bCs/>
      </w:rPr>
      <w:instrText xml:space="preserve"> NUMPAGES  </w:instrText>
    </w:r>
    <w:r w:rsidRPr="00337707">
      <w:rPr>
        <w:b/>
        <w:bCs/>
        <w:szCs w:val="24"/>
      </w:rPr>
      <w:fldChar w:fldCharType="separate"/>
    </w:r>
    <w:r w:rsidRPr="00337707">
      <w:rPr>
        <w:b/>
        <w:bCs/>
        <w:noProof/>
      </w:rPr>
      <w:t>2</w:t>
    </w:r>
    <w:r w:rsidRPr="00337707">
      <w:rPr>
        <w:b/>
        <w:bCs/>
        <w:szCs w:val="24"/>
      </w:rPr>
      <w:fldChar w:fldCharType="end"/>
    </w:r>
  </w:p>
  <w:p w14:paraId="681B94B4" w14:textId="77777777" w:rsidR="00C774D7" w:rsidRPr="00337707" w:rsidRDefault="00C77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2BD3B" w14:textId="77777777" w:rsidR="00AD73C1" w:rsidRPr="00337707" w:rsidRDefault="00AD73C1">
      <w:pPr>
        <w:spacing w:after="0" w:line="240" w:lineRule="auto"/>
      </w:pPr>
      <w:r w:rsidRPr="00337707">
        <w:separator/>
      </w:r>
    </w:p>
  </w:footnote>
  <w:footnote w:type="continuationSeparator" w:id="0">
    <w:p w14:paraId="46AA1E12" w14:textId="77777777" w:rsidR="00AD73C1" w:rsidRPr="00337707" w:rsidRDefault="00AD73C1">
      <w:pPr>
        <w:spacing w:after="0" w:line="240" w:lineRule="auto"/>
      </w:pPr>
      <w:r w:rsidRPr="0033770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4EEA" w14:textId="77777777" w:rsidR="00C774D7" w:rsidRPr="00337707" w:rsidRDefault="00000000">
    <w:pPr>
      <w:pStyle w:val="Header"/>
      <w:jc w:val="center"/>
      <w:rPr>
        <w:szCs w:val="24"/>
      </w:rPr>
    </w:pPr>
    <w:r w:rsidRPr="00337707">
      <w:rPr>
        <w:szCs w:val="24"/>
      </w:rPr>
      <w:t>BM134 Strategy &amp; Leadership, Microsoft</w:t>
    </w:r>
  </w:p>
  <w:p w14:paraId="2CED2221" w14:textId="77777777" w:rsidR="00C774D7" w:rsidRPr="00337707" w:rsidRDefault="00C77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B4B61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2202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0610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9AB83594"/>
    <w:lvl w:ilvl="0" w:tplc="7D64FCB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multilevel"/>
    <w:tmpl w:val="384C296C"/>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hybridMultilevel"/>
    <w:tmpl w:val="A5FC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5362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CEBA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8"/>
    <w:multiLevelType w:val="multilevel"/>
    <w:tmpl w:val="418033A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9"/>
    <w:multiLevelType w:val="hybridMultilevel"/>
    <w:tmpl w:val="7E388E72"/>
    <w:lvl w:ilvl="0" w:tplc="04090001">
      <w:start w:val="1"/>
      <w:numFmt w:val="bullet"/>
      <w:lvlText w:val=""/>
      <w:lvlJc w:val="left"/>
      <w:pPr>
        <w:ind w:left="720" w:hanging="360"/>
      </w:pPr>
      <w:rPr>
        <w:rFonts w:ascii="Symbol" w:hAnsi="Symbol" w:hint="default"/>
      </w:rPr>
    </w:lvl>
    <w:lvl w:ilvl="1" w:tplc="0E6A78AE" w:tentative="1">
      <w:start w:val="1"/>
      <w:numFmt w:val="lowerLetter"/>
      <w:lvlText w:val="%2."/>
      <w:lvlJc w:val="left"/>
      <w:pPr>
        <w:ind w:left="1440" w:hanging="360"/>
      </w:pPr>
    </w:lvl>
    <w:lvl w:ilvl="2" w:tplc="1744FA60" w:tentative="1">
      <w:start w:val="1"/>
      <w:numFmt w:val="lowerRoman"/>
      <w:lvlText w:val="%3."/>
      <w:lvlJc w:val="right"/>
      <w:pPr>
        <w:ind w:left="2160" w:hanging="180"/>
      </w:pPr>
    </w:lvl>
    <w:lvl w:ilvl="3" w:tplc="F092DAD8" w:tentative="1">
      <w:start w:val="1"/>
      <w:numFmt w:val="decimal"/>
      <w:lvlText w:val="%4."/>
      <w:lvlJc w:val="left"/>
      <w:pPr>
        <w:ind w:left="2880" w:hanging="360"/>
      </w:pPr>
    </w:lvl>
    <w:lvl w:ilvl="4" w:tplc="44C837A4" w:tentative="1">
      <w:start w:val="1"/>
      <w:numFmt w:val="lowerLetter"/>
      <w:lvlText w:val="%5."/>
      <w:lvlJc w:val="left"/>
      <w:pPr>
        <w:ind w:left="3600" w:hanging="360"/>
      </w:pPr>
    </w:lvl>
    <w:lvl w:ilvl="5" w:tplc="FE28E48C" w:tentative="1">
      <w:start w:val="1"/>
      <w:numFmt w:val="lowerRoman"/>
      <w:lvlText w:val="%6."/>
      <w:lvlJc w:val="right"/>
      <w:pPr>
        <w:ind w:left="4320" w:hanging="180"/>
      </w:pPr>
    </w:lvl>
    <w:lvl w:ilvl="6" w:tplc="87F672AE" w:tentative="1">
      <w:start w:val="1"/>
      <w:numFmt w:val="decimal"/>
      <w:lvlText w:val="%7."/>
      <w:lvlJc w:val="left"/>
      <w:pPr>
        <w:ind w:left="5040" w:hanging="360"/>
      </w:pPr>
    </w:lvl>
    <w:lvl w:ilvl="7" w:tplc="D814FC8C" w:tentative="1">
      <w:start w:val="1"/>
      <w:numFmt w:val="lowerLetter"/>
      <w:lvlText w:val="%8."/>
      <w:lvlJc w:val="left"/>
      <w:pPr>
        <w:ind w:left="5760" w:hanging="360"/>
      </w:pPr>
    </w:lvl>
    <w:lvl w:ilvl="8" w:tplc="3D483D82" w:tentative="1">
      <w:start w:val="1"/>
      <w:numFmt w:val="lowerRoman"/>
      <w:lvlText w:val="%9."/>
      <w:lvlJc w:val="right"/>
      <w:pPr>
        <w:ind w:left="6480" w:hanging="180"/>
      </w:pPr>
    </w:lvl>
  </w:abstractNum>
  <w:num w:numId="1" w16cid:durableId="124541721">
    <w:abstractNumId w:val="6"/>
  </w:num>
  <w:num w:numId="2" w16cid:durableId="1308903249">
    <w:abstractNumId w:val="3"/>
  </w:num>
  <w:num w:numId="3" w16cid:durableId="1114981273">
    <w:abstractNumId w:val="2"/>
  </w:num>
  <w:num w:numId="4" w16cid:durableId="1905868285">
    <w:abstractNumId w:val="5"/>
  </w:num>
  <w:num w:numId="5" w16cid:durableId="1796094566">
    <w:abstractNumId w:val="0"/>
  </w:num>
  <w:num w:numId="6" w16cid:durableId="661156379">
    <w:abstractNumId w:val="9"/>
  </w:num>
  <w:num w:numId="7" w16cid:durableId="875511018">
    <w:abstractNumId w:val="8"/>
  </w:num>
  <w:num w:numId="8" w16cid:durableId="1916279006">
    <w:abstractNumId w:val="4"/>
  </w:num>
  <w:num w:numId="9" w16cid:durableId="341976332">
    <w:abstractNumId w:val="7"/>
  </w:num>
  <w:num w:numId="10" w16cid:durableId="1292858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D7"/>
    <w:rsid w:val="00031854"/>
    <w:rsid w:val="00032B02"/>
    <w:rsid w:val="00082FFF"/>
    <w:rsid w:val="000B4C3E"/>
    <w:rsid w:val="000D3499"/>
    <w:rsid w:val="000D7EA2"/>
    <w:rsid w:val="000E482D"/>
    <w:rsid w:val="00105AB4"/>
    <w:rsid w:val="0013285E"/>
    <w:rsid w:val="00191451"/>
    <w:rsid w:val="001A06A9"/>
    <w:rsid w:val="0020193A"/>
    <w:rsid w:val="002066C3"/>
    <w:rsid w:val="00216076"/>
    <w:rsid w:val="00216310"/>
    <w:rsid w:val="00295DAA"/>
    <w:rsid w:val="002B4C08"/>
    <w:rsid w:val="002C0B24"/>
    <w:rsid w:val="002C5FC5"/>
    <w:rsid w:val="003019F7"/>
    <w:rsid w:val="00337707"/>
    <w:rsid w:val="003453D3"/>
    <w:rsid w:val="003510C1"/>
    <w:rsid w:val="003609CF"/>
    <w:rsid w:val="00424486"/>
    <w:rsid w:val="00424D08"/>
    <w:rsid w:val="004F39A0"/>
    <w:rsid w:val="00534AB0"/>
    <w:rsid w:val="00560530"/>
    <w:rsid w:val="00587352"/>
    <w:rsid w:val="00593050"/>
    <w:rsid w:val="00654F0D"/>
    <w:rsid w:val="00657730"/>
    <w:rsid w:val="006775B6"/>
    <w:rsid w:val="00685E09"/>
    <w:rsid w:val="00690DA1"/>
    <w:rsid w:val="006A7A73"/>
    <w:rsid w:val="006C1A5D"/>
    <w:rsid w:val="006C2DF1"/>
    <w:rsid w:val="006E43A0"/>
    <w:rsid w:val="007022EB"/>
    <w:rsid w:val="00725CAB"/>
    <w:rsid w:val="007462A6"/>
    <w:rsid w:val="0079124B"/>
    <w:rsid w:val="007B248E"/>
    <w:rsid w:val="007E1350"/>
    <w:rsid w:val="00830709"/>
    <w:rsid w:val="008445B4"/>
    <w:rsid w:val="008543C9"/>
    <w:rsid w:val="00892E78"/>
    <w:rsid w:val="008A3617"/>
    <w:rsid w:val="008D0C5E"/>
    <w:rsid w:val="008D6420"/>
    <w:rsid w:val="008F5F7B"/>
    <w:rsid w:val="009041DB"/>
    <w:rsid w:val="00905C93"/>
    <w:rsid w:val="0096381D"/>
    <w:rsid w:val="009B5213"/>
    <w:rsid w:val="009D6B0F"/>
    <w:rsid w:val="00A11758"/>
    <w:rsid w:val="00A13C01"/>
    <w:rsid w:val="00A52180"/>
    <w:rsid w:val="00A5428F"/>
    <w:rsid w:val="00AB6700"/>
    <w:rsid w:val="00AD73C1"/>
    <w:rsid w:val="00AE20A9"/>
    <w:rsid w:val="00B1150B"/>
    <w:rsid w:val="00B13950"/>
    <w:rsid w:val="00B518A0"/>
    <w:rsid w:val="00B656DE"/>
    <w:rsid w:val="00B76EA5"/>
    <w:rsid w:val="00B863B6"/>
    <w:rsid w:val="00B91261"/>
    <w:rsid w:val="00BC33FD"/>
    <w:rsid w:val="00BC3CFA"/>
    <w:rsid w:val="00BF2939"/>
    <w:rsid w:val="00BF3D69"/>
    <w:rsid w:val="00C774D7"/>
    <w:rsid w:val="00CA237A"/>
    <w:rsid w:val="00CD089F"/>
    <w:rsid w:val="00CF6F77"/>
    <w:rsid w:val="00D55652"/>
    <w:rsid w:val="00DA76BA"/>
    <w:rsid w:val="00DD1724"/>
    <w:rsid w:val="00DE1AC9"/>
    <w:rsid w:val="00DE229B"/>
    <w:rsid w:val="00E10E20"/>
    <w:rsid w:val="00E358D7"/>
    <w:rsid w:val="00E51E60"/>
    <w:rsid w:val="00E57F9A"/>
    <w:rsid w:val="00E769D3"/>
    <w:rsid w:val="00EA0B7A"/>
    <w:rsid w:val="00EB2335"/>
    <w:rsid w:val="00ED25D4"/>
    <w:rsid w:val="00EF5CE5"/>
    <w:rsid w:val="00F03DAB"/>
    <w:rsid w:val="00F23477"/>
    <w:rsid w:val="00F26C5E"/>
    <w:rsid w:val="00F37D27"/>
    <w:rsid w:val="00F74A1A"/>
    <w:rsid w:val="00FB0378"/>
    <w:rsid w:val="00FD11D5"/>
    <w:rsid w:val="00FE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D5F2"/>
  <w15:docId w15:val="{ADCFC91F-3827-40EE-B1A5-7BDD7CBC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ascii="Garamond" w:hAnsi="Garamond"/>
      <w:sz w:val="24"/>
      <w:lang w:val="en-GB"/>
    </w:rPr>
  </w:style>
  <w:style w:type="paragraph" w:styleId="Heading1">
    <w:name w:val="heading 1"/>
    <w:basedOn w:val="Normal"/>
    <w:next w:val="Normal"/>
    <w:link w:val="Heading1Char"/>
    <w:uiPriority w:val="9"/>
    <w:qFormat/>
    <w:pPr>
      <w:keepNext/>
      <w:keepLines/>
      <w:spacing w:before="360" w:after="80"/>
      <w:outlineLvl w:val="0"/>
    </w:pPr>
    <w:rPr>
      <w:rFonts w:eastAsia="SimSun"/>
      <w:b/>
      <w:sz w:val="36"/>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eastAsia="SimSun"/>
      <w:b/>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SimSun"/>
      <w:b/>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b/>
      <w:iCs/>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b/>
      <w:i/>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Garamond" w:eastAsia="SimSun" w:hAnsi="Garamond" w:cs="SimSun"/>
      <w:b/>
      <w:sz w:val="36"/>
      <w:szCs w:val="40"/>
      <w:lang w:val="en-GB"/>
    </w:rPr>
  </w:style>
  <w:style w:type="character" w:customStyle="1" w:styleId="Heading2Char">
    <w:name w:val="Heading 2 Char"/>
    <w:basedOn w:val="DefaultParagraphFont"/>
    <w:link w:val="Heading2"/>
    <w:uiPriority w:val="9"/>
    <w:rPr>
      <w:rFonts w:ascii="Garamond" w:eastAsia="SimSun" w:hAnsi="Garamond" w:cs="SimSun"/>
      <w:b/>
      <w:sz w:val="32"/>
      <w:szCs w:val="32"/>
      <w:lang w:val="en-GB"/>
    </w:rPr>
  </w:style>
  <w:style w:type="character" w:customStyle="1" w:styleId="Heading3Char">
    <w:name w:val="Heading 3 Char"/>
    <w:basedOn w:val="DefaultParagraphFont"/>
    <w:link w:val="Heading3"/>
    <w:uiPriority w:val="9"/>
    <w:rPr>
      <w:rFonts w:ascii="Garamond" w:eastAsia="SimSun" w:hAnsi="Garamond" w:cs="SimSun"/>
      <w:b/>
      <w:sz w:val="28"/>
      <w:szCs w:val="28"/>
      <w:lang w:val="en-GB"/>
    </w:rPr>
  </w:style>
  <w:style w:type="character" w:customStyle="1" w:styleId="Heading4Char">
    <w:name w:val="Heading 4 Char"/>
    <w:basedOn w:val="DefaultParagraphFont"/>
    <w:link w:val="Heading4"/>
    <w:uiPriority w:val="9"/>
    <w:rPr>
      <w:rFonts w:ascii="Garamond" w:eastAsia="SimSun" w:hAnsi="Garamond" w:cs="SimSun"/>
      <w:b/>
      <w:iCs/>
      <w:sz w:val="24"/>
      <w:lang w:val="en-GB"/>
    </w:rPr>
  </w:style>
  <w:style w:type="character" w:customStyle="1" w:styleId="Heading5Char">
    <w:name w:val="Heading 5 Char"/>
    <w:basedOn w:val="DefaultParagraphFont"/>
    <w:link w:val="Heading5"/>
    <w:uiPriority w:val="9"/>
    <w:rPr>
      <w:rFonts w:ascii="Garamond" w:eastAsia="SimSun" w:hAnsi="Garamond" w:cs="SimSun"/>
      <w:b/>
      <w:i/>
      <w:sz w:val="24"/>
      <w:lang w:val="en-GB"/>
    </w:rPr>
  </w:style>
  <w:style w:type="character" w:customStyle="1" w:styleId="Heading6Char">
    <w:name w:val="Heading 6 Char"/>
    <w:basedOn w:val="DefaultParagraphFont"/>
    <w:link w:val="Heading6"/>
    <w:uiPriority w:val="9"/>
    <w:rPr>
      <w:rFonts w:eastAsia="SimSun" w:cs="SimSun"/>
      <w:i/>
      <w:iCs/>
      <w:color w:val="595959"/>
      <w:lang w:val="en-GB"/>
    </w:rPr>
  </w:style>
  <w:style w:type="character" w:customStyle="1" w:styleId="Heading7Char">
    <w:name w:val="Heading 7 Char"/>
    <w:basedOn w:val="DefaultParagraphFont"/>
    <w:link w:val="Heading7"/>
    <w:uiPriority w:val="9"/>
    <w:rPr>
      <w:rFonts w:eastAsia="SimSun" w:cs="SimSun"/>
      <w:color w:val="595959"/>
      <w:lang w:val="en-GB"/>
    </w:rPr>
  </w:style>
  <w:style w:type="character" w:customStyle="1" w:styleId="Heading8Char">
    <w:name w:val="Heading 8 Char"/>
    <w:basedOn w:val="DefaultParagraphFont"/>
    <w:link w:val="Heading8"/>
    <w:uiPriority w:val="9"/>
    <w:rPr>
      <w:rFonts w:eastAsia="SimSun" w:cs="SimSun"/>
      <w:i/>
      <w:iCs/>
      <w:color w:val="272727"/>
      <w:lang w:val="en-GB"/>
    </w:rPr>
  </w:style>
  <w:style w:type="character" w:customStyle="1" w:styleId="Heading9Char">
    <w:name w:val="Heading 9 Char"/>
    <w:basedOn w:val="DefaultParagraphFont"/>
    <w:link w:val="Heading9"/>
    <w:uiPriority w:val="9"/>
    <w:rPr>
      <w:rFonts w:eastAsia="SimSun" w:cs="SimSun"/>
      <w:color w:val="272727"/>
      <w:lang w:val="en-GB"/>
    </w:rPr>
  </w:style>
  <w:style w:type="paragraph" w:styleId="Title">
    <w:name w:val="Title"/>
    <w:basedOn w:val="Normal"/>
    <w:next w:val="Normal"/>
    <w:link w:val="TitleChar"/>
    <w:uiPriority w:val="10"/>
    <w:qFormat/>
    <w:pPr>
      <w:spacing w:after="80"/>
      <w:contextualSpacing/>
    </w:pPr>
    <w:rPr>
      <w:rFonts w:eastAsia="SimSun"/>
      <w:b/>
      <w:spacing w:val="-10"/>
      <w:kern w:val="28"/>
      <w:sz w:val="28"/>
      <w:szCs w:val="56"/>
    </w:rPr>
  </w:style>
  <w:style w:type="character" w:customStyle="1" w:styleId="TitleChar">
    <w:name w:val="Title Char"/>
    <w:basedOn w:val="DefaultParagraphFont"/>
    <w:link w:val="Title"/>
    <w:uiPriority w:val="10"/>
    <w:rPr>
      <w:rFonts w:ascii="Garamond" w:eastAsia="SimSun" w:hAnsi="Garamond" w:cs="SimSun"/>
      <w:b/>
      <w:spacing w:val="-10"/>
      <w:kern w:val="28"/>
      <w:sz w:val="28"/>
      <w:szCs w:val="56"/>
      <w:lang w:val="en-GB"/>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lang w:val="en-GB"/>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lang w:val="en-GB"/>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lang w:val="en-GB"/>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GB"/>
    </w:rPr>
  </w:style>
  <w:style w:type="paragraph" w:customStyle="1" w:styleId="HeadingLevel3">
    <w:name w:val="Heading Level 3"/>
    <w:basedOn w:val="Heading3"/>
    <w:rPr>
      <w:b w:val="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2">
    <w:name w:val="pb-2"/>
    <w:basedOn w:val="Normal"/>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character" w:styleId="Hyperlink">
    <w:name w:val="Hyperlink"/>
    <w:basedOn w:val="DefaultParagraphFont"/>
    <w:uiPriority w:val="99"/>
    <w:rPr>
      <w:color w:val="467886"/>
      <w:u w:val="single"/>
    </w:rPr>
  </w:style>
  <w:style w:type="character" w:customStyle="1" w:styleId="UnresolvedMention1">
    <w:name w:val="Unresolved Mention1"/>
    <w:basedOn w:val="DefaultParagraphFont"/>
    <w:uiPriority w:val="99"/>
    <w:rPr>
      <w:color w:val="605E5C"/>
      <w:shd w:val="clear" w:color="auto" w:fill="E1DFDD"/>
    </w:rPr>
  </w:style>
  <w:style w:type="paragraph" w:styleId="TOCHeading">
    <w:name w:val="TOC Heading"/>
    <w:basedOn w:val="Heading1"/>
    <w:next w:val="Normal"/>
    <w:uiPriority w:val="39"/>
    <w:qFormat/>
    <w:pPr>
      <w:spacing w:before="240" w:after="0" w:line="259" w:lineRule="auto"/>
      <w:outlineLvl w:val="9"/>
    </w:pPr>
    <w:rPr>
      <w:rFonts w:ascii="Aptos Display" w:hAnsi="Aptos Display"/>
      <w:b w:val="0"/>
      <w:color w:val="0F4761"/>
      <w:kern w:val="0"/>
      <w:sz w:val="32"/>
      <w:szCs w:val="32"/>
      <w:lang w:val="en-US"/>
      <w14:ligatures w14:val="none"/>
    </w:rPr>
  </w:style>
  <w:style w:type="paragraph" w:styleId="TOC1">
    <w:name w:val="toc 1"/>
    <w:basedOn w:val="Normal"/>
    <w:next w:val="Normal"/>
    <w:uiPriority w:val="39"/>
    <w:pPr>
      <w:tabs>
        <w:tab w:val="right" w:pos="9170"/>
      </w:tabs>
      <w:spacing w:after="100"/>
    </w:pPr>
    <w:rPr>
      <w:rFonts w:cs="Times New Roman"/>
      <w:b/>
      <w:noProof/>
      <w:kern w:val="0"/>
      <w14:ligatures w14:val="none"/>
    </w:rPr>
  </w:style>
  <w:style w:type="paragraph" w:styleId="TOC2">
    <w:name w:val="toc 2"/>
    <w:basedOn w:val="Normal"/>
    <w:next w:val="Normal"/>
    <w:uiPriority w:val="39"/>
    <w:rsid w:val="007462A6"/>
    <w:pPr>
      <w:tabs>
        <w:tab w:val="left" w:pos="9072"/>
      </w:tabs>
      <w:spacing w:after="100"/>
    </w:pPr>
    <w:rPr>
      <w:rFonts w:cs="Times New Roman"/>
      <w:noProof/>
      <w:kern w:val="0"/>
      <w:lang w:val="en-US"/>
      <w14:ligatures w14:val="none"/>
    </w:rPr>
  </w:style>
  <w:style w:type="paragraph" w:styleId="TOC3">
    <w:name w:val="toc 3"/>
    <w:basedOn w:val="Normal"/>
    <w:next w:val="Normal"/>
    <w:uiPriority w:val="39"/>
    <w:rsid w:val="007462A6"/>
    <w:pPr>
      <w:tabs>
        <w:tab w:val="left" w:pos="9170"/>
      </w:tabs>
      <w:spacing w:after="0"/>
    </w:pPr>
    <w:rPr>
      <w:rFonts w:cs="Times New Roman"/>
      <w:noProof/>
      <w:kern w:val="0"/>
      <w:szCs w:val="24"/>
      <w:lang w:val="en-US"/>
      <w14:ligatures w14:val="none"/>
    </w:rPr>
  </w:style>
  <w:style w:type="paragraph" w:styleId="TOC4">
    <w:name w:val="toc 4"/>
    <w:basedOn w:val="Normal"/>
    <w:next w:val="Normal"/>
    <w:uiPriority w:val="39"/>
    <w:pPr>
      <w:spacing w:after="100"/>
      <w:ind w:left="72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Garamond" w:hAnsi="Garamond"/>
      <w:sz w:val="20"/>
      <w:szCs w:val="20"/>
      <w:lang w:val="en-GB"/>
    </w:rPr>
  </w:style>
  <w:style w:type="character" w:styleId="CommentReference">
    <w:name w:val="annotation reference"/>
    <w:basedOn w:val="DefaultParagraphFont"/>
    <w:uiPriority w:val="99"/>
    <w:semiHidden/>
    <w:unhideWhenUsed/>
    <w:rPr>
      <w:sz w:val="16"/>
      <w:szCs w:val="16"/>
    </w:rPr>
  </w:style>
  <w:style w:type="character" w:customStyle="1" w:styleId="issue-underline">
    <w:name w:val="issue-underline"/>
    <w:basedOn w:val="DefaultParagraphFont"/>
    <w:rsid w:val="00337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4786">
      <w:bodyDiv w:val="1"/>
      <w:marLeft w:val="0"/>
      <w:marRight w:val="0"/>
      <w:marTop w:val="0"/>
      <w:marBottom w:val="0"/>
      <w:divBdr>
        <w:top w:val="none" w:sz="0" w:space="0" w:color="auto"/>
        <w:left w:val="none" w:sz="0" w:space="0" w:color="auto"/>
        <w:bottom w:val="none" w:sz="0" w:space="0" w:color="auto"/>
        <w:right w:val="none" w:sz="0" w:space="0" w:color="auto"/>
      </w:divBdr>
    </w:div>
    <w:div w:id="25832894">
      <w:bodyDiv w:val="1"/>
      <w:marLeft w:val="0"/>
      <w:marRight w:val="0"/>
      <w:marTop w:val="0"/>
      <w:marBottom w:val="0"/>
      <w:divBdr>
        <w:top w:val="none" w:sz="0" w:space="0" w:color="auto"/>
        <w:left w:val="none" w:sz="0" w:space="0" w:color="auto"/>
        <w:bottom w:val="none" w:sz="0" w:space="0" w:color="auto"/>
        <w:right w:val="none" w:sz="0" w:space="0" w:color="auto"/>
      </w:divBdr>
    </w:div>
    <w:div w:id="31000523">
      <w:bodyDiv w:val="1"/>
      <w:marLeft w:val="0"/>
      <w:marRight w:val="0"/>
      <w:marTop w:val="0"/>
      <w:marBottom w:val="0"/>
      <w:divBdr>
        <w:top w:val="none" w:sz="0" w:space="0" w:color="auto"/>
        <w:left w:val="none" w:sz="0" w:space="0" w:color="auto"/>
        <w:bottom w:val="none" w:sz="0" w:space="0" w:color="auto"/>
        <w:right w:val="none" w:sz="0" w:space="0" w:color="auto"/>
      </w:divBdr>
    </w:div>
    <w:div w:id="61951376">
      <w:bodyDiv w:val="1"/>
      <w:marLeft w:val="0"/>
      <w:marRight w:val="0"/>
      <w:marTop w:val="0"/>
      <w:marBottom w:val="0"/>
      <w:divBdr>
        <w:top w:val="none" w:sz="0" w:space="0" w:color="auto"/>
        <w:left w:val="none" w:sz="0" w:space="0" w:color="auto"/>
        <w:bottom w:val="none" w:sz="0" w:space="0" w:color="auto"/>
        <w:right w:val="none" w:sz="0" w:space="0" w:color="auto"/>
      </w:divBdr>
    </w:div>
    <w:div w:id="70126532">
      <w:bodyDiv w:val="1"/>
      <w:marLeft w:val="0"/>
      <w:marRight w:val="0"/>
      <w:marTop w:val="0"/>
      <w:marBottom w:val="0"/>
      <w:divBdr>
        <w:top w:val="none" w:sz="0" w:space="0" w:color="auto"/>
        <w:left w:val="none" w:sz="0" w:space="0" w:color="auto"/>
        <w:bottom w:val="none" w:sz="0" w:space="0" w:color="auto"/>
        <w:right w:val="none" w:sz="0" w:space="0" w:color="auto"/>
      </w:divBdr>
    </w:div>
    <w:div w:id="103772895">
      <w:bodyDiv w:val="1"/>
      <w:marLeft w:val="0"/>
      <w:marRight w:val="0"/>
      <w:marTop w:val="0"/>
      <w:marBottom w:val="0"/>
      <w:divBdr>
        <w:top w:val="none" w:sz="0" w:space="0" w:color="auto"/>
        <w:left w:val="none" w:sz="0" w:space="0" w:color="auto"/>
        <w:bottom w:val="none" w:sz="0" w:space="0" w:color="auto"/>
        <w:right w:val="none" w:sz="0" w:space="0" w:color="auto"/>
      </w:divBdr>
    </w:div>
    <w:div w:id="144401890">
      <w:bodyDiv w:val="1"/>
      <w:marLeft w:val="0"/>
      <w:marRight w:val="0"/>
      <w:marTop w:val="0"/>
      <w:marBottom w:val="0"/>
      <w:divBdr>
        <w:top w:val="none" w:sz="0" w:space="0" w:color="auto"/>
        <w:left w:val="none" w:sz="0" w:space="0" w:color="auto"/>
        <w:bottom w:val="none" w:sz="0" w:space="0" w:color="auto"/>
        <w:right w:val="none" w:sz="0" w:space="0" w:color="auto"/>
      </w:divBdr>
    </w:div>
    <w:div w:id="147675809">
      <w:bodyDiv w:val="1"/>
      <w:marLeft w:val="0"/>
      <w:marRight w:val="0"/>
      <w:marTop w:val="0"/>
      <w:marBottom w:val="0"/>
      <w:divBdr>
        <w:top w:val="none" w:sz="0" w:space="0" w:color="auto"/>
        <w:left w:val="none" w:sz="0" w:space="0" w:color="auto"/>
        <w:bottom w:val="none" w:sz="0" w:space="0" w:color="auto"/>
        <w:right w:val="none" w:sz="0" w:space="0" w:color="auto"/>
      </w:divBdr>
    </w:div>
    <w:div w:id="153692837">
      <w:bodyDiv w:val="1"/>
      <w:marLeft w:val="0"/>
      <w:marRight w:val="0"/>
      <w:marTop w:val="0"/>
      <w:marBottom w:val="0"/>
      <w:divBdr>
        <w:top w:val="none" w:sz="0" w:space="0" w:color="auto"/>
        <w:left w:val="none" w:sz="0" w:space="0" w:color="auto"/>
        <w:bottom w:val="none" w:sz="0" w:space="0" w:color="auto"/>
        <w:right w:val="none" w:sz="0" w:space="0" w:color="auto"/>
      </w:divBdr>
    </w:div>
    <w:div w:id="166988744">
      <w:bodyDiv w:val="1"/>
      <w:marLeft w:val="0"/>
      <w:marRight w:val="0"/>
      <w:marTop w:val="0"/>
      <w:marBottom w:val="0"/>
      <w:divBdr>
        <w:top w:val="none" w:sz="0" w:space="0" w:color="auto"/>
        <w:left w:val="none" w:sz="0" w:space="0" w:color="auto"/>
        <w:bottom w:val="none" w:sz="0" w:space="0" w:color="auto"/>
        <w:right w:val="none" w:sz="0" w:space="0" w:color="auto"/>
      </w:divBdr>
    </w:div>
    <w:div w:id="169295513">
      <w:bodyDiv w:val="1"/>
      <w:marLeft w:val="0"/>
      <w:marRight w:val="0"/>
      <w:marTop w:val="0"/>
      <w:marBottom w:val="0"/>
      <w:divBdr>
        <w:top w:val="none" w:sz="0" w:space="0" w:color="auto"/>
        <w:left w:val="none" w:sz="0" w:space="0" w:color="auto"/>
        <w:bottom w:val="none" w:sz="0" w:space="0" w:color="auto"/>
        <w:right w:val="none" w:sz="0" w:space="0" w:color="auto"/>
      </w:divBdr>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202131694">
      <w:bodyDiv w:val="1"/>
      <w:marLeft w:val="0"/>
      <w:marRight w:val="0"/>
      <w:marTop w:val="0"/>
      <w:marBottom w:val="0"/>
      <w:divBdr>
        <w:top w:val="none" w:sz="0" w:space="0" w:color="auto"/>
        <w:left w:val="none" w:sz="0" w:space="0" w:color="auto"/>
        <w:bottom w:val="none" w:sz="0" w:space="0" w:color="auto"/>
        <w:right w:val="none" w:sz="0" w:space="0" w:color="auto"/>
      </w:divBdr>
    </w:div>
    <w:div w:id="339358384">
      <w:bodyDiv w:val="1"/>
      <w:marLeft w:val="0"/>
      <w:marRight w:val="0"/>
      <w:marTop w:val="0"/>
      <w:marBottom w:val="0"/>
      <w:divBdr>
        <w:top w:val="none" w:sz="0" w:space="0" w:color="auto"/>
        <w:left w:val="none" w:sz="0" w:space="0" w:color="auto"/>
        <w:bottom w:val="none" w:sz="0" w:space="0" w:color="auto"/>
        <w:right w:val="none" w:sz="0" w:space="0" w:color="auto"/>
      </w:divBdr>
    </w:div>
    <w:div w:id="474638299">
      <w:bodyDiv w:val="1"/>
      <w:marLeft w:val="0"/>
      <w:marRight w:val="0"/>
      <w:marTop w:val="0"/>
      <w:marBottom w:val="0"/>
      <w:divBdr>
        <w:top w:val="none" w:sz="0" w:space="0" w:color="auto"/>
        <w:left w:val="none" w:sz="0" w:space="0" w:color="auto"/>
        <w:bottom w:val="none" w:sz="0" w:space="0" w:color="auto"/>
        <w:right w:val="none" w:sz="0" w:space="0" w:color="auto"/>
      </w:divBdr>
    </w:div>
    <w:div w:id="502548614">
      <w:bodyDiv w:val="1"/>
      <w:marLeft w:val="0"/>
      <w:marRight w:val="0"/>
      <w:marTop w:val="0"/>
      <w:marBottom w:val="0"/>
      <w:divBdr>
        <w:top w:val="none" w:sz="0" w:space="0" w:color="auto"/>
        <w:left w:val="none" w:sz="0" w:space="0" w:color="auto"/>
        <w:bottom w:val="none" w:sz="0" w:space="0" w:color="auto"/>
        <w:right w:val="none" w:sz="0" w:space="0" w:color="auto"/>
      </w:divBdr>
    </w:div>
    <w:div w:id="512115245">
      <w:bodyDiv w:val="1"/>
      <w:marLeft w:val="0"/>
      <w:marRight w:val="0"/>
      <w:marTop w:val="0"/>
      <w:marBottom w:val="0"/>
      <w:divBdr>
        <w:top w:val="none" w:sz="0" w:space="0" w:color="auto"/>
        <w:left w:val="none" w:sz="0" w:space="0" w:color="auto"/>
        <w:bottom w:val="none" w:sz="0" w:space="0" w:color="auto"/>
        <w:right w:val="none" w:sz="0" w:space="0" w:color="auto"/>
      </w:divBdr>
    </w:div>
    <w:div w:id="520558127">
      <w:bodyDiv w:val="1"/>
      <w:marLeft w:val="0"/>
      <w:marRight w:val="0"/>
      <w:marTop w:val="0"/>
      <w:marBottom w:val="0"/>
      <w:divBdr>
        <w:top w:val="none" w:sz="0" w:space="0" w:color="auto"/>
        <w:left w:val="none" w:sz="0" w:space="0" w:color="auto"/>
        <w:bottom w:val="none" w:sz="0" w:space="0" w:color="auto"/>
        <w:right w:val="none" w:sz="0" w:space="0" w:color="auto"/>
      </w:divBdr>
    </w:div>
    <w:div w:id="626739526">
      <w:bodyDiv w:val="1"/>
      <w:marLeft w:val="0"/>
      <w:marRight w:val="0"/>
      <w:marTop w:val="0"/>
      <w:marBottom w:val="0"/>
      <w:divBdr>
        <w:top w:val="none" w:sz="0" w:space="0" w:color="auto"/>
        <w:left w:val="none" w:sz="0" w:space="0" w:color="auto"/>
        <w:bottom w:val="none" w:sz="0" w:space="0" w:color="auto"/>
        <w:right w:val="none" w:sz="0" w:space="0" w:color="auto"/>
      </w:divBdr>
    </w:div>
    <w:div w:id="650868972">
      <w:bodyDiv w:val="1"/>
      <w:marLeft w:val="0"/>
      <w:marRight w:val="0"/>
      <w:marTop w:val="0"/>
      <w:marBottom w:val="0"/>
      <w:divBdr>
        <w:top w:val="none" w:sz="0" w:space="0" w:color="auto"/>
        <w:left w:val="none" w:sz="0" w:space="0" w:color="auto"/>
        <w:bottom w:val="none" w:sz="0" w:space="0" w:color="auto"/>
        <w:right w:val="none" w:sz="0" w:space="0" w:color="auto"/>
      </w:divBdr>
    </w:div>
    <w:div w:id="722022430">
      <w:bodyDiv w:val="1"/>
      <w:marLeft w:val="0"/>
      <w:marRight w:val="0"/>
      <w:marTop w:val="0"/>
      <w:marBottom w:val="0"/>
      <w:divBdr>
        <w:top w:val="none" w:sz="0" w:space="0" w:color="auto"/>
        <w:left w:val="none" w:sz="0" w:space="0" w:color="auto"/>
        <w:bottom w:val="none" w:sz="0" w:space="0" w:color="auto"/>
        <w:right w:val="none" w:sz="0" w:space="0" w:color="auto"/>
      </w:divBdr>
    </w:div>
    <w:div w:id="736630668">
      <w:bodyDiv w:val="1"/>
      <w:marLeft w:val="0"/>
      <w:marRight w:val="0"/>
      <w:marTop w:val="0"/>
      <w:marBottom w:val="0"/>
      <w:divBdr>
        <w:top w:val="none" w:sz="0" w:space="0" w:color="auto"/>
        <w:left w:val="none" w:sz="0" w:space="0" w:color="auto"/>
        <w:bottom w:val="none" w:sz="0" w:space="0" w:color="auto"/>
        <w:right w:val="none" w:sz="0" w:space="0" w:color="auto"/>
      </w:divBdr>
    </w:div>
    <w:div w:id="833181525">
      <w:bodyDiv w:val="1"/>
      <w:marLeft w:val="0"/>
      <w:marRight w:val="0"/>
      <w:marTop w:val="0"/>
      <w:marBottom w:val="0"/>
      <w:divBdr>
        <w:top w:val="none" w:sz="0" w:space="0" w:color="auto"/>
        <w:left w:val="none" w:sz="0" w:space="0" w:color="auto"/>
        <w:bottom w:val="none" w:sz="0" w:space="0" w:color="auto"/>
        <w:right w:val="none" w:sz="0" w:space="0" w:color="auto"/>
      </w:divBdr>
    </w:div>
    <w:div w:id="897865811">
      <w:bodyDiv w:val="1"/>
      <w:marLeft w:val="0"/>
      <w:marRight w:val="0"/>
      <w:marTop w:val="0"/>
      <w:marBottom w:val="0"/>
      <w:divBdr>
        <w:top w:val="none" w:sz="0" w:space="0" w:color="auto"/>
        <w:left w:val="none" w:sz="0" w:space="0" w:color="auto"/>
        <w:bottom w:val="none" w:sz="0" w:space="0" w:color="auto"/>
        <w:right w:val="none" w:sz="0" w:space="0" w:color="auto"/>
      </w:divBdr>
    </w:div>
    <w:div w:id="904101598">
      <w:bodyDiv w:val="1"/>
      <w:marLeft w:val="0"/>
      <w:marRight w:val="0"/>
      <w:marTop w:val="0"/>
      <w:marBottom w:val="0"/>
      <w:divBdr>
        <w:top w:val="none" w:sz="0" w:space="0" w:color="auto"/>
        <w:left w:val="none" w:sz="0" w:space="0" w:color="auto"/>
        <w:bottom w:val="none" w:sz="0" w:space="0" w:color="auto"/>
        <w:right w:val="none" w:sz="0" w:space="0" w:color="auto"/>
      </w:divBdr>
    </w:div>
    <w:div w:id="943462899">
      <w:bodyDiv w:val="1"/>
      <w:marLeft w:val="0"/>
      <w:marRight w:val="0"/>
      <w:marTop w:val="0"/>
      <w:marBottom w:val="0"/>
      <w:divBdr>
        <w:top w:val="none" w:sz="0" w:space="0" w:color="auto"/>
        <w:left w:val="none" w:sz="0" w:space="0" w:color="auto"/>
        <w:bottom w:val="none" w:sz="0" w:space="0" w:color="auto"/>
        <w:right w:val="none" w:sz="0" w:space="0" w:color="auto"/>
      </w:divBdr>
    </w:div>
    <w:div w:id="1015616642">
      <w:bodyDiv w:val="1"/>
      <w:marLeft w:val="0"/>
      <w:marRight w:val="0"/>
      <w:marTop w:val="0"/>
      <w:marBottom w:val="0"/>
      <w:divBdr>
        <w:top w:val="none" w:sz="0" w:space="0" w:color="auto"/>
        <w:left w:val="none" w:sz="0" w:space="0" w:color="auto"/>
        <w:bottom w:val="none" w:sz="0" w:space="0" w:color="auto"/>
        <w:right w:val="none" w:sz="0" w:space="0" w:color="auto"/>
      </w:divBdr>
    </w:div>
    <w:div w:id="1019889009">
      <w:bodyDiv w:val="1"/>
      <w:marLeft w:val="0"/>
      <w:marRight w:val="0"/>
      <w:marTop w:val="0"/>
      <w:marBottom w:val="0"/>
      <w:divBdr>
        <w:top w:val="none" w:sz="0" w:space="0" w:color="auto"/>
        <w:left w:val="none" w:sz="0" w:space="0" w:color="auto"/>
        <w:bottom w:val="none" w:sz="0" w:space="0" w:color="auto"/>
        <w:right w:val="none" w:sz="0" w:space="0" w:color="auto"/>
      </w:divBdr>
    </w:div>
    <w:div w:id="1045102895">
      <w:bodyDiv w:val="1"/>
      <w:marLeft w:val="0"/>
      <w:marRight w:val="0"/>
      <w:marTop w:val="0"/>
      <w:marBottom w:val="0"/>
      <w:divBdr>
        <w:top w:val="none" w:sz="0" w:space="0" w:color="auto"/>
        <w:left w:val="none" w:sz="0" w:space="0" w:color="auto"/>
        <w:bottom w:val="none" w:sz="0" w:space="0" w:color="auto"/>
        <w:right w:val="none" w:sz="0" w:space="0" w:color="auto"/>
      </w:divBdr>
    </w:div>
    <w:div w:id="1115640634">
      <w:bodyDiv w:val="1"/>
      <w:marLeft w:val="0"/>
      <w:marRight w:val="0"/>
      <w:marTop w:val="0"/>
      <w:marBottom w:val="0"/>
      <w:divBdr>
        <w:top w:val="none" w:sz="0" w:space="0" w:color="auto"/>
        <w:left w:val="none" w:sz="0" w:space="0" w:color="auto"/>
        <w:bottom w:val="none" w:sz="0" w:space="0" w:color="auto"/>
        <w:right w:val="none" w:sz="0" w:space="0" w:color="auto"/>
      </w:divBdr>
    </w:div>
    <w:div w:id="1154836853">
      <w:bodyDiv w:val="1"/>
      <w:marLeft w:val="0"/>
      <w:marRight w:val="0"/>
      <w:marTop w:val="0"/>
      <w:marBottom w:val="0"/>
      <w:divBdr>
        <w:top w:val="none" w:sz="0" w:space="0" w:color="auto"/>
        <w:left w:val="none" w:sz="0" w:space="0" w:color="auto"/>
        <w:bottom w:val="none" w:sz="0" w:space="0" w:color="auto"/>
        <w:right w:val="none" w:sz="0" w:space="0" w:color="auto"/>
      </w:divBdr>
    </w:div>
    <w:div w:id="1156873874">
      <w:bodyDiv w:val="1"/>
      <w:marLeft w:val="0"/>
      <w:marRight w:val="0"/>
      <w:marTop w:val="0"/>
      <w:marBottom w:val="0"/>
      <w:divBdr>
        <w:top w:val="none" w:sz="0" w:space="0" w:color="auto"/>
        <w:left w:val="none" w:sz="0" w:space="0" w:color="auto"/>
        <w:bottom w:val="none" w:sz="0" w:space="0" w:color="auto"/>
        <w:right w:val="none" w:sz="0" w:space="0" w:color="auto"/>
      </w:divBdr>
    </w:div>
    <w:div w:id="1181895625">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
    <w:div w:id="1348411993">
      <w:bodyDiv w:val="1"/>
      <w:marLeft w:val="0"/>
      <w:marRight w:val="0"/>
      <w:marTop w:val="0"/>
      <w:marBottom w:val="0"/>
      <w:divBdr>
        <w:top w:val="none" w:sz="0" w:space="0" w:color="auto"/>
        <w:left w:val="none" w:sz="0" w:space="0" w:color="auto"/>
        <w:bottom w:val="none" w:sz="0" w:space="0" w:color="auto"/>
        <w:right w:val="none" w:sz="0" w:space="0" w:color="auto"/>
      </w:divBdr>
    </w:div>
    <w:div w:id="1372072130">
      <w:bodyDiv w:val="1"/>
      <w:marLeft w:val="0"/>
      <w:marRight w:val="0"/>
      <w:marTop w:val="0"/>
      <w:marBottom w:val="0"/>
      <w:divBdr>
        <w:top w:val="none" w:sz="0" w:space="0" w:color="auto"/>
        <w:left w:val="none" w:sz="0" w:space="0" w:color="auto"/>
        <w:bottom w:val="none" w:sz="0" w:space="0" w:color="auto"/>
        <w:right w:val="none" w:sz="0" w:space="0" w:color="auto"/>
      </w:divBdr>
    </w:div>
    <w:div w:id="1487555023">
      <w:bodyDiv w:val="1"/>
      <w:marLeft w:val="0"/>
      <w:marRight w:val="0"/>
      <w:marTop w:val="0"/>
      <w:marBottom w:val="0"/>
      <w:divBdr>
        <w:top w:val="none" w:sz="0" w:space="0" w:color="auto"/>
        <w:left w:val="none" w:sz="0" w:space="0" w:color="auto"/>
        <w:bottom w:val="none" w:sz="0" w:space="0" w:color="auto"/>
        <w:right w:val="none" w:sz="0" w:space="0" w:color="auto"/>
      </w:divBdr>
    </w:div>
    <w:div w:id="1499881296">
      <w:bodyDiv w:val="1"/>
      <w:marLeft w:val="0"/>
      <w:marRight w:val="0"/>
      <w:marTop w:val="0"/>
      <w:marBottom w:val="0"/>
      <w:divBdr>
        <w:top w:val="none" w:sz="0" w:space="0" w:color="auto"/>
        <w:left w:val="none" w:sz="0" w:space="0" w:color="auto"/>
        <w:bottom w:val="none" w:sz="0" w:space="0" w:color="auto"/>
        <w:right w:val="none" w:sz="0" w:space="0" w:color="auto"/>
      </w:divBdr>
    </w:div>
    <w:div w:id="1525023024">
      <w:bodyDiv w:val="1"/>
      <w:marLeft w:val="0"/>
      <w:marRight w:val="0"/>
      <w:marTop w:val="0"/>
      <w:marBottom w:val="0"/>
      <w:divBdr>
        <w:top w:val="none" w:sz="0" w:space="0" w:color="auto"/>
        <w:left w:val="none" w:sz="0" w:space="0" w:color="auto"/>
        <w:bottom w:val="none" w:sz="0" w:space="0" w:color="auto"/>
        <w:right w:val="none" w:sz="0" w:space="0" w:color="auto"/>
      </w:divBdr>
    </w:div>
    <w:div w:id="1584028967">
      <w:bodyDiv w:val="1"/>
      <w:marLeft w:val="0"/>
      <w:marRight w:val="0"/>
      <w:marTop w:val="0"/>
      <w:marBottom w:val="0"/>
      <w:divBdr>
        <w:top w:val="none" w:sz="0" w:space="0" w:color="auto"/>
        <w:left w:val="none" w:sz="0" w:space="0" w:color="auto"/>
        <w:bottom w:val="none" w:sz="0" w:space="0" w:color="auto"/>
        <w:right w:val="none" w:sz="0" w:space="0" w:color="auto"/>
      </w:divBdr>
    </w:div>
    <w:div w:id="1632857209">
      <w:bodyDiv w:val="1"/>
      <w:marLeft w:val="0"/>
      <w:marRight w:val="0"/>
      <w:marTop w:val="0"/>
      <w:marBottom w:val="0"/>
      <w:divBdr>
        <w:top w:val="none" w:sz="0" w:space="0" w:color="auto"/>
        <w:left w:val="none" w:sz="0" w:space="0" w:color="auto"/>
        <w:bottom w:val="none" w:sz="0" w:space="0" w:color="auto"/>
        <w:right w:val="none" w:sz="0" w:space="0" w:color="auto"/>
      </w:divBdr>
    </w:div>
    <w:div w:id="1650672253">
      <w:bodyDiv w:val="1"/>
      <w:marLeft w:val="0"/>
      <w:marRight w:val="0"/>
      <w:marTop w:val="0"/>
      <w:marBottom w:val="0"/>
      <w:divBdr>
        <w:top w:val="none" w:sz="0" w:space="0" w:color="auto"/>
        <w:left w:val="none" w:sz="0" w:space="0" w:color="auto"/>
        <w:bottom w:val="none" w:sz="0" w:space="0" w:color="auto"/>
        <w:right w:val="none" w:sz="0" w:space="0" w:color="auto"/>
      </w:divBdr>
    </w:div>
    <w:div w:id="1667826469">
      <w:bodyDiv w:val="1"/>
      <w:marLeft w:val="0"/>
      <w:marRight w:val="0"/>
      <w:marTop w:val="0"/>
      <w:marBottom w:val="0"/>
      <w:divBdr>
        <w:top w:val="none" w:sz="0" w:space="0" w:color="auto"/>
        <w:left w:val="none" w:sz="0" w:space="0" w:color="auto"/>
        <w:bottom w:val="none" w:sz="0" w:space="0" w:color="auto"/>
        <w:right w:val="none" w:sz="0" w:space="0" w:color="auto"/>
      </w:divBdr>
    </w:div>
    <w:div w:id="1703433512">
      <w:bodyDiv w:val="1"/>
      <w:marLeft w:val="0"/>
      <w:marRight w:val="0"/>
      <w:marTop w:val="0"/>
      <w:marBottom w:val="0"/>
      <w:divBdr>
        <w:top w:val="none" w:sz="0" w:space="0" w:color="auto"/>
        <w:left w:val="none" w:sz="0" w:space="0" w:color="auto"/>
        <w:bottom w:val="none" w:sz="0" w:space="0" w:color="auto"/>
        <w:right w:val="none" w:sz="0" w:space="0" w:color="auto"/>
      </w:divBdr>
    </w:div>
    <w:div w:id="1746800255">
      <w:bodyDiv w:val="1"/>
      <w:marLeft w:val="0"/>
      <w:marRight w:val="0"/>
      <w:marTop w:val="0"/>
      <w:marBottom w:val="0"/>
      <w:divBdr>
        <w:top w:val="none" w:sz="0" w:space="0" w:color="auto"/>
        <w:left w:val="none" w:sz="0" w:space="0" w:color="auto"/>
        <w:bottom w:val="none" w:sz="0" w:space="0" w:color="auto"/>
        <w:right w:val="none" w:sz="0" w:space="0" w:color="auto"/>
      </w:divBdr>
    </w:div>
    <w:div w:id="1779565390">
      <w:bodyDiv w:val="1"/>
      <w:marLeft w:val="0"/>
      <w:marRight w:val="0"/>
      <w:marTop w:val="0"/>
      <w:marBottom w:val="0"/>
      <w:divBdr>
        <w:top w:val="none" w:sz="0" w:space="0" w:color="auto"/>
        <w:left w:val="none" w:sz="0" w:space="0" w:color="auto"/>
        <w:bottom w:val="none" w:sz="0" w:space="0" w:color="auto"/>
        <w:right w:val="none" w:sz="0" w:space="0" w:color="auto"/>
      </w:divBdr>
    </w:div>
    <w:div w:id="1783570169">
      <w:bodyDiv w:val="1"/>
      <w:marLeft w:val="0"/>
      <w:marRight w:val="0"/>
      <w:marTop w:val="0"/>
      <w:marBottom w:val="0"/>
      <w:divBdr>
        <w:top w:val="none" w:sz="0" w:space="0" w:color="auto"/>
        <w:left w:val="none" w:sz="0" w:space="0" w:color="auto"/>
        <w:bottom w:val="none" w:sz="0" w:space="0" w:color="auto"/>
        <w:right w:val="none" w:sz="0" w:space="0" w:color="auto"/>
      </w:divBdr>
    </w:div>
    <w:div w:id="1909724014">
      <w:bodyDiv w:val="1"/>
      <w:marLeft w:val="0"/>
      <w:marRight w:val="0"/>
      <w:marTop w:val="0"/>
      <w:marBottom w:val="0"/>
      <w:divBdr>
        <w:top w:val="none" w:sz="0" w:space="0" w:color="auto"/>
        <w:left w:val="none" w:sz="0" w:space="0" w:color="auto"/>
        <w:bottom w:val="none" w:sz="0" w:space="0" w:color="auto"/>
        <w:right w:val="none" w:sz="0" w:space="0" w:color="auto"/>
      </w:divBdr>
    </w:div>
    <w:div w:id="1933932352">
      <w:bodyDiv w:val="1"/>
      <w:marLeft w:val="0"/>
      <w:marRight w:val="0"/>
      <w:marTop w:val="0"/>
      <w:marBottom w:val="0"/>
      <w:divBdr>
        <w:top w:val="none" w:sz="0" w:space="0" w:color="auto"/>
        <w:left w:val="none" w:sz="0" w:space="0" w:color="auto"/>
        <w:bottom w:val="none" w:sz="0" w:space="0" w:color="auto"/>
        <w:right w:val="none" w:sz="0" w:space="0" w:color="auto"/>
      </w:divBdr>
    </w:div>
    <w:div w:id="1959482638">
      <w:bodyDiv w:val="1"/>
      <w:marLeft w:val="0"/>
      <w:marRight w:val="0"/>
      <w:marTop w:val="0"/>
      <w:marBottom w:val="0"/>
      <w:divBdr>
        <w:top w:val="none" w:sz="0" w:space="0" w:color="auto"/>
        <w:left w:val="none" w:sz="0" w:space="0" w:color="auto"/>
        <w:bottom w:val="none" w:sz="0" w:space="0" w:color="auto"/>
        <w:right w:val="none" w:sz="0" w:space="0" w:color="auto"/>
      </w:divBdr>
    </w:div>
    <w:div w:id="1975524484">
      <w:bodyDiv w:val="1"/>
      <w:marLeft w:val="0"/>
      <w:marRight w:val="0"/>
      <w:marTop w:val="0"/>
      <w:marBottom w:val="0"/>
      <w:divBdr>
        <w:top w:val="none" w:sz="0" w:space="0" w:color="auto"/>
        <w:left w:val="none" w:sz="0" w:space="0" w:color="auto"/>
        <w:bottom w:val="none" w:sz="0" w:space="0" w:color="auto"/>
        <w:right w:val="none" w:sz="0" w:space="0" w:color="auto"/>
      </w:divBdr>
    </w:div>
    <w:div w:id="1978877922">
      <w:bodyDiv w:val="1"/>
      <w:marLeft w:val="0"/>
      <w:marRight w:val="0"/>
      <w:marTop w:val="0"/>
      <w:marBottom w:val="0"/>
      <w:divBdr>
        <w:top w:val="none" w:sz="0" w:space="0" w:color="auto"/>
        <w:left w:val="none" w:sz="0" w:space="0" w:color="auto"/>
        <w:bottom w:val="none" w:sz="0" w:space="0" w:color="auto"/>
        <w:right w:val="none" w:sz="0" w:space="0" w:color="auto"/>
      </w:divBdr>
    </w:div>
    <w:div w:id="2109234843">
      <w:bodyDiv w:val="1"/>
      <w:marLeft w:val="0"/>
      <w:marRight w:val="0"/>
      <w:marTop w:val="0"/>
      <w:marBottom w:val="0"/>
      <w:divBdr>
        <w:top w:val="none" w:sz="0" w:space="0" w:color="auto"/>
        <w:left w:val="none" w:sz="0" w:space="0" w:color="auto"/>
        <w:bottom w:val="none" w:sz="0" w:space="0" w:color="auto"/>
        <w:right w:val="none" w:sz="0" w:space="0" w:color="auto"/>
      </w:divBdr>
    </w:div>
    <w:div w:id="2115243579">
      <w:bodyDiv w:val="1"/>
      <w:marLeft w:val="0"/>
      <w:marRight w:val="0"/>
      <w:marTop w:val="0"/>
      <w:marBottom w:val="0"/>
      <w:divBdr>
        <w:top w:val="none" w:sz="0" w:space="0" w:color="auto"/>
        <w:left w:val="none" w:sz="0" w:space="0" w:color="auto"/>
        <w:bottom w:val="none" w:sz="0" w:space="0" w:color="auto"/>
        <w:right w:val="none" w:sz="0" w:space="0" w:color="auto"/>
      </w:divBdr>
    </w:div>
    <w:div w:id="2117627900">
      <w:bodyDiv w:val="1"/>
      <w:marLeft w:val="0"/>
      <w:marRight w:val="0"/>
      <w:marTop w:val="0"/>
      <w:marBottom w:val="0"/>
      <w:divBdr>
        <w:top w:val="none" w:sz="0" w:space="0" w:color="auto"/>
        <w:left w:val="none" w:sz="0" w:space="0" w:color="auto"/>
        <w:bottom w:val="none" w:sz="0" w:space="0" w:color="auto"/>
        <w:right w:val="none" w:sz="0" w:space="0" w:color="auto"/>
      </w:divBdr>
    </w:div>
    <w:div w:id="2130081827">
      <w:bodyDiv w:val="1"/>
      <w:marLeft w:val="0"/>
      <w:marRight w:val="0"/>
      <w:marTop w:val="0"/>
      <w:marBottom w:val="0"/>
      <w:divBdr>
        <w:top w:val="none" w:sz="0" w:space="0" w:color="auto"/>
        <w:left w:val="none" w:sz="0" w:space="0" w:color="auto"/>
        <w:bottom w:val="none" w:sz="0" w:space="0" w:color="auto"/>
        <w:right w:val="none" w:sz="0" w:space="0" w:color="auto"/>
      </w:divBdr>
    </w:div>
    <w:div w:id="214573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ettings" Target="settings.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endnotes" Target="endnot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tyles" Target="styles.xml"/><Relationship Id="rId25" Type="http://schemas.openxmlformats.org/officeDocument/2006/relationships/hyperlink" Target="https://doi.org/10.24940/theijbm/2021/v9/i1/bm2101-050" TargetMode="External"/><Relationship Id="rId2" Type="http://schemas.openxmlformats.org/officeDocument/2006/relationships/customXml" Target="../customXml/item2.xml"/><Relationship Id="rId16" Type="http://schemas.openxmlformats.org/officeDocument/2006/relationships/numbering" Target="numbering.xml"/><Relationship Id="rId20" Type="http://schemas.openxmlformats.org/officeDocument/2006/relationships/footnotes" Target="footnote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yperlink" Target="https://doi.org/10.25069/spmj.290425"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yperlink" Target="https://doi.org/10.32479/IRMM.8161" TargetMode="External"/><Relationship Id="rId28"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image" Target="media/image1.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40001E69-5FA4-4F52-A197-03C51E24022E}">
  <ds:schemaRefs>
    <ds:schemaRef ds:uri="http://schemas.openxmlformats.org/officeDocument/2006/bibliography"/>
  </ds:schemaRefs>
</ds:datastoreItem>
</file>

<file path=customXml/itemProps10.xml><?xml version="1.0" encoding="utf-8"?>
<ds:datastoreItem xmlns:ds="http://schemas.openxmlformats.org/officeDocument/2006/customXml" ds:itemID="{D654CE0F-7777-4402-A559-862779E715DE}">
  <ds:schemaRefs>
    <ds:schemaRef ds:uri="http://www.wps.cn/android/officeDocument/2013/mofficeCustomData"/>
  </ds:schemaRefs>
</ds:datastoreItem>
</file>

<file path=customXml/itemProps11.xml><?xml version="1.0" encoding="utf-8"?>
<ds:datastoreItem xmlns:ds="http://schemas.openxmlformats.org/officeDocument/2006/customXml" ds:itemID="{B95E5308-58B6-4C2D-A1B9-B9FCE1460647}">
  <ds:schemaRefs>
    <ds:schemaRef ds:uri="http://www.wps.cn/android/officeDocument/2013/mofficeCustomData"/>
  </ds:schemaRefs>
</ds:datastoreItem>
</file>

<file path=customXml/itemProps12.xml><?xml version="1.0" encoding="utf-8"?>
<ds:datastoreItem xmlns:ds="http://schemas.openxmlformats.org/officeDocument/2006/customXml" ds:itemID="{17C4E192-2942-4163-B29D-18D69C420F7F}">
  <ds:schemaRefs>
    <ds:schemaRef ds:uri="http://www.wps.cn/android/officeDocument/2013/mofficeCustomData"/>
  </ds:schemaRefs>
</ds:datastoreItem>
</file>

<file path=customXml/itemProps13.xml><?xml version="1.0" encoding="utf-8"?>
<ds:datastoreItem xmlns:ds="http://schemas.openxmlformats.org/officeDocument/2006/customXml" ds:itemID="{5882581E-DDA5-4C8E-A810-158AA3B75628}">
  <ds:schemaRefs>
    <ds:schemaRef ds:uri="http://www.wps.cn/android/officeDocument/2013/mofficeCustomData"/>
  </ds:schemaRefs>
</ds:datastoreItem>
</file>

<file path=customXml/itemProps14.xml><?xml version="1.0" encoding="utf-8"?>
<ds:datastoreItem xmlns:ds="http://schemas.openxmlformats.org/officeDocument/2006/customXml" ds:itemID="{C9B885E8-007B-4068-A588-9171E879AFDC}">
  <ds:schemaRefs>
    <ds:schemaRef ds:uri="http://www.wps.cn/android/officeDocument/2013/mofficeCustomData"/>
  </ds:schemaRefs>
</ds:datastoreItem>
</file>

<file path=customXml/itemProps15.xml><?xml version="1.0" encoding="utf-8"?>
<ds:datastoreItem xmlns:ds="http://schemas.openxmlformats.org/officeDocument/2006/customXml" ds:itemID="{F8AEC0D6-80C7-4FC2-9CFF-273BA322DC29}">
  <ds:schemaRefs>
    <ds:schemaRef ds:uri="http://www.wps.cn/android/officeDocument/2013/mofficeCustomData"/>
  </ds:schemaRefs>
</ds:datastoreItem>
</file>

<file path=customXml/itemProps2.xml><?xml version="1.0" encoding="utf-8"?>
<ds:datastoreItem xmlns:ds="http://schemas.openxmlformats.org/officeDocument/2006/customXml" ds:itemID="{2F97A42F-FF3C-401B-9D47-046C6DA157CB}">
  <ds:schemaRefs>
    <ds:schemaRef ds:uri="http://www.wps.cn/android/officeDocument/2013/mofficeCustomData"/>
  </ds:schemaRefs>
</ds:datastoreItem>
</file>

<file path=customXml/itemProps3.xml><?xml version="1.0" encoding="utf-8"?>
<ds:datastoreItem xmlns:ds="http://schemas.openxmlformats.org/officeDocument/2006/customXml" ds:itemID="{E0AF3C4C-8B1E-4751-A42A-A8EC501BE4DB}">
  <ds:schemaRefs>
    <ds:schemaRef ds:uri="http://www.wps.cn/android/officeDocument/2013/mofficeCustomData"/>
  </ds:schemaRefs>
</ds:datastoreItem>
</file>

<file path=customXml/itemProps4.xml><?xml version="1.0" encoding="utf-8"?>
<ds:datastoreItem xmlns:ds="http://schemas.openxmlformats.org/officeDocument/2006/customXml" ds:itemID="{86CD73DA-FDC3-4568-87FB-3DE89E8E92CB}">
  <ds:schemaRefs>
    <ds:schemaRef ds:uri="http://www.wps.cn/android/officeDocument/2013/mofficeCustomData"/>
  </ds:schemaRefs>
</ds:datastoreItem>
</file>

<file path=customXml/itemProps5.xml><?xml version="1.0" encoding="utf-8"?>
<ds:datastoreItem xmlns:ds="http://schemas.openxmlformats.org/officeDocument/2006/customXml" ds:itemID="{9E59D3F6-CC43-4740-90B2-9B4FB1A2FD53}">
  <ds:schemaRefs>
    <ds:schemaRef ds:uri="http://www.wps.cn/android/officeDocument/2013/mofficeCustomData"/>
  </ds:schemaRefs>
</ds:datastoreItem>
</file>

<file path=customXml/itemProps6.xml><?xml version="1.0" encoding="utf-8"?>
<ds:datastoreItem xmlns:ds="http://schemas.openxmlformats.org/officeDocument/2006/customXml" ds:itemID="{FA6A04E0-BC34-457C-948B-A1D6AB2F5678}">
  <ds:schemaRefs>
    <ds:schemaRef ds:uri="http://www.wps.cn/android/officeDocument/2013/mofficeCustomData"/>
  </ds:schemaRefs>
</ds:datastoreItem>
</file>

<file path=customXml/itemProps7.xml><?xml version="1.0" encoding="utf-8"?>
<ds:datastoreItem xmlns:ds="http://schemas.openxmlformats.org/officeDocument/2006/customXml" ds:itemID="{E53B6EE5-A7F8-4B00-B764-B21D2BE7010D}">
  <ds:schemaRefs>
    <ds:schemaRef ds:uri="http://www.wps.cn/android/officeDocument/2013/mofficeCustomData"/>
  </ds:schemaRefs>
</ds:datastoreItem>
</file>

<file path=customXml/itemProps8.xml><?xml version="1.0" encoding="utf-8"?>
<ds:datastoreItem xmlns:ds="http://schemas.openxmlformats.org/officeDocument/2006/customXml" ds:itemID="{35DCCDF5-4DA8-47CF-A165-D397229F0083}">
  <ds:schemaRefs>
    <ds:schemaRef ds:uri="http://www.wps.cn/android/officeDocument/2013/mofficeCustomData"/>
  </ds:schemaRefs>
</ds:datastoreItem>
</file>

<file path=customXml/itemProps9.xml><?xml version="1.0" encoding="utf-8"?>
<ds:datastoreItem xmlns:ds="http://schemas.openxmlformats.org/officeDocument/2006/customXml" ds:itemID="{60EBE373-1CE6-4F03-87EB-99ED0D4E78DB}">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3801</TotalTime>
  <Pages>28</Pages>
  <Words>7424</Words>
  <Characters>42322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Shittu-Gbeko</dc:creator>
  <cp:lastModifiedBy>Ilias Shittu-Gbeko</cp:lastModifiedBy>
  <cp:revision>93</cp:revision>
  <dcterms:created xsi:type="dcterms:W3CDTF">2024-02-11T10:51:00Z</dcterms:created>
  <dcterms:modified xsi:type="dcterms:W3CDTF">2024-02-18T13:03:00Z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b49edce324094249950f92a7370f18f7</vt:lpwstr>
  </property>
</Properties>
</file>