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0BB471" w14:textId="04118849" w:rsidR="005E0298" w:rsidRDefault="002F160C" w:rsidP="002F160C">
      <w:pPr>
        <w:spacing w:line="480" w:lineRule="auto"/>
        <w:jc w:val="center"/>
        <w:rPr>
          <w:rFonts w:ascii="Times New Roman" w:hAnsi="Times New Roman" w:cs="Times New Roman"/>
          <w:sz w:val="24"/>
          <w:szCs w:val="24"/>
        </w:rPr>
      </w:pPr>
      <w:r>
        <w:rPr>
          <w:rFonts w:ascii="Times New Roman" w:hAnsi="Times New Roman" w:cs="Times New Roman"/>
          <w:sz w:val="24"/>
          <w:szCs w:val="24"/>
        </w:rPr>
        <w:t>IKEA’s Entry into China: Cultural Considerations</w:t>
      </w:r>
    </w:p>
    <w:p w14:paraId="6CAAE0A5" w14:textId="353ED9FF" w:rsidR="00CA1B87" w:rsidRDefault="005E0298" w:rsidP="0026325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Culture is defined as the knowledge and characteristics of a specific group of individuals, encompassing arts, music, language, and religion. According to Hofstede, there are five cultural dimensions: collectivism vs individualism, power distance index, uncertainty avoidance index, short-term vs long-term orientation, and femininity versus masculinity. </w:t>
      </w:r>
      <w:r w:rsidR="0096484C">
        <w:rPr>
          <w:rFonts w:ascii="Times New Roman" w:hAnsi="Times New Roman" w:cs="Times New Roman"/>
          <w:sz w:val="24"/>
          <w:szCs w:val="24"/>
        </w:rPr>
        <w:t>The power distance index factors in the level to which power and inequality are tolerated. Power and inequality are viewed from the perspective of followers</w:t>
      </w:r>
      <w:r w:rsidR="00E73DD5" w:rsidRPr="00E73DD5">
        <w:rPr>
          <w:rFonts w:ascii="Times New Roman" w:hAnsi="Times New Roman" w:cs="Times New Roman"/>
          <w:sz w:val="24"/>
          <w:szCs w:val="24"/>
        </w:rPr>
        <w:t xml:space="preserve"> </w:t>
      </w:r>
      <w:r w:rsidR="00E73DD5">
        <w:rPr>
          <w:rFonts w:ascii="Times New Roman" w:hAnsi="Times New Roman" w:cs="Times New Roman"/>
          <w:sz w:val="24"/>
          <w:szCs w:val="24"/>
        </w:rPr>
        <w:t>(</w:t>
      </w:r>
      <w:r w:rsidR="00E73DD5" w:rsidRPr="003F0B42">
        <w:rPr>
          <w:rFonts w:ascii="Times New Roman" w:hAnsi="Times New Roman" w:cs="Times New Roman"/>
          <w:sz w:val="24"/>
          <w:szCs w:val="24"/>
        </w:rPr>
        <w:t xml:space="preserve">Soares, Farhangmehr, </w:t>
      </w:r>
      <w:r w:rsidR="00E73DD5">
        <w:rPr>
          <w:rFonts w:ascii="Times New Roman" w:hAnsi="Times New Roman" w:cs="Times New Roman"/>
          <w:sz w:val="24"/>
          <w:szCs w:val="24"/>
        </w:rPr>
        <w:t>&amp;</w:t>
      </w:r>
      <w:r w:rsidR="00E73DD5" w:rsidRPr="003F0B42">
        <w:rPr>
          <w:rFonts w:ascii="Times New Roman" w:hAnsi="Times New Roman" w:cs="Times New Roman"/>
          <w:sz w:val="24"/>
          <w:szCs w:val="24"/>
        </w:rPr>
        <w:t xml:space="preserve"> Shoham, 2007</w:t>
      </w:r>
      <w:r w:rsidR="00E73DD5">
        <w:rPr>
          <w:rFonts w:ascii="Times New Roman" w:hAnsi="Times New Roman" w:cs="Times New Roman"/>
          <w:sz w:val="24"/>
          <w:szCs w:val="24"/>
        </w:rPr>
        <w:t>)</w:t>
      </w:r>
      <w:r w:rsidR="0096484C">
        <w:rPr>
          <w:rFonts w:ascii="Times New Roman" w:hAnsi="Times New Roman" w:cs="Times New Roman"/>
          <w:sz w:val="24"/>
          <w:szCs w:val="24"/>
        </w:rPr>
        <w:t xml:space="preserve">. Ideally, high power distance index usually demonstrates the fact that a culture accepts power differences and inequity, enhances bureaucracy, and demonstrates a high level of respect for authority and rank. </w:t>
      </w:r>
      <w:r w:rsidR="008314D7">
        <w:rPr>
          <w:rFonts w:ascii="Times New Roman" w:hAnsi="Times New Roman" w:cs="Times New Roman"/>
          <w:sz w:val="24"/>
          <w:szCs w:val="24"/>
        </w:rPr>
        <w:t xml:space="preserve">On the other hand, low power distance often indicates that the scored culture prefers organisational structures which are flat and feature decentralized decision-making responsibility, </w:t>
      </w:r>
      <w:r w:rsidR="00897F95">
        <w:rPr>
          <w:rFonts w:ascii="Times New Roman" w:hAnsi="Times New Roman" w:cs="Times New Roman"/>
          <w:sz w:val="24"/>
          <w:szCs w:val="24"/>
        </w:rPr>
        <w:t>emphasizes</w:t>
      </w:r>
      <w:r w:rsidR="008314D7">
        <w:rPr>
          <w:rFonts w:ascii="Times New Roman" w:hAnsi="Times New Roman" w:cs="Times New Roman"/>
          <w:sz w:val="24"/>
          <w:szCs w:val="24"/>
        </w:rPr>
        <w:t xml:space="preserve"> on power distribution, and </w:t>
      </w:r>
      <w:r w:rsidR="00736A1C">
        <w:rPr>
          <w:rFonts w:ascii="Times New Roman" w:hAnsi="Times New Roman" w:cs="Times New Roman"/>
          <w:sz w:val="24"/>
          <w:szCs w:val="24"/>
        </w:rPr>
        <w:t>prefers</w:t>
      </w:r>
      <w:r w:rsidR="008314D7">
        <w:rPr>
          <w:rFonts w:ascii="Times New Roman" w:hAnsi="Times New Roman" w:cs="Times New Roman"/>
          <w:sz w:val="24"/>
          <w:szCs w:val="24"/>
        </w:rPr>
        <w:t xml:space="preserve"> the participative management style. </w:t>
      </w:r>
    </w:p>
    <w:p w14:paraId="4030DE57" w14:textId="44890AC1" w:rsidR="00274A8F" w:rsidRDefault="003468BA" w:rsidP="0026325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individualism versus collectivism dimension examines the level of integration of societies into groups as well as their dependence and obligations on groups. Collectivism demonstrates that priority is on the group objectives and wellbeing. Individualism demonstrates that more importance is placed on achieving personal objectives. </w:t>
      </w:r>
      <w:r w:rsidR="00263256">
        <w:rPr>
          <w:rFonts w:ascii="Times New Roman" w:hAnsi="Times New Roman" w:cs="Times New Roman"/>
          <w:sz w:val="24"/>
          <w:szCs w:val="24"/>
        </w:rPr>
        <w:t xml:space="preserve">On the other hand, the uncertainty avoidance index explores the level to which a society tolerates ambiguity and uncertainty. </w:t>
      </w:r>
      <w:r w:rsidR="00D732AC">
        <w:rPr>
          <w:rFonts w:ascii="Times New Roman" w:hAnsi="Times New Roman" w:cs="Times New Roman"/>
          <w:sz w:val="24"/>
          <w:szCs w:val="24"/>
        </w:rPr>
        <w:t xml:space="preserve">It factors in the way unexpected events and unknown situations are handled. </w:t>
      </w:r>
      <w:r w:rsidR="005E0298" w:rsidRPr="005E0298">
        <w:rPr>
          <w:rFonts w:ascii="Times New Roman" w:hAnsi="Times New Roman" w:cs="Times New Roman"/>
          <w:sz w:val="24"/>
          <w:szCs w:val="24"/>
        </w:rPr>
        <w:t> </w:t>
      </w:r>
      <w:r w:rsidR="008F47FA">
        <w:rPr>
          <w:rFonts w:ascii="Times New Roman" w:hAnsi="Times New Roman" w:cs="Times New Roman"/>
          <w:sz w:val="24"/>
          <w:szCs w:val="24"/>
        </w:rPr>
        <w:t>The unknown is reduced through strict regulations and rules. Conversely, a low uncertainty index demonstrates that the society’s members highly tolerate risk-taking, uncertainty, and ambiguity</w:t>
      </w:r>
      <w:r w:rsidR="001E7257">
        <w:rPr>
          <w:rFonts w:ascii="Times New Roman" w:hAnsi="Times New Roman" w:cs="Times New Roman"/>
          <w:sz w:val="24"/>
          <w:szCs w:val="24"/>
        </w:rPr>
        <w:t xml:space="preserve"> </w:t>
      </w:r>
      <w:r w:rsidR="001E7257" w:rsidRPr="001E7257">
        <w:rPr>
          <w:rFonts w:ascii="Times New Roman" w:hAnsi="Times New Roman" w:cs="Times New Roman"/>
          <w:sz w:val="24"/>
          <w:szCs w:val="24"/>
        </w:rPr>
        <w:t>(</w:t>
      </w:r>
      <w:r w:rsidR="001E7257" w:rsidRPr="008D0F2A">
        <w:rPr>
          <w:rFonts w:ascii="Times New Roman" w:hAnsi="Times New Roman" w:cs="Times New Roman"/>
          <w:sz w:val="24"/>
          <w:szCs w:val="24"/>
        </w:rPr>
        <w:t>Hofstede</w:t>
      </w:r>
      <w:r w:rsidR="001E7257" w:rsidRPr="001E7257">
        <w:rPr>
          <w:rFonts w:ascii="Times New Roman" w:hAnsi="Times New Roman" w:cs="Times New Roman"/>
          <w:sz w:val="24"/>
          <w:szCs w:val="24"/>
        </w:rPr>
        <w:t xml:space="preserve"> &amp; </w:t>
      </w:r>
      <w:r w:rsidR="001E7257" w:rsidRPr="008D0F2A">
        <w:rPr>
          <w:rFonts w:ascii="Times New Roman" w:hAnsi="Times New Roman" w:cs="Times New Roman"/>
          <w:sz w:val="24"/>
          <w:szCs w:val="24"/>
        </w:rPr>
        <w:t>Minkov, 2010</w:t>
      </w:r>
      <w:r w:rsidR="001E7257" w:rsidRPr="001E7257">
        <w:rPr>
          <w:rFonts w:ascii="Times New Roman" w:hAnsi="Times New Roman" w:cs="Times New Roman"/>
          <w:sz w:val="24"/>
          <w:szCs w:val="24"/>
        </w:rPr>
        <w:t>)</w:t>
      </w:r>
      <w:r w:rsidR="008F47FA">
        <w:rPr>
          <w:rFonts w:ascii="Times New Roman" w:hAnsi="Times New Roman" w:cs="Times New Roman"/>
          <w:sz w:val="24"/>
          <w:szCs w:val="24"/>
        </w:rPr>
        <w:t xml:space="preserve">. </w:t>
      </w:r>
      <w:r w:rsidR="00DD79EB">
        <w:rPr>
          <w:rFonts w:ascii="Times New Roman" w:hAnsi="Times New Roman" w:cs="Times New Roman"/>
          <w:sz w:val="24"/>
          <w:szCs w:val="24"/>
        </w:rPr>
        <w:t xml:space="preserve">People in such societies openly accept the unknown. </w:t>
      </w:r>
      <w:r w:rsidR="00F81F92">
        <w:rPr>
          <w:rFonts w:ascii="Times New Roman" w:hAnsi="Times New Roman" w:cs="Times New Roman"/>
          <w:sz w:val="24"/>
          <w:szCs w:val="24"/>
        </w:rPr>
        <w:t>Masculinity is linked to characteristics such as assertiveness, wealth building, unique gender roles, wealth-</w:t>
      </w:r>
      <w:r w:rsidR="00F81F92">
        <w:rPr>
          <w:rFonts w:ascii="Times New Roman" w:hAnsi="Times New Roman" w:cs="Times New Roman"/>
          <w:sz w:val="24"/>
          <w:szCs w:val="24"/>
        </w:rPr>
        <w:lastRenderedPageBreak/>
        <w:t xml:space="preserve">building, and material achievements. </w:t>
      </w:r>
      <w:r w:rsidR="00236741">
        <w:rPr>
          <w:rFonts w:ascii="Times New Roman" w:hAnsi="Times New Roman" w:cs="Times New Roman"/>
          <w:sz w:val="24"/>
          <w:szCs w:val="24"/>
        </w:rPr>
        <w:t xml:space="preserve">Femininity is linked to characteristics such as nurturing, fluid gender roles, fluid gender roles, empathetic on the nature of life, and modest. </w:t>
      </w:r>
    </w:p>
    <w:p w14:paraId="5D92F132" w14:textId="296E6B92" w:rsidR="005E0298" w:rsidRPr="005E0298" w:rsidRDefault="00147591" w:rsidP="0026325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Finally, long-term or short-term orientation dimension factors in the level to which a society looks at its time horizon. </w:t>
      </w:r>
      <w:r w:rsidR="00156726">
        <w:rPr>
          <w:rFonts w:ascii="Times New Roman" w:hAnsi="Times New Roman" w:cs="Times New Roman"/>
          <w:sz w:val="24"/>
          <w:szCs w:val="24"/>
        </w:rPr>
        <w:t>The long-term orientation focuses on the future and entails the delay of gratification or success to attain long term success</w:t>
      </w:r>
      <w:r w:rsidR="00083911">
        <w:rPr>
          <w:rFonts w:ascii="Times New Roman" w:hAnsi="Times New Roman" w:cs="Times New Roman"/>
          <w:sz w:val="24"/>
          <w:szCs w:val="24"/>
        </w:rPr>
        <w:t xml:space="preserve"> </w:t>
      </w:r>
      <w:r w:rsidR="00083911" w:rsidRPr="00083911">
        <w:rPr>
          <w:rFonts w:ascii="Times New Roman" w:hAnsi="Times New Roman" w:cs="Times New Roman"/>
          <w:sz w:val="24"/>
          <w:szCs w:val="24"/>
        </w:rPr>
        <w:t>(</w:t>
      </w:r>
      <w:r w:rsidR="00083911" w:rsidRPr="008D0F2A">
        <w:rPr>
          <w:rFonts w:ascii="Times New Roman" w:hAnsi="Times New Roman" w:cs="Times New Roman"/>
          <w:sz w:val="24"/>
          <w:szCs w:val="24"/>
        </w:rPr>
        <w:t>Hofstede</w:t>
      </w:r>
      <w:r w:rsidR="00083911" w:rsidRPr="00083911">
        <w:rPr>
          <w:rFonts w:ascii="Times New Roman" w:hAnsi="Times New Roman" w:cs="Times New Roman"/>
          <w:sz w:val="24"/>
          <w:szCs w:val="24"/>
        </w:rPr>
        <w:t xml:space="preserve"> &amp; </w:t>
      </w:r>
      <w:r w:rsidR="00083911" w:rsidRPr="008D0F2A">
        <w:rPr>
          <w:rFonts w:ascii="Times New Roman" w:hAnsi="Times New Roman" w:cs="Times New Roman"/>
          <w:sz w:val="24"/>
          <w:szCs w:val="24"/>
        </w:rPr>
        <w:t>Minkov, 2010</w:t>
      </w:r>
      <w:r w:rsidR="00083911" w:rsidRPr="00083911">
        <w:rPr>
          <w:rFonts w:ascii="Times New Roman" w:hAnsi="Times New Roman" w:cs="Times New Roman"/>
          <w:sz w:val="24"/>
          <w:szCs w:val="24"/>
        </w:rPr>
        <w:t>)</w:t>
      </w:r>
      <w:r w:rsidR="00156726">
        <w:rPr>
          <w:rFonts w:ascii="Times New Roman" w:hAnsi="Times New Roman" w:cs="Times New Roman"/>
          <w:sz w:val="24"/>
          <w:szCs w:val="24"/>
        </w:rPr>
        <w:t xml:space="preserve">. </w:t>
      </w:r>
      <w:r w:rsidR="00274A8F">
        <w:rPr>
          <w:rFonts w:ascii="Times New Roman" w:hAnsi="Times New Roman" w:cs="Times New Roman"/>
          <w:sz w:val="24"/>
          <w:szCs w:val="24"/>
        </w:rPr>
        <w:t xml:space="preserve">It places emphasis on long-term growth, persistence, as well as perseverance. On the other hand, short-term orientation emphasize on the near future, entails the delivery of gratification or short-term success. It also emphasizes on what is currently taking place than the future. More importantly, it places emphasis on prompt results as well as respect for tradition. </w:t>
      </w:r>
    </w:p>
    <w:p w14:paraId="1BE93AD6" w14:textId="6E4A796E" w:rsidR="005E0298" w:rsidRDefault="005E0298" w:rsidP="005E0298">
      <w:pPr>
        <w:spacing w:line="480" w:lineRule="auto"/>
        <w:rPr>
          <w:rFonts w:ascii="Times New Roman" w:hAnsi="Times New Roman" w:cs="Times New Roman"/>
          <w:sz w:val="24"/>
          <w:szCs w:val="24"/>
        </w:rPr>
      </w:pPr>
      <w:r w:rsidRPr="005E0298">
        <w:rPr>
          <w:rFonts w:ascii="Times New Roman" w:hAnsi="Times New Roman" w:cs="Times New Roman"/>
          <w:sz w:val="24"/>
          <w:szCs w:val="24"/>
        </w:rPr>
        <w:t> </w:t>
      </w:r>
      <w:r w:rsidR="00EE0407">
        <w:rPr>
          <w:rFonts w:ascii="Times New Roman" w:hAnsi="Times New Roman" w:cs="Times New Roman"/>
          <w:sz w:val="24"/>
          <w:szCs w:val="24"/>
        </w:rPr>
        <w:tab/>
        <w:t xml:space="preserve">Culture plays a particularly critical role when MNEs try to get into foreign markets. </w:t>
      </w:r>
      <w:r w:rsidR="00B901B6">
        <w:rPr>
          <w:rFonts w:ascii="Times New Roman" w:hAnsi="Times New Roman" w:cs="Times New Roman"/>
          <w:sz w:val="24"/>
          <w:szCs w:val="24"/>
        </w:rPr>
        <w:t>IKEA’s culture is mainly depicted in the way it communicate</w:t>
      </w:r>
      <w:r w:rsidR="00FB5C77">
        <w:rPr>
          <w:rFonts w:ascii="Times New Roman" w:hAnsi="Times New Roman" w:cs="Times New Roman"/>
          <w:sz w:val="24"/>
          <w:szCs w:val="24"/>
        </w:rPr>
        <w:t>s</w:t>
      </w:r>
      <w:r w:rsidR="00B901B6">
        <w:rPr>
          <w:rFonts w:ascii="Times New Roman" w:hAnsi="Times New Roman" w:cs="Times New Roman"/>
          <w:sz w:val="24"/>
          <w:szCs w:val="24"/>
        </w:rPr>
        <w:t xml:space="preserve"> its HR management practices where individuals are respected. </w:t>
      </w:r>
      <w:r w:rsidR="004B2086">
        <w:rPr>
          <w:rFonts w:ascii="Times New Roman" w:hAnsi="Times New Roman" w:cs="Times New Roman"/>
          <w:sz w:val="24"/>
          <w:szCs w:val="24"/>
        </w:rPr>
        <w:t>Workers are encouraged to take part in taking responsibilities and decision-making</w:t>
      </w:r>
      <w:r w:rsidR="00F41A85">
        <w:rPr>
          <w:rFonts w:ascii="Times New Roman" w:hAnsi="Times New Roman" w:cs="Times New Roman"/>
          <w:sz w:val="24"/>
          <w:szCs w:val="24"/>
        </w:rPr>
        <w:t xml:space="preserve"> </w:t>
      </w:r>
      <w:r w:rsidR="00F41A85" w:rsidRPr="00F41A85">
        <w:rPr>
          <w:rFonts w:ascii="Times New Roman" w:hAnsi="Times New Roman" w:cs="Times New Roman"/>
          <w:sz w:val="24"/>
          <w:szCs w:val="24"/>
        </w:rPr>
        <w:t>(</w:t>
      </w:r>
      <w:r w:rsidR="00F41A85" w:rsidRPr="008D0F2A">
        <w:rPr>
          <w:rFonts w:ascii="Times New Roman" w:hAnsi="Times New Roman" w:cs="Times New Roman"/>
          <w:sz w:val="24"/>
          <w:szCs w:val="24"/>
        </w:rPr>
        <w:t>Hofstede</w:t>
      </w:r>
      <w:r w:rsidR="00F41A85" w:rsidRPr="00F41A85">
        <w:rPr>
          <w:rFonts w:ascii="Times New Roman" w:hAnsi="Times New Roman" w:cs="Times New Roman"/>
          <w:sz w:val="24"/>
          <w:szCs w:val="24"/>
        </w:rPr>
        <w:t xml:space="preserve"> &amp; </w:t>
      </w:r>
      <w:r w:rsidR="00F41A85" w:rsidRPr="008D0F2A">
        <w:rPr>
          <w:rFonts w:ascii="Times New Roman" w:hAnsi="Times New Roman" w:cs="Times New Roman"/>
          <w:sz w:val="24"/>
          <w:szCs w:val="24"/>
        </w:rPr>
        <w:t>Minkov, 2010</w:t>
      </w:r>
      <w:r w:rsidR="00F41A85" w:rsidRPr="00F41A85">
        <w:rPr>
          <w:rFonts w:ascii="Times New Roman" w:hAnsi="Times New Roman" w:cs="Times New Roman"/>
          <w:sz w:val="24"/>
          <w:szCs w:val="24"/>
        </w:rPr>
        <w:t>)</w:t>
      </w:r>
      <w:r w:rsidR="004B2086">
        <w:rPr>
          <w:rFonts w:ascii="Times New Roman" w:hAnsi="Times New Roman" w:cs="Times New Roman"/>
          <w:sz w:val="24"/>
          <w:szCs w:val="24"/>
        </w:rPr>
        <w:t xml:space="preserve">. </w:t>
      </w:r>
      <w:r w:rsidR="007F490B">
        <w:rPr>
          <w:rFonts w:ascii="Times New Roman" w:hAnsi="Times New Roman" w:cs="Times New Roman"/>
          <w:sz w:val="24"/>
          <w:szCs w:val="24"/>
        </w:rPr>
        <w:t xml:space="preserve">IKEA employees are encouraged to remain independent, be wiling to learn and listen, and understand the best way to transfer as well as share knowledge to others. However, this Swedish culture </w:t>
      </w:r>
      <w:r w:rsidR="00603D26">
        <w:rPr>
          <w:rFonts w:ascii="Times New Roman" w:hAnsi="Times New Roman" w:cs="Times New Roman"/>
          <w:sz w:val="24"/>
          <w:szCs w:val="24"/>
        </w:rPr>
        <w:t xml:space="preserve">significantly differs from that of the Chinese market, thus making it crucial to understand what should be considered as the company gets into </w:t>
      </w:r>
      <w:r w:rsidR="00D866EC">
        <w:rPr>
          <w:rFonts w:ascii="Times New Roman" w:hAnsi="Times New Roman" w:cs="Times New Roman"/>
          <w:sz w:val="24"/>
          <w:szCs w:val="24"/>
        </w:rPr>
        <w:t>China</w:t>
      </w:r>
      <w:r w:rsidR="00603D26">
        <w:rPr>
          <w:rFonts w:ascii="Times New Roman" w:hAnsi="Times New Roman" w:cs="Times New Roman"/>
          <w:sz w:val="24"/>
          <w:szCs w:val="24"/>
        </w:rPr>
        <w:t xml:space="preserve">. </w:t>
      </w:r>
    </w:p>
    <w:p w14:paraId="758874D2" w14:textId="299C811B" w:rsidR="00527EA4" w:rsidRDefault="00FB5C77" w:rsidP="005E0298">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China’s score of 80 on power distance means that IKEA should learn that inequalities are accepted in China unlike in Sweden. </w:t>
      </w:r>
      <w:r w:rsidR="00F8193E">
        <w:rPr>
          <w:rFonts w:ascii="Times New Roman" w:hAnsi="Times New Roman" w:cs="Times New Roman"/>
          <w:sz w:val="24"/>
          <w:szCs w:val="24"/>
        </w:rPr>
        <w:t xml:space="preserve">Decisions taken have to be in tandem with China’s values and customs. What this means is that while working in IKEA in China, managers may have to offer training to employees to ensure that they are sensitive to the differences in culture and develop nuanced business practices. </w:t>
      </w:r>
      <w:r w:rsidR="00D12362">
        <w:rPr>
          <w:rFonts w:ascii="Times New Roman" w:hAnsi="Times New Roman" w:cs="Times New Roman"/>
          <w:sz w:val="24"/>
          <w:szCs w:val="24"/>
        </w:rPr>
        <w:t>The relationship between the subordinate and the superior is usually polarized and being abused by superiors is normal</w:t>
      </w:r>
      <w:r w:rsidR="00083911">
        <w:rPr>
          <w:rFonts w:ascii="Times New Roman" w:hAnsi="Times New Roman" w:cs="Times New Roman"/>
          <w:sz w:val="24"/>
          <w:szCs w:val="24"/>
        </w:rPr>
        <w:t xml:space="preserve"> </w:t>
      </w:r>
      <w:r w:rsidR="00083911" w:rsidRPr="00083911">
        <w:rPr>
          <w:rFonts w:ascii="Times New Roman" w:hAnsi="Times New Roman" w:cs="Times New Roman"/>
          <w:sz w:val="24"/>
          <w:szCs w:val="24"/>
        </w:rPr>
        <w:t>(</w:t>
      </w:r>
      <w:r w:rsidR="00083911" w:rsidRPr="00563B7A">
        <w:rPr>
          <w:rFonts w:ascii="Times New Roman" w:hAnsi="Times New Roman" w:cs="Times New Roman"/>
          <w:sz w:val="24"/>
          <w:szCs w:val="24"/>
        </w:rPr>
        <w:t xml:space="preserve">Xiumei, </w:t>
      </w:r>
      <w:r w:rsidR="00083911" w:rsidRPr="00083911">
        <w:rPr>
          <w:rFonts w:ascii="Times New Roman" w:hAnsi="Times New Roman" w:cs="Times New Roman"/>
          <w:sz w:val="24"/>
          <w:szCs w:val="24"/>
        </w:rPr>
        <w:t>&amp;</w:t>
      </w:r>
      <w:r w:rsidR="00083911" w:rsidRPr="00563B7A">
        <w:rPr>
          <w:rFonts w:ascii="Times New Roman" w:hAnsi="Times New Roman" w:cs="Times New Roman"/>
          <w:sz w:val="24"/>
          <w:szCs w:val="24"/>
        </w:rPr>
        <w:t xml:space="preserve"> Jinying, 2011</w:t>
      </w:r>
      <w:r w:rsidR="00083911" w:rsidRPr="00083911">
        <w:rPr>
          <w:rFonts w:ascii="Times New Roman" w:hAnsi="Times New Roman" w:cs="Times New Roman"/>
          <w:sz w:val="24"/>
          <w:szCs w:val="24"/>
        </w:rPr>
        <w:t>)</w:t>
      </w:r>
      <w:r w:rsidR="00D12362">
        <w:rPr>
          <w:rFonts w:ascii="Times New Roman" w:hAnsi="Times New Roman" w:cs="Times New Roman"/>
          <w:sz w:val="24"/>
          <w:szCs w:val="24"/>
        </w:rPr>
        <w:t xml:space="preserve">. In case a </w:t>
      </w:r>
      <w:r w:rsidR="00D12362">
        <w:rPr>
          <w:rFonts w:ascii="Times New Roman" w:hAnsi="Times New Roman" w:cs="Times New Roman"/>
          <w:sz w:val="24"/>
          <w:szCs w:val="24"/>
        </w:rPr>
        <w:lastRenderedPageBreak/>
        <w:t>manager fails to take responsibility, employees may think that the task is not critical.</w:t>
      </w:r>
      <w:r w:rsidR="00E5535B">
        <w:rPr>
          <w:rFonts w:ascii="Times New Roman" w:hAnsi="Times New Roman" w:cs="Times New Roman"/>
          <w:sz w:val="24"/>
          <w:szCs w:val="24"/>
        </w:rPr>
        <w:t xml:space="preserve"> China is a collectivist society</w:t>
      </w:r>
      <w:r w:rsidR="004C54A4">
        <w:rPr>
          <w:rFonts w:ascii="Times New Roman" w:hAnsi="Times New Roman" w:cs="Times New Roman"/>
          <w:sz w:val="24"/>
          <w:szCs w:val="24"/>
        </w:rPr>
        <w:t xml:space="preserve"> whereby employees are supposed to be loyal to IKEA when it internationalizes. In exchange, IKEA should be ready to defend the interests of employees. The group is usually larger, with people being responsible for the wellbeing of one another.</w:t>
      </w:r>
      <w:r w:rsidR="00CD7880">
        <w:rPr>
          <w:rFonts w:ascii="Times New Roman" w:hAnsi="Times New Roman" w:cs="Times New Roman"/>
          <w:sz w:val="24"/>
          <w:szCs w:val="24"/>
        </w:rPr>
        <w:t xml:space="preserve"> A marketing campaign which places emphasis on benefits for the community could be well-received provided the employees or other people feel that they are part of IKEA. </w:t>
      </w:r>
    </w:p>
    <w:p w14:paraId="6B346773" w14:textId="268E1F55" w:rsidR="006414B7" w:rsidRDefault="006414B7" w:rsidP="00527EA4">
      <w:pPr>
        <w:spacing w:line="480" w:lineRule="auto"/>
        <w:ind w:firstLine="720"/>
        <w:rPr>
          <w:rFonts w:ascii="Times New Roman" w:hAnsi="Times New Roman" w:cs="Times New Roman"/>
          <w:sz w:val="24"/>
          <w:szCs w:val="24"/>
        </w:rPr>
      </w:pPr>
      <w:r>
        <w:rPr>
          <w:rFonts w:ascii="Times New Roman" w:hAnsi="Times New Roman" w:cs="Times New Roman"/>
          <w:sz w:val="24"/>
          <w:szCs w:val="24"/>
        </w:rPr>
        <w:t>Whereas Sweden is largely a feminine society, the model demonstrates that China is a masculine society. Thus, people in China focus on management through talks, compromise, negotiation and consensus</w:t>
      </w:r>
      <w:r w:rsidR="00CC2931" w:rsidRPr="00CC2931">
        <w:rPr>
          <w:rFonts w:ascii="Times New Roman" w:hAnsi="Times New Roman" w:cs="Times New Roman"/>
          <w:sz w:val="24"/>
          <w:szCs w:val="24"/>
        </w:rPr>
        <w:t xml:space="preserve"> </w:t>
      </w:r>
      <w:r w:rsidR="00CC2931">
        <w:rPr>
          <w:rFonts w:ascii="Times New Roman" w:hAnsi="Times New Roman" w:cs="Times New Roman"/>
          <w:sz w:val="24"/>
          <w:szCs w:val="24"/>
        </w:rPr>
        <w:t>(</w:t>
      </w:r>
      <w:r w:rsidR="00CC2931" w:rsidRPr="00563B7A">
        <w:rPr>
          <w:rFonts w:ascii="Times New Roman" w:hAnsi="Times New Roman" w:cs="Times New Roman"/>
          <w:sz w:val="24"/>
          <w:szCs w:val="24"/>
        </w:rPr>
        <w:t xml:space="preserve">Xiumei, </w:t>
      </w:r>
      <w:r w:rsidR="00CC2931">
        <w:rPr>
          <w:rFonts w:ascii="Times New Roman" w:hAnsi="Times New Roman" w:cs="Times New Roman"/>
          <w:sz w:val="24"/>
          <w:szCs w:val="24"/>
        </w:rPr>
        <w:t>&amp;</w:t>
      </w:r>
      <w:r w:rsidR="00CC2931" w:rsidRPr="00563B7A">
        <w:rPr>
          <w:rFonts w:ascii="Times New Roman" w:hAnsi="Times New Roman" w:cs="Times New Roman"/>
          <w:sz w:val="24"/>
          <w:szCs w:val="24"/>
        </w:rPr>
        <w:t xml:space="preserve"> Jinying, 2011</w:t>
      </w:r>
      <w:r w:rsidR="00CC2931" w:rsidRPr="00CC2931">
        <w:rPr>
          <w:rFonts w:ascii="Times New Roman" w:hAnsi="Times New Roman" w:cs="Times New Roman"/>
          <w:sz w:val="24"/>
          <w:szCs w:val="24"/>
        </w:rPr>
        <w:t>)</w:t>
      </w:r>
      <w:r>
        <w:rPr>
          <w:rFonts w:ascii="Times New Roman" w:hAnsi="Times New Roman" w:cs="Times New Roman"/>
          <w:sz w:val="24"/>
          <w:szCs w:val="24"/>
        </w:rPr>
        <w:t>. For IKEA, it would have to focus on being aware of the differentiated gender roles, long-hours culture, and the tendency of people being motivated by specific tasks.</w:t>
      </w:r>
      <w:r w:rsidR="00527EA4">
        <w:rPr>
          <w:rFonts w:ascii="Times New Roman" w:hAnsi="Times New Roman" w:cs="Times New Roman"/>
          <w:sz w:val="24"/>
          <w:szCs w:val="24"/>
        </w:rPr>
        <w:t xml:space="preserve"> Regarding uncertainty avoidance, </w:t>
      </w:r>
      <w:r w:rsidR="00C83572">
        <w:rPr>
          <w:rFonts w:ascii="Times New Roman" w:hAnsi="Times New Roman" w:cs="Times New Roman"/>
          <w:sz w:val="24"/>
          <w:szCs w:val="24"/>
        </w:rPr>
        <w:t xml:space="preserve">the score of 30 versus Sweden’s 29 means that they are on an equal platform. What this means is that IKEA does not have to make any significant changes. </w:t>
      </w:r>
      <w:r w:rsidR="00D52D93">
        <w:rPr>
          <w:rFonts w:ascii="Times New Roman" w:hAnsi="Times New Roman" w:cs="Times New Roman"/>
          <w:sz w:val="24"/>
          <w:szCs w:val="24"/>
        </w:rPr>
        <w:t>Thus, people should remain focused. Finally, China scores 87% against Sweden’s 53%</w:t>
      </w:r>
      <w:r w:rsidR="008D0F2A">
        <w:rPr>
          <w:rFonts w:ascii="Times New Roman" w:hAnsi="Times New Roman" w:cs="Times New Roman"/>
          <w:sz w:val="24"/>
          <w:szCs w:val="24"/>
        </w:rPr>
        <w:t xml:space="preserve"> on long-term orientation</w:t>
      </w:r>
      <w:r w:rsidR="008D0F2A" w:rsidRPr="008D0F2A">
        <w:rPr>
          <w:rFonts w:ascii="Times New Roman" w:hAnsi="Times New Roman" w:cs="Times New Roman"/>
          <w:sz w:val="24"/>
          <w:szCs w:val="24"/>
        </w:rPr>
        <w:t xml:space="preserve"> </w:t>
      </w:r>
      <w:r w:rsidR="008D0F2A">
        <w:rPr>
          <w:rFonts w:ascii="Times New Roman" w:hAnsi="Times New Roman" w:cs="Times New Roman"/>
          <w:sz w:val="24"/>
          <w:szCs w:val="24"/>
        </w:rPr>
        <w:t>(</w:t>
      </w:r>
      <w:r w:rsidR="008D0F2A" w:rsidRPr="008D0F2A">
        <w:rPr>
          <w:rFonts w:ascii="Times New Roman" w:hAnsi="Times New Roman" w:cs="Times New Roman"/>
          <w:sz w:val="24"/>
          <w:szCs w:val="24"/>
        </w:rPr>
        <w:t>Hofstede</w:t>
      </w:r>
      <w:r w:rsidR="008D0F2A">
        <w:rPr>
          <w:rFonts w:ascii="Times New Roman" w:hAnsi="Times New Roman" w:cs="Times New Roman"/>
          <w:sz w:val="24"/>
          <w:szCs w:val="24"/>
        </w:rPr>
        <w:t xml:space="preserve"> &amp; </w:t>
      </w:r>
      <w:r w:rsidR="008D0F2A" w:rsidRPr="008D0F2A">
        <w:rPr>
          <w:rFonts w:ascii="Times New Roman" w:hAnsi="Times New Roman" w:cs="Times New Roman"/>
          <w:sz w:val="24"/>
          <w:szCs w:val="24"/>
        </w:rPr>
        <w:t>Minkov, 2010)</w:t>
      </w:r>
      <w:r w:rsidR="00D52D93">
        <w:rPr>
          <w:rFonts w:ascii="Times New Roman" w:hAnsi="Times New Roman" w:cs="Times New Roman"/>
          <w:sz w:val="24"/>
          <w:szCs w:val="24"/>
        </w:rPr>
        <w:t>. This means that IKEA should strive to avoid talking too much, and support the spirit of compromise.</w:t>
      </w:r>
    </w:p>
    <w:p w14:paraId="7BEEFF0D" w14:textId="0B69BE2A" w:rsidR="00B13BB4" w:rsidRDefault="00B13BB4" w:rsidP="00B13BB4">
      <w:pPr>
        <w:spacing w:line="480" w:lineRule="auto"/>
        <w:rPr>
          <w:rFonts w:ascii="Times New Roman" w:hAnsi="Times New Roman" w:cs="Times New Roman"/>
          <w:sz w:val="24"/>
          <w:szCs w:val="24"/>
        </w:rPr>
      </w:pPr>
    </w:p>
    <w:p w14:paraId="72B11225" w14:textId="0E11FAD3" w:rsidR="003F0B42" w:rsidRDefault="003F0B42" w:rsidP="00B13BB4">
      <w:pPr>
        <w:spacing w:line="480" w:lineRule="auto"/>
        <w:rPr>
          <w:rFonts w:ascii="Times New Roman" w:hAnsi="Times New Roman" w:cs="Times New Roman"/>
          <w:sz w:val="24"/>
          <w:szCs w:val="24"/>
        </w:rPr>
      </w:pPr>
    </w:p>
    <w:p w14:paraId="62D01AFC" w14:textId="64A82770" w:rsidR="003F0B42" w:rsidRDefault="003F0B42" w:rsidP="00B13BB4">
      <w:pPr>
        <w:spacing w:line="480" w:lineRule="auto"/>
        <w:rPr>
          <w:rFonts w:ascii="Times New Roman" w:hAnsi="Times New Roman" w:cs="Times New Roman"/>
          <w:sz w:val="24"/>
          <w:szCs w:val="24"/>
        </w:rPr>
      </w:pPr>
    </w:p>
    <w:p w14:paraId="21FDD120" w14:textId="214C7F82" w:rsidR="003F0B42" w:rsidRDefault="003F0B42" w:rsidP="00B13BB4">
      <w:pPr>
        <w:spacing w:line="480" w:lineRule="auto"/>
        <w:rPr>
          <w:rFonts w:ascii="Times New Roman" w:hAnsi="Times New Roman" w:cs="Times New Roman"/>
          <w:sz w:val="24"/>
          <w:szCs w:val="24"/>
        </w:rPr>
      </w:pPr>
    </w:p>
    <w:p w14:paraId="0EC471A0" w14:textId="2147C0F9" w:rsidR="003F0B42" w:rsidRDefault="003F0B42" w:rsidP="00B13BB4">
      <w:pPr>
        <w:spacing w:line="480" w:lineRule="auto"/>
        <w:rPr>
          <w:rFonts w:ascii="Times New Roman" w:hAnsi="Times New Roman" w:cs="Times New Roman"/>
          <w:sz w:val="24"/>
          <w:szCs w:val="24"/>
        </w:rPr>
      </w:pPr>
    </w:p>
    <w:p w14:paraId="58C2CCA0" w14:textId="4430EA7F" w:rsidR="003F0B42" w:rsidRDefault="003F0B42" w:rsidP="00B13BB4">
      <w:pPr>
        <w:spacing w:line="480" w:lineRule="auto"/>
        <w:rPr>
          <w:rFonts w:ascii="Times New Roman" w:hAnsi="Times New Roman" w:cs="Times New Roman"/>
          <w:sz w:val="24"/>
          <w:szCs w:val="24"/>
        </w:rPr>
      </w:pPr>
    </w:p>
    <w:p w14:paraId="1A9F4C60" w14:textId="265C7B6A" w:rsidR="003F0B42" w:rsidRPr="003F0B42" w:rsidRDefault="003F0B42" w:rsidP="00B13BB4">
      <w:pPr>
        <w:spacing w:line="480" w:lineRule="auto"/>
        <w:rPr>
          <w:rFonts w:ascii="Times New Roman" w:hAnsi="Times New Roman" w:cs="Times New Roman"/>
          <w:b/>
          <w:bCs/>
          <w:sz w:val="24"/>
          <w:szCs w:val="24"/>
        </w:rPr>
      </w:pPr>
      <w:r w:rsidRPr="003F0B42">
        <w:rPr>
          <w:rFonts w:ascii="Times New Roman" w:hAnsi="Times New Roman" w:cs="Times New Roman"/>
          <w:b/>
          <w:bCs/>
          <w:sz w:val="24"/>
          <w:szCs w:val="24"/>
        </w:rPr>
        <w:lastRenderedPageBreak/>
        <w:t>Reference List</w:t>
      </w:r>
    </w:p>
    <w:p w14:paraId="6D9603B7" w14:textId="407DA6B5" w:rsidR="008D0F2A" w:rsidRPr="008D0F2A" w:rsidRDefault="008D0F2A" w:rsidP="008D0F2A">
      <w:pPr>
        <w:spacing w:line="480" w:lineRule="auto"/>
        <w:rPr>
          <w:rFonts w:ascii="Times New Roman" w:hAnsi="Times New Roman" w:cs="Times New Roman"/>
          <w:sz w:val="24"/>
          <w:szCs w:val="24"/>
        </w:rPr>
      </w:pPr>
      <w:r w:rsidRPr="008D0F2A">
        <w:rPr>
          <w:rFonts w:ascii="Times New Roman" w:hAnsi="Times New Roman" w:cs="Times New Roman"/>
          <w:sz w:val="24"/>
          <w:szCs w:val="24"/>
        </w:rPr>
        <w:t>Hofstede, G. and Minkov, M.</w:t>
      </w:r>
      <w:r>
        <w:rPr>
          <w:rFonts w:ascii="Times New Roman" w:hAnsi="Times New Roman" w:cs="Times New Roman"/>
          <w:sz w:val="24"/>
          <w:szCs w:val="24"/>
        </w:rPr>
        <w:t xml:space="preserve"> (</w:t>
      </w:r>
      <w:r w:rsidRPr="008D0F2A">
        <w:rPr>
          <w:rFonts w:ascii="Times New Roman" w:hAnsi="Times New Roman" w:cs="Times New Roman"/>
          <w:sz w:val="24"/>
          <w:szCs w:val="24"/>
        </w:rPr>
        <w:t>2010</w:t>
      </w:r>
      <w:r>
        <w:rPr>
          <w:rFonts w:ascii="Times New Roman" w:hAnsi="Times New Roman" w:cs="Times New Roman"/>
          <w:sz w:val="24"/>
          <w:szCs w:val="24"/>
        </w:rPr>
        <w:t>)</w:t>
      </w:r>
      <w:r w:rsidRPr="008D0F2A">
        <w:rPr>
          <w:rFonts w:ascii="Times New Roman" w:hAnsi="Times New Roman" w:cs="Times New Roman"/>
          <w:sz w:val="24"/>
          <w:szCs w:val="24"/>
        </w:rPr>
        <w:t xml:space="preserve"> Long-versus short-term orientation: new perspectives. </w:t>
      </w:r>
      <w:r w:rsidRPr="008D0F2A">
        <w:rPr>
          <w:rFonts w:ascii="Times New Roman" w:hAnsi="Times New Roman" w:cs="Times New Roman"/>
          <w:i/>
          <w:iCs/>
          <w:sz w:val="24"/>
          <w:szCs w:val="24"/>
        </w:rPr>
        <w:t>Asia Pacific business review</w:t>
      </w:r>
      <w:r w:rsidRPr="008D0F2A">
        <w:rPr>
          <w:rFonts w:ascii="Times New Roman" w:hAnsi="Times New Roman" w:cs="Times New Roman"/>
          <w:sz w:val="24"/>
          <w:szCs w:val="24"/>
        </w:rPr>
        <w:t xml:space="preserve">, </w:t>
      </w:r>
      <w:r w:rsidRPr="008D0F2A">
        <w:rPr>
          <w:rFonts w:ascii="Times New Roman" w:hAnsi="Times New Roman" w:cs="Times New Roman"/>
          <w:i/>
          <w:iCs/>
          <w:sz w:val="24"/>
          <w:szCs w:val="24"/>
        </w:rPr>
        <w:t>16</w:t>
      </w:r>
      <w:r w:rsidRPr="008D0F2A">
        <w:rPr>
          <w:rFonts w:ascii="Times New Roman" w:hAnsi="Times New Roman" w:cs="Times New Roman"/>
          <w:sz w:val="24"/>
          <w:szCs w:val="24"/>
        </w:rPr>
        <w:t>(4), pp.493-504.</w:t>
      </w:r>
    </w:p>
    <w:p w14:paraId="2FCCAF16" w14:textId="26A11421" w:rsidR="003F0B42" w:rsidRPr="003F0B42" w:rsidRDefault="003F0B42" w:rsidP="003F0B42">
      <w:pPr>
        <w:spacing w:line="480" w:lineRule="auto"/>
        <w:rPr>
          <w:rFonts w:ascii="Times New Roman" w:hAnsi="Times New Roman" w:cs="Times New Roman"/>
          <w:sz w:val="24"/>
          <w:szCs w:val="24"/>
        </w:rPr>
      </w:pPr>
      <w:r w:rsidRPr="003F0B42">
        <w:rPr>
          <w:rFonts w:ascii="Times New Roman" w:hAnsi="Times New Roman" w:cs="Times New Roman"/>
          <w:sz w:val="24"/>
          <w:szCs w:val="24"/>
        </w:rPr>
        <w:t>Soares, A.M., Farhangmehr, M. and Shoham, A.</w:t>
      </w:r>
      <w:r w:rsidR="00563B7A">
        <w:rPr>
          <w:rFonts w:ascii="Times New Roman" w:hAnsi="Times New Roman" w:cs="Times New Roman"/>
          <w:sz w:val="24"/>
          <w:szCs w:val="24"/>
        </w:rPr>
        <w:t xml:space="preserve"> (</w:t>
      </w:r>
      <w:r w:rsidRPr="003F0B42">
        <w:rPr>
          <w:rFonts w:ascii="Times New Roman" w:hAnsi="Times New Roman" w:cs="Times New Roman"/>
          <w:sz w:val="24"/>
          <w:szCs w:val="24"/>
        </w:rPr>
        <w:t>2007</w:t>
      </w:r>
      <w:r w:rsidR="00563B7A">
        <w:rPr>
          <w:rFonts w:ascii="Times New Roman" w:hAnsi="Times New Roman" w:cs="Times New Roman"/>
          <w:sz w:val="24"/>
          <w:szCs w:val="24"/>
        </w:rPr>
        <w:t>)</w:t>
      </w:r>
      <w:r w:rsidRPr="003F0B42">
        <w:rPr>
          <w:rFonts w:ascii="Times New Roman" w:hAnsi="Times New Roman" w:cs="Times New Roman"/>
          <w:sz w:val="24"/>
          <w:szCs w:val="24"/>
        </w:rPr>
        <w:t xml:space="preserve"> Hofstede's dimensions of culture in international marketing studies. </w:t>
      </w:r>
      <w:r w:rsidRPr="003F0B42">
        <w:rPr>
          <w:rFonts w:ascii="Times New Roman" w:hAnsi="Times New Roman" w:cs="Times New Roman"/>
          <w:i/>
          <w:iCs/>
          <w:sz w:val="24"/>
          <w:szCs w:val="24"/>
        </w:rPr>
        <w:t xml:space="preserve">Journal of </w:t>
      </w:r>
      <w:r w:rsidR="00261BC5" w:rsidRPr="003F0B42">
        <w:rPr>
          <w:rFonts w:ascii="Times New Roman" w:hAnsi="Times New Roman" w:cs="Times New Roman"/>
          <w:i/>
          <w:iCs/>
          <w:sz w:val="24"/>
          <w:szCs w:val="24"/>
        </w:rPr>
        <w:t>Business Research</w:t>
      </w:r>
      <w:r w:rsidRPr="003F0B42">
        <w:rPr>
          <w:rFonts w:ascii="Times New Roman" w:hAnsi="Times New Roman" w:cs="Times New Roman"/>
          <w:sz w:val="24"/>
          <w:szCs w:val="24"/>
        </w:rPr>
        <w:t xml:space="preserve">, </w:t>
      </w:r>
      <w:r w:rsidRPr="003F0B42">
        <w:rPr>
          <w:rFonts w:ascii="Times New Roman" w:hAnsi="Times New Roman" w:cs="Times New Roman"/>
          <w:i/>
          <w:iCs/>
          <w:sz w:val="24"/>
          <w:szCs w:val="24"/>
        </w:rPr>
        <w:t>60</w:t>
      </w:r>
      <w:r w:rsidRPr="003F0B42">
        <w:rPr>
          <w:rFonts w:ascii="Times New Roman" w:hAnsi="Times New Roman" w:cs="Times New Roman"/>
          <w:sz w:val="24"/>
          <w:szCs w:val="24"/>
        </w:rPr>
        <w:t>(3), pp.277-284.</w:t>
      </w:r>
    </w:p>
    <w:p w14:paraId="42A2A9B5" w14:textId="7D0C189A" w:rsidR="00563B7A" w:rsidRPr="00563B7A" w:rsidRDefault="00563B7A" w:rsidP="00563B7A">
      <w:pPr>
        <w:spacing w:line="480" w:lineRule="auto"/>
        <w:rPr>
          <w:rFonts w:ascii="Times New Roman" w:hAnsi="Times New Roman" w:cs="Times New Roman"/>
          <w:sz w:val="24"/>
          <w:szCs w:val="24"/>
        </w:rPr>
      </w:pPr>
      <w:r w:rsidRPr="00563B7A">
        <w:rPr>
          <w:rFonts w:ascii="Times New Roman" w:hAnsi="Times New Roman" w:cs="Times New Roman"/>
          <w:sz w:val="24"/>
          <w:szCs w:val="24"/>
        </w:rPr>
        <w:t xml:space="preserve">Xiumei, S.H.I. and Jinying, W. </w:t>
      </w:r>
      <w:r>
        <w:rPr>
          <w:rFonts w:ascii="Times New Roman" w:hAnsi="Times New Roman" w:cs="Times New Roman"/>
          <w:sz w:val="24"/>
          <w:szCs w:val="24"/>
        </w:rPr>
        <w:t>(</w:t>
      </w:r>
      <w:r w:rsidRPr="00563B7A">
        <w:rPr>
          <w:rFonts w:ascii="Times New Roman" w:hAnsi="Times New Roman" w:cs="Times New Roman"/>
          <w:sz w:val="24"/>
          <w:szCs w:val="24"/>
        </w:rPr>
        <w:t>2011</w:t>
      </w:r>
      <w:r>
        <w:rPr>
          <w:rFonts w:ascii="Times New Roman" w:hAnsi="Times New Roman" w:cs="Times New Roman"/>
          <w:sz w:val="24"/>
          <w:szCs w:val="24"/>
        </w:rPr>
        <w:t>)</w:t>
      </w:r>
      <w:r w:rsidRPr="00563B7A">
        <w:rPr>
          <w:rFonts w:ascii="Times New Roman" w:hAnsi="Times New Roman" w:cs="Times New Roman"/>
          <w:sz w:val="24"/>
          <w:szCs w:val="24"/>
        </w:rPr>
        <w:t xml:space="preserve"> Cultural distance between China and US across GLOBE model and Hofstede model. </w:t>
      </w:r>
      <w:r w:rsidRPr="00563B7A">
        <w:rPr>
          <w:rFonts w:ascii="Times New Roman" w:hAnsi="Times New Roman" w:cs="Times New Roman"/>
          <w:i/>
          <w:iCs/>
          <w:sz w:val="24"/>
          <w:szCs w:val="24"/>
        </w:rPr>
        <w:t>International Business and Management</w:t>
      </w:r>
      <w:r w:rsidRPr="00563B7A">
        <w:rPr>
          <w:rFonts w:ascii="Times New Roman" w:hAnsi="Times New Roman" w:cs="Times New Roman"/>
          <w:sz w:val="24"/>
          <w:szCs w:val="24"/>
        </w:rPr>
        <w:t xml:space="preserve">, </w:t>
      </w:r>
      <w:r w:rsidRPr="00563B7A">
        <w:rPr>
          <w:rFonts w:ascii="Times New Roman" w:hAnsi="Times New Roman" w:cs="Times New Roman"/>
          <w:i/>
          <w:iCs/>
          <w:sz w:val="24"/>
          <w:szCs w:val="24"/>
        </w:rPr>
        <w:t>2</w:t>
      </w:r>
      <w:r w:rsidRPr="00563B7A">
        <w:rPr>
          <w:rFonts w:ascii="Times New Roman" w:hAnsi="Times New Roman" w:cs="Times New Roman"/>
          <w:sz w:val="24"/>
          <w:szCs w:val="24"/>
        </w:rPr>
        <w:t>(1), pp.11-17.</w:t>
      </w:r>
    </w:p>
    <w:p w14:paraId="44F76B6C" w14:textId="77777777" w:rsidR="003F0B42" w:rsidRDefault="003F0B42" w:rsidP="00B13BB4">
      <w:pPr>
        <w:spacing w:line="480" w:lineRule="auto"/>
        <w:rPr>
          <w:rFonts w:ascii="Times New Roman" w:hAnsi="Times New Roman" w:cs="Times New Roman"/>
          <w:sz w:val="24"/>
          <w:szCs w:val="24"/>
        </w:rPr>
      </w:pPr>
    </w:p>
    <w:p w14:paraId="28D10E31" w14:textId="77777777" w:rsidR="00B13BB4" w:rsidRPr="00B13BB4" w:rsidRDefault="00B13BB4" w:rsidP="00B13BB4">
      <w:pPr>
        <w:spacing w:line="480" w:lineRule="auto"/>
        <w:rPr>
          <w:rFonts w:ascii="Times New Roman" w:hAnsi="Times New Roman" w:cs="Times New Roman"/>
          <w:sz w:val="24"/>
          <w:szCs w:val="24"/>
        </w:rPr>
      </w:pPr>
    </w:p>
    <w:sectPr w:rsidR="00B13BB4" w:rsidRPr="00B13BB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5D84E1" w14:textId="77777777" w:rsidR="003413CE" w:rsidRDefault="003413CE" w:rsidP="00343813">
      <w:pPr>
        <w:spacing w:after="0" w:line="240" w:lineRule="auto"/>
      </w:pPr>
      <w:r>
        <w:separator/>
      </w:r>
    </w:p>
  </w:endnote>
  <w:endnote w:type="continuationSeparator" w:id="0">
    <w:p w14:paraId="3BB9CAE9" w14:textId="77777777" w:rsidR="003413CE" w:rsidRDefault="003413CE" w:rsidP="00343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6F35FF" w14:textId="77777777" w:rsidR="003413CE" w:rsidRDefault="003413CE" w:rsidP="00343813">
      <w:pPr>
        <w:spacing w:after="0" w:line="240" w:lineRule="auto"/>
      </w:pPr>
      <w:r>
        <w:separator/>
      </w:r>
    </w:p>
  </w:footnote>
  <w:footnote w:type="continuationSeparator" w:id="0">
    <w:p w14:paraId="005D0EF2" w14:textId="77777777" w:rsidR="003413CE" w:rsidRDefault="003413CE" w:rsidP="003438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87530253"/>
      <w:docPartObj>
        <w:docPartGallery w:val="Page Numbers (Top of Page)"/>
        <w:docPartUnique/>
      </w:docPartObj>
    </w:sdtPr>
    <w:sdtEndPr>
      <w:rPr>
        <w:rFonts w:ascii="Times New Roman" w:hAnsi="Times New Roman" w:cs="Times New Roman"/>
        <w:noProof/>
        <w:sz w:val="24"/>
        <w:szCs w:val="24"/>
      </w:rPr>
    </w:sdtEndPr>
    <w:sdtContent>
      <w:p w14:paraId="565562AA" w14:textId="191374C4" w:rsidR="00343813" w:rsidRPr="00343813" w:rsidRDefault="00343813">
        <w:pPr>
          <w:pStyle w:val="Header"/>
          <w:jc w:val="right"/>
          <w:rPr>
            <w:rFonts w:ascii="Times New Roman" w:hAnsi="Times New Roman" w:cs="Times New Roman"/>
            <w:sz w:val="24"/>
            <w:szCs w:val="24"/>
          </w:rPr>
        </w:pPr>
        <w:r w:rsidRPr="00343813">
          <w:rPr>
            <w:rFonts w:ascii="Times New Roman" w:hAnsi="Times New Roman" w:cs="Times New Roman"/>
            <w:sz w:val="24"/>
            <w:szCs w:val="24"/>
          </w:rPr>
          <w:fldChar w:fldCharType="begin"/>
        </w:r>
        <w:r w:rsidRPr="00343813">
          <w:rPr>
            <w:rFonts w:ascii="Times New Roman" w:hAnsi="Times New Roman" w:cs="Times New Roman"/>
            <w:sz w:val="24"/>
            <w:szCs w:val="24"/>
          </w:rPr>
          <w:instrText xml:space="preserve"> PAGE   \* MERGEFORMAT </w:instrText>
        </w:r>
        <w:r w:rsidRPr="00343813">
          <w:rPr>
            <w:rFonts w:ascii="Times New Roman" w:hAnsi="Times New Roman" w:cs="Times New Roman"/>
            <w:sz w:val="24"/>
            <w:szCs w:val="24"/>
          </w:rPr>
          <w:fldChar w:fldCharType="separate"/>
        </w:r>
        <w:r w:rsidRPr="00343813">
          <w:rPr>
            <w:rFonts w:ascii="Times New Roman" w:hAnsi="Times New Roman" w:cs="Times New Roman"/>
            <w:noProof/>
            <w:sz w:val="24"/>
            <w:szCs w:val="24"/>
          </w:rPr>
          <w:t>2</w:t>
        </w:r>
        <w:r w:rsidRPr="00343813">
          <w:rPr>
            <w:rFonts w:ascii="Times New Roman" w:hAnsi="Times New Roman" w:cs="Times New Roman"/>
            <w:noProof/>
            <w:sz w:val="24"/>
            <w:szCs w:val="24"/>
          </w:rPr>
          <w:fldChar w:fldCharType="end"/>
        </w:r>
      </w:p>
    </w:sdtContent>
  </w:sdt>
  <w:p w14:paraId="7867A1EF" w14:textId="77777777" w:rsidR="00343813" w:rsidRDefault="003438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C10DDD"/>
    <w:multiLevelType w:val="multilevel"/>
    <w:tmpl w:val="22A0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55CC0"/>
    <w:multiLevelType w:val="multilevel"/>
    <w:tmpl w:val="0654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262F9"/>
    <w:multiLevelType w:val="multilevel"/>
    <w:tmpl w:val="60E0FFB8"/>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3" w15:restartNumberingAfterBreak="0">
    <w:nsid w:val="4EE01B68"/>
    <w:multiLevelType w:val="multilevel"/>
    <w:tmpl w:val="124A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7C0BA7"/>
    <w:multiLevelType w:val="multilevel"/>
    <w:tmpl w:val="831A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612E91"/>
    <w:multiLevelType w:val="multilevel"/>
    <w:tmpl w:val="3ECE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01715E"/>
    <w:multiLevelType w:val="multilevel"/>
    <w:tmpl w:val="D802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7D53CD"/>
    <w:multiLevelType w:val="multilevel"/>
    <w:tmpl w:val="6CC4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634C4C"/>
    <w:multiLevelType w:val="multilevel"/>
    <w:tmpl w:val="7B68D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
  </w:num>
  <w:num w:numId="3">
    <w:abstractNumId w:val="7"/>
  </w:num>
  <w:num w:numId="4">
    <w:abstractNumId w:val="2"/>
  </w:num>
  <w:num w:numId="5">
    <w:abstractNumId w:val="5"/>
  </w:num>
  <w:num w:numId="6">
    <w:abstractNumId w:val="6"/>
  </w:num>
  <w:num w:numId="7">
    <w:abstractNumId w:val="4"/>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AC9"/>
    <w:rsid w:val="00083911"/>
    <w:rsid w:val="000E0EA2"/>
    <w:rsid w:val="00147591"/>
    <w:rsid w:val="00156726"/>
    <w:rsid w:val="001E7257"/>
    <w:rsid w:val="00236741"/>
    <w:rsid w:val="00261BC5"/>
    <w:rsid w:val="00263256"/>
    <w:rsid w:val="00274A8F"/>
    <w:rsid w:val="00280DD6"/>
    <w:rsid w:val="002F160C"/>
    <w:rsid w:val="002F3896"/>
    <w:rsid w:val="003413CE"/>
    <w:rsid w:val="00343813"/>
    <w:rsid w:val="003468BA"/>
    <w:rsid w:val="003F0B42"/>
    <w:rsid w:val="004331C5"/>
    <w:rsid w:val="004B2086"/>
    <w:rsid w:val="004C54A4"/>
    <w:rsid w:val="00527EA4"/>
    <w:rsid w:val="00563B7A"/>
    <w:rsid w:val="005E0298"/>
    <w:rsid w:val="00603D26"/>
    <w:rsid w:val="006414B7"/>
    <w:rsid w:val="00736A1C"/>
    <w:rsid w:val="00783B4A"/>
    <w:rsid w:val="007F490B"/>
    <w:rsid w:val="008234F8"/>
    <w:rsid w:val="008314D7"/>
    <w:rsid w:val="00897F95"/>
    <w:rsid w:val="008D0F2A"/>
    <w:rsid w:val="008F47FA"/>
    <w:rsid w:val="0096484C"/>
    <w:rsid w:val="00B13BB4"/>
    <w:rsid w:val="00B901B6"/>
    <w:rsid w:val="00BB4AC9"/>
    <w:rsid w:val="00C83572"/>
    <w:rsid w:val="00CA1B87"/>
    <w:rsid w:val="00CC2931"/>
    <w:rsid w:val="00CD7880"/>
    <w:rsid w:val="00D12362"/>
    <w:rsid w:val="00D52D93"/>
    <w:rsid w:val="00D71E66"/>
    <w:rsid w:val="00D732AC"/>
    <w:rsid w:val="00D866EC"/>
    <w:rsid w:val="00DD79EB"/>
    <w:rsid w:val="00E5535B"/>
    <w:rsid w:val="00E73DD5"/>
    <w:rsid w:val="00EE0407"/>
    <w:rsid w:val="00F41A85"/>
    <w:rsid w:val="00F8193E"/>
    <w:rsid w:val="00F81F92"/>
    <w:rsid w:val="00FB5C77"/>
    <w:rsid w:val="00FD6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77F31"/>
  <w15:chartTrackingRefBased/>
  <w15:docId w15:val="{70A0CCBC-01CC-479E-9B53-C2B9FC2E8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E0298"/>
    <w:rPr>
      <w:color w:val="0563C1" w:themeColor="hyperlink"/>
      <w:u w:val="single"/>
    </w:rPr>
  </w:style>
  <w:style w:type="character" w:styleId="UnresolvedMention">
    <w:name w:val="Unresolved Mention"/>
    <w:basedOn w:val="DefaultParagraphFont"/>
    <w:uiPriority w:val="99"/>
    <w:semiHidden/>
    <w:unhideWhenUsed/>
    <w:rsid w:val="005E0298"/>
    <w:rPr>
      <w:color w:val="605E5C"/>
      <w:shd w:val="clear" w:color="auto" w:fill="E1DFDD"/>
    </w:rPr>
  </w:style>
  <w:style w:type="paragraph" w:styleId="Header">
    <w:name w:val="header"/>
    <w:basedOn w:val="Normal"/>
    <w:link w:val="HeaderChar"/>
    <w:uiPriority w:val="99"/>
    <w:unhideWhenUsed/>
    <w:rsid w:val="003438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813"/>
  </w:style>
  <w:style w:type="paragraph" w:styleId="Footer">
    <w:name w:val="footer"/>
    <w:basedOn w:val="Normal"/>
    <w:link w:val="FooterChar"/>
    <w:uiPriority w:val="99"/>
    <w:unhideWhenUsed/>
    <w:rsid w:val="003438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38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3424474">
      <w:bodyDiv w:val="1"/>
      <w:marLeft w:val="0"/>
      <w:marRight w:val="0"/>
      <w:marTop w:val="0"/>
      <w:marBottom w:val="0"/>
      <w:divBdr>
        <w:top w:val="none" w:sz="0" w:space="0" w:color="auto"/>
        <w:left w:val="none" w:sz="0" w:space="0" w:color="auto"/>
        <w:bottom w:val="none" w:sz="0" w:space="0" w:color="auto"/>
        <w:right w:val="none" w:sz="0" w:space="0" w:color="auto"/>
      </w:divBdr>
      <w:divsChild>
        <w:div w:id="1672563418">
          <w:marLeft w:val="0"/>
          <w:marRight w:val="0"/>
          <w:marTop w:val="0"/>
          <w:marBottom w:val="0"/>
          <w:divBdr>
            <w:top w:val="none" w:sz="0" w:space="0" w:color="auto"/>
            <w:left w:val="none" w:sz="0" w:space="0" w:color="auto"/>
            <w:bottom w:val="none" w:sz="0" w:space="0" w:color="auto"/>
            <w:right w:val="none" w:sz="0" w:space="0" w:color="auto"/>
          </w:divBdr>
        </w:div>
      </w:divsChild>
    </w:div>
    <w:div w:id="984897434">
      <w:bodyDiv w:val="1"/>
      <w:marLeft w:val="0"/>
      <w:marRight w:val="0"/>
      <w:marTop w:val="0"/>
      <w:marBottom w:val="0"/>
      <w:divBdr>
        <w:top w:val="none" w:sz="0" w:space="0" w:color="auto"/>
        <w:left w:val="none" w:sz="0" w:space="0" w:color="auto"/>
        <w:bottom w:val="none" w:sz="0" w:space="0" w:color="auto"/>
        <w:right w:val="none" w:sz="0" w:space="0" w:color="auto"/>
      </w:divBdr>
    </w:div>
    <w:div w:id="1092819847">
      <w:bodyDiv w:val="1"/>
      <w:marLeft w:val="0"/>
      <w:marRight w:val="0"/>
      <w:marTop w:val="0"/>
      <w:marBottom w:val="0"/>
      <w:divBdr>
        <w:top w:val="none" w:sz="0" w:space="0" w:color="auto"/>
        <w:left w:val="none" w:sz="0" w:space="0" w:color="auto"/>
        <w:bottom w:val="none" w:sz="0" w:space="0" w:color="auto"/>
        <w:right w:val="none" w:sz="0" w:space="0" w:color="auto"/>
      </w:divBdr>
      <w:divsChild>
        <w:div w:id="612790468">
          <w:marLeft w:val="0"/>
          <w:marRight w:val="0"/>
          <w:marTop w:val="0"/>
          <w:marBottom w:val="0"/>
          <w:divBdr>
            <w:top w:val="none" w:sz="0" w:space="0" w:color="auto"/>
            <w:left w:val="none" w:sz="0" w:space="0" w:color="auto"/>
            <w:bottom w:val="none" w:sz="0" w:space="0" w:color="auto"/>
            <w:right w:val="none" w:sz="0" w:space="0" w:color="auto"/>
          </w:divBdr>
        </w:div>
      </w:divsChild>
    </w:div>
    <w:div w:id="1123571439">
      <w:bodyDiv w:val="1"/>
      <w:marLeft w:val="0"/>
      <w:marRight w:val="0"/>
      <w:marTop w:val="0"/>
      <w:marBottom w:val="0"/>
      <w:divBdr>
        <w:top w:val="none" w:sz="0" w:space="0" w:color="auto"/>
        <w:left w:val="none" w:sz="0" w:space="0" w:color="auto"/>
        <w:bottom w:val="none" w:sz="0" w:space="0" w:color="auto"/>
        <w:right w:val="none" w:sz="0" w:space="0" w:color="auto"/>
      </w:divBdr>
    </w:div>
    <w:div w:id="1507668251">
      <w:bodyDiv w:val="1"/>
      <w:marLeft w:val="0"/>
      <w:marRight w:val="0"/>
      <w:marTop w:val="0"/>
      <w:marBottom w:val="0"/>
      <w:divBdr>
        <w:top w:val="none" w:sz="0" w:space="0" w:color="auto"/>
        <w:left w:val="none" w:sz="0" w:space="0" w:color="auto"/>
        <w:bottom w:val="none" w:sz="0" w:space="0" w:color="auto"/>
        <w:right w:val="none" w:sz="0" w:space="0" w:color="auto"/>
      </w:divBdr>
    </w:div>
    <w:div w:id="1780877368">
      <w:bodyDiv w:val="1"/>
      <w:marLeft w:val="0"/>
      <w:marRight w:val="0"/>
      <w:marTop w:val="0"/>
      <w:marBottom w:val="0"/>
      <w:divBdr>
        <w:top w:val="none" w:sz="0" w:space="0" w:color="auto"/>
        <w:left w:val="none" w:sz="0" w:space="0" w:color="auto"/>
        <w:bottom w:val="none" w:sz="0" w:space="0" w:color="auto"/>
        <w:right w:val="none" w:sz="0" w:space="0" w:color="auto"/>
      </w:divBdr>
      <w:divsChild>
        <w:div w:id="1437293200">
          <w:marLeft w:val="0"/>
          <w:marRight w:val="0"/>
          <w:marTop w:val="0"/>
          <w:marBottom w:val="0"/>
          <w:divBdr>
            <w:top w:val="none" w:sz="0" w:space="0" w:color="auto"/>
            <w:left w:val="none" w:sz="0" w:space="0" w:color="auto"/>
            <w:bottom w:val="none" w:sz="0" w:space="0" w:color="auto"/>
            <w:right w:val="none" w:sz="0" w:space="0" w:color="auto"/>
          </w:divBdr>
        </w:div>
      </w:divsChild>
    </w:div>
    <w:div w:id="1785274064">
      <w:bodyDiv w:val="1"/>
      <w:marLeft w:val="0"/>
      <w:marRight w:val="0"/>
      <w:marTop w:val="0"/>
      <w:marBottom w:val="0"/>
      <w:divBdr>
        <w:top w:val="none" w:sz="0" w:space="0" w:color="auto"/>
        <w:left w:val="none" w:sz="0" w:space="0" w:color="auto"/>
        <w:bottom w:val="none" w:sz="0" w:space="0" w:color="auto"/>
        <w:right w:val="none" w:sz="0" w:space="0" w:color="auto"/>
      </w:divBdr>
    </w:div>
    <w:div w:id="1807309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4</Pages>
  <Words>880</Words>
  <Characters>5016</Characters>
  <Application>Microsoft Office Word</Application>
  <DocSecurity>0</DocSecurity>
  <Lines>41</Lines>
  <Paragraphs>11</Paragraphs>
  <ScaleCrop>false</ScaleCrop>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51</cp:revision>
  <dcterms:created xsi:type="dcterms:W3CDTF">2020-08-03T18:55:00Z</dcterms:created>
  <dcterms:modified xsi:type="dcterms:W3CDTF">2020-08-03T20:29:00Z</dcterms:modified>
</cp:coreProperties>
</file>