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2060"/>
  <w:body>
    <w:p w14:paraId="11C2B342" w14:textId="1D1556BF" w:rsidR="0095382D" w:rsidRDefault="009A2264">
      <w:r>
        <w:rPr>
          <w:noProof/>
        </w:rPr>
        <mc:AlternateContent>
          <mc:Choice Requires="wps">
            <w:drawing>
              <wp:anchor distT="0" distB="0" distL="114300" distR="114300" simplePos="0" relativeHeight="251667456" behindDoc="0" locked="0" layoutInCell="1" allowOverlap="1" wp14:anchorId="44D0092E" wp14:editId="672AAB6F">
                <wp:simplePos x="0" y="0"/>
                <wp:positionH relativeFrom="page">
                  <wp:posOffset>51206</wp:posOffset>
                </wp:positionH>
                <wp:positionV relativeFrom="paragraph">
                  <wp:posOffset>3866083</wp:posOffset>
                </wp:positionV>
                <wp:extent cx="3734461" cy="6307455"/>
                <wp:effectExtent l="0" t="0" r="18415" b="17145"/>
                <wp:wrapNone/>
                <wp:docPr id="125103655" name="Rectangle 1"/>
                <wp:cNvGraphicFramePr/>
                <a:graphic xmlns:a="http://schemas.openxmlformats.org/drawingml/2006/main">
                  <a:graphicData uri="http://schemas.microsoft.com/office/word/2010/wordprocessingShape">
                    <wps:wsp>
                      <wps:cNvSpPr/>
                      <wps:spPr>
                        <a:xfrm>
                          <a:off x="0" y="0"/>
                          <a:ext cx="3734461" cy="630745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41A3B" id="Rectangle 1" o:spid="_x0000_s1026" style="position:absolute;margin-left:4.05pt;margin-top:304.4pt;width:294.05pt;height:496.6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" fillcolor="#f2f2f2 [3052]" strokecolor="#030e13 [484]" strokeweight="1pt">
                <w10:wrap anchorx="page"/>
              </v:rect>
            </w:pict>
          </mc:Fallback>
        </mc:AlternateContent>
      </w:r>
      <w:r>
        <w:rPr>
          <w:noProof/>
        </w:rPr>
        <mc:AlternateContent>
          <mc:Choice Requires="wps">
            <w:drawing>
              <wp:anchor distT="0" distB="0" distL="114300" distR="114300" simplePos="0" relativeHeight="251661312" behindDoc="0" locked="0" layoutInCell="1" allowOverlap="1" wp14:anchorId="2CAE11B3" wp14:editId="29036F06">
                <wp:simplePos x="0" y="0"/>
                <wp:positionH relativeFrom="page">
                  <wp:posOffset>57150</wp:posOffset>
                </wp:positionH>
                <wp:positionV relativeFrom="paragraph">
                  <wp:posOffset>590550</wp:posOffset>
                </wp:positionV>
                <wp:extent cx="7448550" cy="1581785"/>
                <wp:effectExtent l="0" t="0" r="19050" b="18415"/>
                <wp:wrapNone/>
                <wp:docPr id="1739497842" name="Rectangle 1"/>
                <wp:cNvGraphicFramePr/>
                <a:graphic xmlns:a="http://schemas.openxmlformats.org/drawingml/2006/main">
                  <a:graphicData uri="http://schemas.microsoft.com/office/word/2010/wordprocessingShape">
                    <wps:wsp>
                      <wps:cNvSpPr/>
                      <wps:spPr>
                        <a:xfrm>
                          <a:off x="0" y="0"/>
                          <a:ext cx="7448550" cy="1581785"/>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69DC5" id="Rectangle 1" o:spid="_x0000_s1026" style="position:absolute;margin-left:4.5pt;margin-top:46.5pt;width:586.5pt;height:124.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" fillcolor="#f2f2f2 [3052]" strokecolor="#030e13 [484]" strokeweight="1pt">
                <w10:wrap anchorx="page"/>
              </v:rect>
            </w:pict>
          </mc:Fallback>
        </mc:AlternateContent>
      </w:r>
      <w:r>
        <w:rPr>
          <w:noProof/>
        </w:rPr>
        <mc:AlternateContent>
          <mc:Choice Requires="wps">
            <w:drawing>
              <wp:anchor distT="0" distB="0" distL="114300" distR="114300" simplePos="0" relativeHeight="251737088" behindDoc="0" locked="0" layoutInCell="1" allowOverlap="1" wp14:anchorId="1616A01E" wp14:editId="70237BD3">
                <wp:simplePos x="0" y="0"/>
                <wp:positionH relativeFrom="page">
                  <wp:posOffset>3794760</wp:posOffset>
                </wp:positionH>
                <wp:positionV relativeFrom="paragraph">
                  <wp:posOffset>975360</wp:posOffset>
                </wp:positionV>
                <wp:extent cx="3657600" cy="1330434"/>
                <wp:effectExtent l="0" t="0" r="0" b="3175"/>
                <wp:wrapNone/>
                <wp:docPr id="1341819798" name="Text Box 6"/>
                <wp:cNvGraphicFramePr/>
                <a:graphic xmlns:a="http://schemas.openxmlformats.org/drawingml/2006/main">
                  <a:graphicData uri="http://schemas.microsoft.com/office/word/2010/wordprocessingShape">
                    <wps:wsp>
                      <wps:cNvSpPr txBox="1"/>
                      <wps:spPr>
                        <a:xfrm>
                          <a:off x="0" y="0"/>
                          <a:ext cx="3657600" cy="1330434"/>
                        </a:xfrm>
                        <a:prstGeom prst="rect">
                          <a:avLst/>
                        </a:prstGeom>
                        <a:noFill/>
                        <a:ln w="6350">
                          <a:noFill/>
                        </a:ln>
                      </wps:spPr>
                      <wps:txbx>
                        <w:txbxContent>
                          <w:p w14:paraId="2D5F07AD" w14:textId="7972F97E" w:rsidR="002B2593" w:rsidRPr="00532A85" w:rsidRDefault="00532A85" w:rsidP="00532A85">
                            <w:pPr>
                              <w:spacing w:line="240" w:lineRule="auto"/>
                              <w:jc w:val="both"/>
                              <w:rPr>
                                <w:rFonts w:ascii="Arial" w:hAnsi="Arial" w:cs="Arial"/>
                                <w:sz w:val="16"/>
                                <w:szCs w:val="16"/>
                              </w:rPr>
                            </w:pPr>
                            <w:r w:rsidRPr="00532A85">
                              <w:rPr>
                                <w:rFonts w:ascii="Arial" w:hAnsi="Arial" w:cs="Arial"/>
                                <w:sz w:val="18"/>
                                <w:szCs w:val="18"/>
                              </w:rPr>
                              <w:t>Deloitte UK also struggles to fully integrate ESG principles amid rising regulatory pressure, especially from frameworks such as the EU CSRD (Deloitte, 2025). Concerns about ESG-washing and delays in adopting mandatory UK sustainability standards weaken organisational transparency (Dasinapa, 2024). To meet client expectations and regulatory scrutiny, Deloitte UK must strengthen ESG implementation and improve accountability and reporting quality (Yusof and Azis,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16A01E" id="_x0000_t202" coordsize="21600,21600" o:spt="202" path="m,l,21600r21600,l21600,xe">
                <v:stroke joinstyle="miter"/>
                <v:path gradientshapeok="t" o:connecttype="rect"/>
              </v:shapetype>
              <v:shape id="Text Box 6" o:spid="_x0000_s1026" type="#_x0000_t202" style="position:absolute;margin-left:298.8pt;margin-top:76.8pt;width:4in;height:104.7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" filled="f" stroked="f" strokeweight=".5pt">
                <v:textbox>
                  <w:txbxContent>
                    <w:p w14:paraId="2D5F07AD" w14:textId="7972F97E" w:rsidR="002B2593" w:rsidRPr="00532A85" w:rsidRDefault="00532A85" w:rsidP="00532A85">
                      <w:pPr>
                        <w:spacing w:line="240" w:lineRule="auto"/>
                        <w:jc w:val="both"/>
                        <w:rPr>
                          <w:rFonts w:ascii="Arial" w:hAnsi="Arial" w:cs="Arial"/>
                          <w:sz w:val="16"/>
                          <w:szCs w:val="16"/>
                        </w:rPr>
                      </w:pPr>
                      <w:r w:rsidRPr="00532A85">
                        <w:rPr>
                          <w:rFonts w:ascii="Arial" w:hAnsi="Arial" w:cs="Arial"/>
                          <w:sz w:val="18"/>
                          <w:szCs w:val="18"/>
                        </w:rPr>
                        <w:t>Deloitte UK also struggles to fully integrate ESG principles amid rising regulatory pressure, especially from frameworks such as the EU CSRD (Deloitte, 2025). Concerns about ESG-washing and delays in adopting mandatory UK sustainability standards weaken organisational transparency (Dasinapa, 2024). To meet client expectations and regulatory scrutiny, Deloitte UK must strengthen ESG implementation and improve accountability and reporting quality (Yusof and Azis, 2024).</w:t>
                      </w:r>
                    </w:p>
                  </w:txbxContent>
                </v:textbox>
                <w10:wrap anchorx="page"/>
              </v:shape>
            </w:pict>
          </mc:Fallback>
        </mc:AlternateContent>
      </w:r>
      <w:r>
        <w:rPr>
          <w:noProof/>
        </w:rPr>
        <mc:AlternateContent>
          <mc:Choice Requires="wps">
            <w:drawing>
              <wp:anchor distT="0" distB="0" distL="114300" distR="114300" simplePos="0" relativeHeight="251735040" behindDoc="0" locked="0" layoutInCell="1" allowOverlap="1" wp14:anchorId="66DEABB2" wp14:editId="5B528F09">
                <wp:simplePos x="0" y="0"/>
                <wp:positionH relativeFrom="page">
                  <wp:posOffset>38100</wp:posOffset>
                </wp:positionH>
                <wp:positionV relativeFrom="paragraph">
                  <wp:posOffset>895350</wp:posOffset>
                </wp:positionV>
                <wp:extent cx="3705225" cy="1341997"/>
                <wp:effectExtent l="0" t="0" r="0" b="0"/>
                <wp:wrapNone/>
                <wp:docPr id="1496281372" name="Text Box 6"/>
                <wp:cNvGraphicFramePr/>
                <a:graphic xmlns:a="http://schemas.openxmlformats.org/drawingml/2006/main">
                  <a:graphicData uri="http://schemas.microsoft.com/office/word/2010/wordprocessingShape">
                    <wps:wsp>
                      <wps:cNvSpPr txBox="1"/>
                      <wps:spPr>
                        <a:xfrm>
                          <a:off x="0" y="0"/>
                          <a:ext cx="3705225" cy="1341997"/>
                        </a:xfrm>
                        <a:prstGeom prst="rect">
                          <a:avLst/>
                        </a:prstGeom>
                        <a:noFill/>
                        <a:ln w="6350">
                          <a:noFill/>
                        </a:ln>
                      </wps:spPr>
                      <wps:txbx>
                        <w:txbxContent>
                          <w:p w14:paraId="65F52533" w14:textId="097D556E" w:rsidR="002B2593" w:rsidRPr="00532A85" w:rsidRDefault="00532A85" w:rsidP="00532A85">
                            <w:pPr>
                              <w:spacing w:line="240" w:lineRule="auto"/>
                              <w:jc w:val="both"/>
                              <w:rPr>
                                <w:rFonts w:ascii="Arial" w:hAnsi="Arial" w:cs="Arial"/>
                                <w:sz w:val="18"/>
                                <w:szCs w:val="18"/>
                              </w:rPr>
                            </w:pPr>
                            <w:r w:rsidRPr="00532A85">
                              <w:rPr>
                                <w:rFonts w:ascii="Arial" w:hAnsi="Arial" w:cs="Arial"/>
                                <w:sz w:val="18"/>
                                <w:szCs w:val="18"/>
                              </w:rPr>
                              <w:t>Deloitte UK faces persistent talent retention challenges driven by burnout, long working hours, and inadequate employee development opportunities (Andalib, 2024). Consulting-sector burnout affects nearly half of employees and directly increases turnover (BCG, 2024). Recent layoffs linked to the global consulting slowdown have further reduced employee confidence (Yahoo Finance, 2025). To this end, competition for AI and tech skills intensifies retention difficulties, underscoring the need for stronger HRM practices and wellbeing support (Eaglehill Consulting,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EABB2" id="_x0000_s1027" type="#_x0000_t202" style="position:absolute;margin-left:3pt;margin-top:70.5pt;width:291.75pt;height:105.6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" filled="f" stroked="f" strokeweight=".5pt">
                <v:textbox>
                  <w:txbxContent>
                    <w:p w14:paraId="65F52533" w14:textId="097D556E" w:rsidR="002B2593" w:rsidRPr="00532A85" w:rsidRDefault="00532A85" w:rsidP="00532A85">
                      <w:pPr>
                        <w:spacing w:line="240" w:lineRule="auto"/>
                        <w:jc w:val="both"/>
                        <w:rPr>
                          <w:rFonts w:ascii="Arial" w:hAnsi="Arial" w:cs="Arial"/>
                          <w:sz w:val="18"/>
                          <w:szCs w:val="18"/>
                        </w:rPr>
                      </w:pPr>
                      <w:r w:rsidRPr="00532A85">
                        <w:rPr>
                          <w:rFonts w:ascii="Arial" w:hAnsi="Arial" w:cs="Arial"/>
                          <w:sz w:val="18"/>
                          <w:szCs w:val="18"/>
                        </w:rPr>
                        <w:t>Deloitte UK faces persistent talent retention challenges driven by burnout, long working hours, and inadequate employee development opportunities (Andalib, 2024). Consulting-sector burnout affects nearly half of employees and directly increases turnover (BCG, 2024). Recent layoffs linked to the global consulting slowdown have further reduced employee confidence (Yahoo Finance, 2025). To this end, competition for AI and tech skills intensifies retention difficulties, underscoring the need for stronger HRM practices and wellbeing support (Eaglehill Consulting, 2024).</w:t>
                      </w:r>
                    </w:p>
                  </w:txbxContent>
                </v:textbox>
                <w10:wrap anchorx="page"/>
              </v:shape>
            </w:pict>
          </mc:Fallback>
        </mc:AlternateContent>
      </w:r>
      <w:r w:rsidR="00A64093">
        <w:rPr>
          <w:noProof/>
        </w:rPr>
        <mc:AlternateContent>
          <mc:Choice Requires="wps">
            <w:drawing>
              <wp:anchor distT="0" distB="0" distL="114300" distR="114300" simplePos="0" relativeHeight="251762688" behindDoc="0" locked="0" layoutInCell="1" allowOverlap="1" wp14:anchorId="1A4EB875" wp14:editId="690CE7F1">
                <wp:simplePos x="0" y="0"/>
                <wp:positionH relativeFrom="page">
                  <wp:posOffset>3816824</wp:posOffset>
                </wp:positionH>
                <wp:positionV relativeFrom="paragraph">
                  <wp:posOffset>8109045</wp:posOffset>
                </wp:positionV>
                <wp:extent cx="3679190" cy="2057096"/>
                <wp:effectExtent l="0" t="0" r="16510" b="19685"/>
                <wp:wrapNone/>
                <wp:docPr id="1324634710" name="Rectangle 1"/>
                <wp:cNvGraphicFramePr/>
                <a:graphic xmlns:a="http://schemas.openxmlformats.org/drawingml/2006/main">
                  <a:graphicData uri="http://schemas.microsoft.com/office/word/2010/wordprocessingShape">
                    <wps:wsp>
                      <wps:cNvSpPr/>
                      <wps:spPr>
                        <a:xfrm>
                          <a:off x="0" y="0"/>
                          <a:ext cx="3679190" cy="2057096"/>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2BD98" id="Rectangle 1" o:spid="_x0000_s1026" style="position:absolute;margin-left:300.55pt;margin-top:638.5pt;width:289.7pt;height:162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" fillcolor="#f2f2f2 [3052]" strokecolor="#030e13 [484]" strokeweight="1pt">
                <w10:wrap anchorx="page"/>
              </v:rect>
            </w:pict>
          </mc:Fallback>
        </mc:AlternateContent>
      </w:r>
      <w:r w:rsidR="00A64093">
        <w:rPr>
          <w:noProof/>
        </w:rPr>
        <mc:AlternateContent>
          <mc:Choice Requires="wps">
            <w:drawing>
              <wp:anchor distT="0" distB="0" distL="114300" distR="114300" simplePos="0" relativeHeight="251765760" behindDoc="0" locked="0" layoutInCell="1" allowOverlap="1" wp14:anchorId="0B5A2B86" wp14:editId="7B56F530">
                <wp:simplePos x="0" y="0"/>
                <wp:positionH relativeFrom="margin">
                  <wp:posOffset>3325486</wp:posOffset>
                </wp:positionH>
                <wp:positionV relativeFrom="paragraph">
                  <wp:posOffset>8065466</wp:posOffset>
                </wp:positionV>
                <wp:extent cx="1209174" cy="269240"/>
                <wp:effectExtent l="0" t="0" r="0" b="0"/>
                <wp:wrapNone/>
                <wp:docPr id="793208376" name="Text Box 6"/>
                <wp:cNvGraphicFramePr/>
                <a:graphic xmlns:a="http://schemas.openxmlformats.org/drawingml/2006/main">
                  <a:graphicData uri="http://schemas.microsoft.com/office/word/2010/wordprocessingShape">
                    <wps:wsp>
                      <wps:cNvSpPr txBox="1"/>
                      <wps:spPr>
                        <a:xfrm>
                          <a:off x="0" y="0"/>
                          <a:ext cx="1209174" cy="269240"/>
                        </a:xfrm>
                        <a:prstGeom prst="rect">
                          <a:avLst/>
                        </a:prstGeom>
                        <a:noFill/>
                        <a:ln w="6350">
                          <a:noFill/>
                        </a:ln>
                      </wps:spPr>
                      <wps:txbx>
                        <w:txbxContent>
                          <w:p w14:paraId="655C5D97" w14:textId="3FD42DC4" w:rsidR="001D59F4" w:rsidRPr="00B21C94" w:rsidRDefault="001D59F4">
                            <w:pPr>
                              <w:rPr>
                                <w:rFonts w:ascii="Arial" w:hAnsi="Arial" w:cs="Arial"/>
                                <w:color w:val="501549" w:themeColor="accent5" w:themeShade="80"/>
                              </w:rPr>
                            </w:pPr>
                            <w:r>
                              <w:rPr>
                                <w:rFonts w:ascii="Arial" w:hAnsi="Arial" w:cs="Arial"/>
                                <w:b/>
                                <w:bCs/>
                                <w:color w:val="501549" w:themeColor="accent5" w:themeShade="80"/>
                              </w:rPr>
                              <w:t>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5A2B86" id="_x0000_t202" coordsize="21600,21600" o:spt="202" path="m,l,21600r21600,l21600,xe">
                <v:stroke joinstyle="miter"/>
                <v:path gradientshapeok="t" o:connecttype="rect"/>
              </v:shapetype>
              <v:shape id="Text Box 6" o:spid="_x0000_s1026" type="#_x0000_t202" style="position:absolute;margin-left:261.85pt;margin-top:635.1pt;width:95.2pt;height:21.2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" filled="f" stroked="f" strokeweight=".5pt">
                <v:textbox>
                  <w:txbxContent>
                    <w:p w14:paraId="655C5D97" w14:textId="3FD42DC4" w:rsidR="001D59F4" w:rsidRPr="00B21C94" w:rsidRDefault="001D59F4">
                      <w:pPr>
                        <w:rPr>
                          <w:rFonts w:ascii="Arial" w:hAnsi="Arial" w:cs="Arial"/>
                          <w:color w:val="501549" w:themeColor="accent5" w:themeShade="80"/>
                        </w:rPr>
                      </w:pPr>
                      <w:r>
                        <w:rPr>
                          <w:rFonts w:ascii="Arial" w:hAnsi="Arial" w:cs="Arial"/>
                          <w:b/>
                          <w:bCs/>
                          <w:color w:val="501549" w:themeColor="accent5" w:themeShade="80"/>
                        </w:rPr>
                        <w:t>References</w:t>
                      </w:r>
                    </w:p>
                  </w:txbxContent>
                </v:textbox>
                <w10:wrap anchorx="margin"/>
              </v:shape>
            </w:pict>
          </mc:Fallback>
        </mc:AlternateContent>
      </w:r>
      <w:r w:rsidR="00A64093">
        <w:rPr>
          <w:noProof/>
        </w:rPr>
        <mc:AlternateContent>
          <mc:Choice Requires="wps">
            <w:drawing>
              <wp:anchor distT="0" distB="0" distL="114300" distR="114300" simplePos="0" relativeHeight="251763712" behindDoc="0" locked="0" layoutInCell="1" allowOverlap="1" wp14:anchorId="1892BA63" wp14:editId="0A053385">
                <wp:simplePos x="0" y="0"/>
                <wp:positionH relativeFrom="page">
                  <wp:posOffset>3782269</wp:posOffset>
                </wp:positionH>
                <wp:positionV relativeFrom="paragraph">
                  <wp:posOffset>8252839</wp:posOffset>
                </wp:positionV>
                <wp:extent cx="3671316" cy="2097024"/>
                <wp:effectExtent l="0" t="0" r="0" b="0"/>
                <wp:wrapNone/>
                <wp:docPr id="2104855405" name="Text Box 6"/>
                <wp:cNvGraphicFramePr/>
                <a:graphic xmlns:a="http://schemas.openxmlformats.org/drawingml/2006/main">
                  <a:graphicData uri="http://schemas.microsoft.com/office/word/2010/wordprocessingShape">
                    <wps:wsp>
                      <wps:cNvSpPr txBox="1"/>
                      <wps:spPr>
                        <a:xfrm>
                          <a:off x="0" y="0"/>
                          <a:ext cx="3671316" cy="2097024"/>
                        </a:xfrm>
                        <a:prstGeom prst="rect">
                          <a:avLst/>
                        </a:prstGeom>
                        <a:noFill/>
                        <a:ln w="6350">
                          <a:noFill/>
                        </a:ln>
                      </wps:spPr>
                      <wps:txbx>
                        <w:txbxContent>
                          <w:p w14:paraId="5F526110" w14:textId="6BF0F119"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Andalib, T.W. (2024). Effect of human resource management practices on employee retention of Deloitte Bangladesh Ltd. Bracu.ac.bd, [online] 14(23). </w:t>
                            </w:r>
                            <w:proofErr w:type="spellStart"/>
                            <w:r w:rsidRPr="00A64093">
                              <w:rPr>
                                <w:rFonts w:ascii="Arial" w:hAnsi="Arial" w:cs="Arial"/>
                                <w:sz w:val="10"/>
                                <w:szCs w:val="10"/>
                              </w:rPr>
                              <w:t>doi:</w:t>
                            </w:r>
                            <w:hyperlink r:id="rId5" w:history="1">
                              <w:r w:rsidRPr="00A64093">
                                <w:rPr>
                                  <w:rStyle w:val="Hyperlink"/>
                                  <w:rFonts w:ascii="Arial" w:hAnsi="Arial" w:cs="Arial"/>
                                  <w:sz w:val="10"/>
                                  <w:szCs w:val="10"/>
                                </w:rPr>
                                <w:t>https</w:t>
                              </w:r>
                              <w:proofErr w:type="spellEnd"/>
                              <w:r w:rsidRPr="00A64093">
                                <w:rPr>
                                  <w:rStyle w:val="Hyperlink"/>
                                  <w:rFonts w:ascii="Arial" w:hAnsi="Arial" w:cs="Arial"/>
                                  <w:sz w:val="10"/>
                                  <w:szCs w:val="10"/>
                                </w:rPr>
                                <w:t>://doi.org/ID%2021264001</w:t>
                              </w:r>
                            </w:hyperlink>
                            <w:r w:rsidRPr="00A64093">
                              <w:rPr>
                                <w:rFonts w:ascii="Arial" w:hAnsi="Arial" w:cs="Arial"/>
                                <w:sz w:val="10"/>
                                <w:szCs w:val="10"/>
                              </w:rPr>
                              <w:t>.</w:t>
                            </w:r>
                          </w:p>
                          <w:p w14:paraId="6DE45212" w14:textId="60ACE7C0"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BCG (2024). Half of Workers Around the World Are Struggling with Burnout. [online] BCG Global. Available at: </w:t>
                            </w:r>
                            <w:hyperlink r:id="rId6" w:history="1">
                              <w:r w:rsidRPr="00A64093">
                                <w:rPr>
                                  <w:rStyle w:val="Hyperlink"/>
                                  <w:rFonts w:ascii="Arial" w:hAnsi="Arial" w:cs="Arial"/>
                                  <w:sz w:val="10"/>
                                  <w:szCs w:val="10"/>
                                </w:rPr>
                                <w:t>https://www.bcg.com/press/11june2024-half-of-workers-around-the-world-struggling-with-burnout</w:t>
                              </w:r>
                            </w:hyperlink>
                            <w:r w:rsidRPr="00A64093">
                              <w:rPr>
                                <w:rFonts w:ascii="Arial" w:hAnsi="Arial" w:cs="Arial"/>
                                <w:sz w:val="10"/>
                                <w:szCs w:val="10"/>
                              </w:rPr>
                              <w:t xml:space="preserve"> [Accessed 22 Nov. 2025].</w:t>
                            </w:r>
                          </w:p>
                          <w:p w14:paraId="4A737E37" w14:textId="1B01E33C"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Dasinapa, M.B. (2024). The Integration of Sustainability and ESG Accounting into Corporate Reporting Practices. Advances In Applied Accounting Research, 2(1), pp.13–25. </w:t>
                            </w:r>
                            <w:proofErr w:type="spellStart"/>
                            <w:r w:rsidRPr="00A64093">
                              <w:rPr>
                                <w:rFonts w:ascii="Arial" w:hAnsi="Arial" w:cs="Arial"/>
                                <w:sz w:val="10"/>
                                <w:szCs w:val="10"/>
                              </w:rPr>
                              <w:t>doi:</w:t>
                            </w:r>
                            <w:hyperlink r:id="rId7" w:history="1">
                              <w:r w:rsidRPr="00A64093">
                                <w:rPr>
                                  <w:rStyle w:val="Hyperlink"/>
                                  <w:rFonts w:ascii="Arial" w:hAnsi="Arial" w:cs="Arial"/>
                                  <w:sz w:val="10"/>
                                  <w:szCs w:val="10"/>
                                </w:rPr>
                                <w:t>https</w:t>
                              </w:r>
                              <w:proofErr w:type="spellEnd"/>
                              <w:r w:rsidRPr="00A64093">
                                <w:rPr>
                                  <w:rStyle w:val="Hyperlink"/>
                                  <w:rFonts w:ascii="Arial" w:hAnsi="Arial" w:cs="Arial"/>
                                  <w:sz w:val="10"/>
                                  <w:szCs w:val="10"/>
                                </w:rPr>
                                <w:t>://doi.org/10.60079/aaar.v2i1.167</w:t>
                              </w:r>
                            </w:hyperlink>
                            <w:r w:rsidRPr="00A64093">
                              <w:rPr>
                                <w:rFonts w:ascii="Arial" w:hAnsi="Arial" w:cs="Arial"/>
                                <w:sz w:val="10"/>
                                <w:szCs w:val="10"/>
                              </w:rPr>
                              <w:t>.</w:t>
                            </w:r>
                          </w:p>
                          <w:p w14:paraId="50B0F368" w14:textId="081D5B0D"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Deloitte (2025). Environmental, Social &amp; Governance. [online] Deloitte Insights. Available at: </w:t>
                            </w:r>
                            <w:hyperlink r:id="rId8" w:history="1">
                              <w:r w:rsidRPr="00A64093">
                                <w:rPr>
                                  <w:rStyle w:val="Hyperlink"/>
                                  <w:rFonts w:ascii="Arial" w:hAnsi="Arial" w:cs="Arial"/>
                                  <w:sz w:val="10"/>
                                  <w:szCs w:val="10"/>
                                </w:rPr>
                                <w:t>https://www.deloitte.com/us/en/insights/topics/environmental-social-governance.html</w:t>
                              </w:r>
                            </w:hyperlink>
                            <w:r w:rsidRPr="00A64093">
                              <w:rPr>
                                <w:rFonts w:ascii="Arial" w:hAnsi="Arial" w:cs="Arial"/>
                                <w:sz w:val="10"/>
                                <w:szCs w:val="10"/>
                              </w:rPr>
                              <w:t xml:space="preserve"> [Accessed 22 Nov. 2025].</w:t>
                            </w:r>
                          </w:p>
                          <w:p w14:paraId="1DE19162" w14:textId="62ED31C0"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Deloitte UK (2025a). Deloitte UK Press Release: Sustainability Reporting Insights. [online] Available at: </w:t>
                            </w:r>
                            <w:hyperlink r:id="rId9" w:history="1">
                              <w:r w:rsidRPr="00A64093">
                                <w:rPr>
                                  <w:rStyle w:val="Hyperlink"/>
                                  <w:rFonts w:ascii="Arial" w:hAnsi="Arial" w:cs="Arial"/>
                                  <w:sz w:val="10"/>
                                  <w:szCs w:val="10"/>
                                </w:rPr>
                                <w:t>https://www.deloitte.com/uk/en/about/press-room/deloitte-uk-financial-results.html</w:t>
                              </w:r>
                            </w:hyperlink>
                            <w:r w:rsidRPr="00A64093">
                              <w:rPr>
                                <w:rFonts w:ascii="Arial" w:hAnsi="Arial" w:cs="Arial"/>
                                <w:sz w:val="10"/>
                                <w:szCs w:val="10"/>
                              </w:rPr>
                              <w:t xml:space="preserve"> [Accessed 23 Nov. 2025].</w:t>
                            </w:r>
                          </w:p>
                          <w:p w14:paraId="5D820646" w14:textId="6F6DB472"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Department for Education (2024). Skills shortages in the UK economy 2024 Evidence Summary. [online] Available at: </w:t>
                            </w:r>
                            <w:hyperlink r:id="rId10" w:history="1">
                              <w:r w:rsidRPr="00A64093">
                                <w:rPr>
                                  <w:rStyle w:val="Hyperlink"/>
                                  <w:rFonts w:ascii="Arial" w:hAnsi="Arial" w:cs="Arial"/>
                                  <w:sz w:val="10"/>
                                  <w:szCs w:val="10"/>
                                </w:rPr>
                                <w:t>https://www.edge.co.uk/documents/480/DD1279_-_Skills_shortages_bulletin_summary_2024_FINAL.pdf</w:t>
                              </w:r>
                            </w:hyperlink>
                            <w:r w:rsidRPr="00A64093">
                              <w:rPr>
                                <w:rFonts w:ascii="Arial" w:hAnsi="Arial" w:cs="Arial"/>
                                <w:sz w:val="10"/>
                                <w:szCs w:val="10"/>
                              </w:rPr>
                              <w:t xml:space="preserve"> [Accessed 23 Nov. 2025].</w:t>
                            </w:r>
                          </w:p>
                          <w:p w14:paraId="173655D5" w14:textId="31D62547"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Eaglehill Consulting (2024). The state of worker burnout: 2023. [online] Available at: https://www.eaglehillconsulting.com/insights/worker-burnout/ [Accessed 22 Nov. 2025].Edge Foundation (2023). The Open University Business Barometer 2023. [online] Available at: </w:t>
                            </w:r>
                            <w:hyperlink r:id="rId11" w:history="1">
                              <w:r w:rsidRPr="00A64093">
                                <w:rPr>
                                  <w:rStyle w:val="Hyperlink"/>
                                  <w:rFonts w:ascii="Arial" w:hAnsi="Arial" w:cs="Arial"/>
                                  <w:sz w:val="10"/>
                                  <w:szCs w:val="10"/>
                                </w:rPr>
                                <w:t>https://www.britishchambers.org.uk/wp-content/uploads/2024/06/The_Open_University_Business_Barometer_2024.pdf</w:t>
                              </w:r>
                            </w:hyperlink>
                            <w:r w:rsidRPr="00A64093">
                              <w:rPr>
                                <w:rFonts w:ascii="Arial" w:hAnsi="Arial" w:cs="Arial"/>
                                <w:sz w:val="10"/>
                                <w:szCs w:val="10"/>
                              </w:rPr>
                              <w:t xml:space="preserve"> [Accessed 23 Nov. 2025].</w:t>
                            </w:r>
                          </w:p>
                          <w:p w14:paraId="2EA11875" w14:textId="1E2F928F"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Yahoo Finance (2025). Deloitte lays off employees in US consulting division. [online] Yahoo Finance. Available at: </w:t>
                            </w:r>
                            <w:hyperlink r:id="rId12" w:history="1">
                              <w:r w:rsidRPr="00A64093">
                                <w:rPr>
                                  <w:rStyle w:val="Hyperlink"/>
                                  <w:rFonts w:ascii="Arial" w:hAnsi="Arial" w:cs="Arial"/>
                                  <w:sz w:val="10"/>
                                  <w:szCs w:val="10"/>
                                </w:rPr>
                                <w:t>https://finance.yahoo.com/news/deloitte-lays-off-employees-us-103139738.html [</w:t>
                              </w:r>
                            </w:hyperlink>
                            <w:r w:rsidRPr="00A64093">
                              <w:rPr>
                                <w:rFonts w:ascii="Arial" w:hAnsi="Arial" w:cs="Arial"/>
                                <w:sz w:val="10"/>
                                <w:szCs w:val="10"/>
                              </w:rPr>
                              <w:t>Accessed 22 Nov. 2025].</w:t>
                            </w:r>
                          </w:p>
                          <w:p w14:paraId="73F33FB6" w14:textId="0F2885EC" w:rsidR="008A3F95" w:rsidRPr="00A64093" w:rsidRDefault="00A64093" w:rsidP="00A64093">
                            <w:pPr>
                              <w:spacing w:after="0"/>
                              <w:jc w:val="both"/>
                              <w:rPr>
                                <w:rFonts w:ascii="Arial" w:hAnsi="Arial" w:cs="Arial"/>
                                <w:sz w:val="10"/>
                                <w:szCs w:val="10"/>
                              </w:rPr>
                            </w:pPr>
                            <w:r w:rsidRPr="00A64093">
                              <w:rPr>
                                <w:rFonts w:ascii="Arial" w:hAnsi="Arial" w:cs="Arial"/>
                                <w:sz w:val="10"/>
                                <w:szCs w:val="10"/>
                              </w:rPr>
                              <w:t xml:space="preserve">Yusof, S. and Azis, S. (2024). Internal auditors’ role in addressing ESG reporting challenges at Deloitte India / Suraya Yusof and </w:t>
                            </w:r>
                            <w:proofErr w:type="spellStart"/>
                            <w:r w:rsidRPr="00A64093">
                              <w:rPr>
                                <w:rFonts w:ascii="Arial" w:hAnsi="Arial" w:cs="Arial"/>
                                <w:sz w:val="10"/>
                                <w:szCs w:val="10"/>
                              </w:rPr>
                              <w:t>Saflina</w:t>
                            </w:r>
                            <w:proofErr w:type="spellEnd"/>
                            <w:r w:rsidRPr="00A64093">
                              <w:rPr>
                                <w:rFonts w:ascii="Arial" w:hAnsi="Arial" w:cs="Arial"/>
                                <w:sz w:val="10"/>
                                <w:szCs w:val="10"/>
                              </w:rPr>
                              <w:t xml:space="preserve"> Azis  - UiTM Institutional Repository. Uitm.edu.my, [online] 42(23). </w:t>
                            </w:r>
                            <w:proofErr w:type="spellStart"/>
                            <w:r w:rsidRPr="00A64093">
                              <w:rPr>
                                <w:rFonts w:ascii="Arial" w:hAnsi="Arial" w:cs="Arial"/>
                                <w:sz w:val="10"/>
                                <w:szCs w:val="10"/>
                              </w:rPr>
                              <w:t>doi:</w:t>
                            </w:r>
                            <w:hyperlink r:id="rId13" w:history="1">
                              <w:r w:rsidRPr="00A64093">
                                <w:rPr>
                                  <w:rStyle w:val="Hyperlink"/>
                                  <w:rFonts w:ascii="Arial" w:hAnsi="Arial" w:cs="Arial"/>
                                  <w:sz w:val="10"/>
                                  <w:szCs w:val="10"/>
                                </w:rPr>
                                <w:t>https</w:t>
                              </w:r>
                              <w:proofErr w:type="spellEnd"/>
                              <w:r w:rsidRPr="00A64093">
                                <w:rPr>
                                  <w:rStyle w:val="Hyperlink"/>
                                  <w:rFonts w:ascii="Arial" w:hAnsi="Arial" w:cs="Arial"/>
                                  <w:sz w:val="10"/>
                                  <w:szCs w:val="10"/>
                                </w:rPr>
                                <w:t>://ir.uitm.edu.my/id/</w:t>
                              </w:r>
                              <w:proofErr w:type="spellStart"/>
                              <w:r w:rsidRPr="00A64093">
                                <w:rPr>
                                  <w:rStyle w:val="Hyperlink"/>
                                  <w:rFonts w:ascii="Arial" w:hAnsi="Arial" w:cs="Arial"/>
                                  <w:sz w:val="10"/>
                                  <w:szCs w:val="10"/>
                                </w:rPr>
                                <w:t>eprint</w:t>
                              </w:r>
                              <w:proofErr w:type="spellEnd"/>
                              <w:r w:rsidRPr="00A64093">
                                <w:rPr>
                                  <w:rStyle w:val="Hyperlink"/>
                                  <w:rFonts w:ascii="Arial" w:hAnsi="Arial" w:cs="Arial"/>
                                  <w:sz w:val="10"/>
                                  <w:szCs w:val="10"/>
                                </w:rPr>
                                <w:t>/105739/1/105739.pdf.</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2BA63" id="_x0000_s1027" type="#_x0000_t202" style="position:absolute;margin-left:297.8pt;margin-top:649.85pt;width:289.1pt;height:165.1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" filled="f" stroked="f" strokeweight=".5pt">
                <v:textbox>
                  <w:txbxContent>
                    <w:p w14:paraId="5F526110" w14:textId="6BF0F119"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Andalib, T.W. (2024). Effect of human resource management practices on employee retention of Deloitte Bangladesh Ltd. Bracu.ac.bd, [online] 14(23). </w:t>
                      </w:r>
                      <w:proofErr w:type="spellStart"/>
                      <w:r w:rsidRPr="00A64093">
                        <w:rPr>
                          <w:rFonts w:ascii="Arial" w:hAnsi="Arial" w:cs="Arial"/>
                          <w:sz w:val="10"/>
                          <w:szCs w:val="10"/>
                        </w:rPr>
                        <w:t>doi:</w:t>
                      </w:r>
                      <w:hyperlink r:id="rId14" w:history="1">
                        <w:r w:rsidRPr="00A64093">
                          <w:rPr>
                            <w:rStyle w:val="Hyperlink"/>
                            <w:rFonts w:ascii="Arial" w:hAnsi="Arial" w:cs="Arial"/>
                            <w:sz w:val="10"/>
                            <w:szCs w:val="10"/>
                          </w:rPr>
                          <w:t>https</w:t>
                        </w:r>
                        <w:proofErr w:type="spellEnd"/>
                        <w:r w:rsidRPr="00A64093">
                          <w:rPr>
                            <w:rStyle w:val="Hyperlink"/>
                            <w:rFonts w:ascii="Arial" w:hAnsi="Arial" w:cs="Arial"/>
                            <w:sz w:val="10"/>
                            <w:szCs w:val="10"/>
                          </w:rPr>
                          <w:t>://doi.org/ID%2021264001</w:t>
                        </w:r>
                      </w:hyperlink>
                      <w:r w:rsidRPr="00A64093">
                        <w:rPr>
                          <w:rFonts w:ascii="Arial" w:hAnsi="Arial" w:cs="Arial"/>
                          <w:sz w:val="10"/>
                          <w:szCs w:val="10"/>
                        </w:rPr>
                        <w:t>.</w:t>
                      </w:r>
                    </w:p>
                    <w:p w14:paraId="6DE45212" w14:textId="60ACE7C0"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BCG (2024). Half of Workers Around the World Are Struggling with Burnout. [online] BCG Global. Available at: </w:t>
                      </w:r>
                      <w:hyperlink r:id="rId15" w:history="1">
                        <w:r w:rsidRPr="00A64093">
                          <w:rPr>
                            <w:rStyle w:val="Hyperlink"/>
                            <w:rFonts w:ascii="Arial" w:hAnsi="Arial" w:cs="Arial"/>
                            <w:sz w:val="10"/>
                            <w:szCs w:val="10"/>
                          </w:rPr>
                          <w:t>https://www.bcg.com/press/11june2024-half-of-workers-around-the-world-struggling-with-burnout</w:t>
                        </w:r>
                      </w:hyperlink>
                      <w:r w:rsidRPr="00A64093">
                        <w:rPr>
                          <w:rFonts w:ascii="Arial" w:hAnsi="Arial" w:cs="Arial"/>
                          <w:sz w:val="10"/>
                          <w:szCs w:val="10"/>
                        </w:rPr>
                        <w:t xml:space="preserve"> [Accessed 22 Nov. 2025].</w:t>
                      </w:r>
                    </w:p>
                    <w:p w14:paraId="4A737E37" w14:textId="1B01E33C"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Dasinapa, M.B. (2024). The Integration of Sustainability and ESG Accounting into Corporate Reporting Practices. Advances In Applied Accounting Research, 2(1), pp.13–25. </w:t>
                      </w:r>
                      <w:proofErr w:type="spellStart"/>
                      <w:r w:rsidRPr="00A64093">
                        <w:rPr>
                          <w:rFonts w:ascii="Arial" w:hAnsi="Arial" w:cs="Arial"/>
                          <w:sz w:val="10"/>
                          <w:szCs w:val="10"/>
                        </w:rPr>
                        <w:t>doi:</w:t>
                      </w:r>
                      <w:hyperlink r:id="rId16" w:history="1">
                        <w:r w:rsidRPr="00A64093">
                          <w:rPr>
                            <w:rStyle w:val="Hyperlink"/>
                            <w:rFonts w:ascii="Arial" w:hAnsi="Arial" w:cs="Arial"/>
                            <w:sz w:val="10"/>
                            <w:szCs w:val="10"/>
                          </w:rPr>
                          <w:t>https</w:t>
                        </w:r>
                        <w:proofErr w:type="spellEnd"/>
                        <w:r w:rsidRPr="00A64093">
                          <w:rPr>
                            <w:rStyle w:val="Hyperlink"/>
                            <w:rFonts w:ascii="Arial" w:hAnsi="Arial" w:cs="Arial"/>
                            <w:sz w:val="10"/>
                            <w:szCs w:val="10"/>
                          </w:rPr>
                          <w:t>://doi.org/10.60079/aaar.v2i1.167</w:t>
                        </w:r>
                      </w:hyperlink>
                      <w:r w:rsidRPr="00A64093">
                        <w:rPr>
                          <w:rFonts w:ascii="Arial" w:hAnsi="Arial" w:cs="Arial"/>
                          <w:sz w:val="10"/>
                          <w:szCs w:val="10"/>
                        </w:rPr>
                        <w:t>.</w:t>
                      </w:r>
                    </w:p>
                    <w:p w14:paraId="50B0F368" w14:textId="081D5B0D"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Deloitte (2025). Environmental, Social &amp; Governance. [online] Deloitte Insights. Available at: </w:t>
                      </w:r>
                      <w:hyperlink r:id="rId17" w:history="1">
                        <w:r w:rsidRPr="00A64093">
                          <w:rPr>
                            <w:rStyle w:val="Hyperlink"/>
                            <w:rFonts w:ascii="Arial" w:hAnsi="Arial" w:cs="Arial"/>
                            <w:sz w:val="10"/>
                            <w:szCs w:val="10"/>
                          </w:rPr>
                          <w:t>https://www.deloitte.com/us/en/insights/topics/environmental-social-governance.html</w:t>
                        </w:r>
                      </w:hyperlink>
                      <w:r w:rsidRPr="00A64093">
                        <w:rPr>
                          <w:rFonts w:ascii="Arial" w:hAnsi="Arial" w:cs="Arial"/>
                          <w:sz w:val="10"/>
                          <w:szCs w:val="10"/>
                        </w:rPr>
                        <w:t xml:space="preserve"> [Accessed 22 Nov. 2025].</w:t>
                      </w:r>
                    </w:p>
                    <w:p w14:paraId="1DE19162" w14:textId="62ED31C0"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Deloitte UK (2025a). Deloitte UK Press Release: Sustainability Reporting Insights. [online] Available at: </w:t>
                      </w:r>
                      <w:hyperlink r:id="rId18" w:history="1">
                        <w:r w:rsidRPr="00A64093">
                          <w:rPr>
                            <w:rStyle w:val="Hyperlink"/>
                            <w:rFonts w:ascii="Arial" w:hAnsi="Arial" w:cs="Arial"/>
                            <w:sz w:val="10"/>
                            <w:szCs w:val="10"/>
                          </w:rPr>
                          <w:t>https://www.deloitte.com/uk/en/about/press-room/deloitte-uk-financial-results.html</w:t>
                        </w:r>
                      </w:hyperlink>
                      <w:r w:rsidRPr="00A64093">
                        <w:rPr>
                          <w:rFonts w:ascii="Arial" w:hAnsi="Arial" w:cs="Arial"/>
                          <w:sz w:val="10"/>
                          <w:szCs w:val="10"/>
                        </w:rPr>
                        <w:t xml:space="preserve"> [Accessed 23 Nov. 2025].</w:t>
                      </w:r>
                    </w:p>
                    <w:p w14:paraId="5D820646" w14:textId="6F6DB472"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Department for Education (2024). Skills shortages in the UK economy 2024 Evidence Summary. [online] Available at: </w:t>
                      </w:r>
                      <w:hyperlink r:id="rId19" w:history="1">
                        <w:r w:rsidRPr="00A64093">
                          <w:rPr>
                            <w:rStyle w:val="Hyperlink"/>
                            <w:rFonts w:ascii="Arial" w:hAnsi="Arial" w:cs="Arial"/>
                            <w:sz w:val="10"/>
                            <w:szCs w:val="10"/>
                          </w:rPr>
                          <w:t>https://www.edge.co.uk/documents/480/DD1279_-_Skills_shortages_bulletin_summary_2024_FINAL.pdf</w:t>
                        </w:r>
                      </w:hyperlink>
                      <w:r w:rsidRPr="00A64093">
                        <w:rPr>
                          <w:rFonts w:ascii="Arial" w:hAnsi="Arial" w:cs="Arial"/>
                          <w:sz w:val="10"/>
                          <w:szCs w:val="10"/>
                        </w:rPr>
                        <w:t xml:space="preserve"> [Accessed 23 Nov. 2025].</w:t>
                      </w:r>
                    </w:p>
                    <w:p w14:paraId="173655D5" w14:textId="31D62547"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Eaglehill Consulting (2024). The state of worker burnout: 2023. [online] Available at: https://www.eaglehillconsulting.com/insights/worker-burnout/ [Accessed 22 Nov. 2025].Edge Foundation (2023). The Open University Business Barometer 2023. [online] Available at: </w:t>
                      </w:r>
                      <w:hyperlink r:id="rId20" w:history="1">
                        <w:r w:rsidRPr="00A64093">
                          <w:rPr>
                            <w:rStyle w:val="Hyperlink"/>
                            <w:rFonts w:ascii="Arial" w:hAnsi="Arial" w:cs="Arial"/>
                            <w:sz w:val="10"/>
                            <w:szCs w:val="10"/>
                          </w:rPr>
                          <w:t>https://www.britishchambers.org.uk/wp-content/uploads/2024/06/The_Open_University_Business_Barometer_2024.pdf</w:t>
                        </w:r>
                      </w:hyperlink>
                      <w:r w:rsidRPr="00A64093">
                        <w:rPr>
                          <w:rFonts w:ascii="Arial" w:hAnsi="Arial" w:cs="Arial"/>
                          <w:sz w:val="10"/>
                          <w:szCs w:val="10"/>
                        </w:rPr>
                        <w:t xml:space="preserve"> [Accessed 23 Nov. 2025].</w:t>
                      </w:r>
                    </w:p>
                    <w:p w14:paraId="2EA11875" w14:textId="1E2F928F" w:rsidR="00A64093" w:rsidRDefault="00A64093" w:rsidP="00A64093">
                      <w:pPr>
                        <w:spacing w:after="0"/>
                        <w:jc w:val="both"/>
                        <w:rPr>
                          <w:rFonts w:ascii="Arial" w:hAnsi="Arial" w:cs="Arial"/>
                          <w:sz w:val="10"/>
                          <w:szCs w:val="10"/>
                        </w:rPr>
                      </w:pPr>
                      <w:r w:rsidRPr="00A64093">
                        <w:rPr>
                          <w:rFonts w:ascii="Arial" w:hAnsi="Arial" w:cs="Arial"/>
                          <w:sz w:val="10"/>
                          <w:szCs w:val="10"/>
                        </w:rPr>
                        <w:t xml:space="preserve">Yahoo Finance (2025). Deloitte lays off employees in US consulting division. [online] Yahoo Finance. Available at: </w:t>
                      </w:r>
                      <w:hyperlink r:id="rId21" w:history="1">
                        <w:r w:rsidRPr="00A64093">
                          <w:rPr>
                            <w:rStyle w:val="Hyperlink"/>
                            <w:rFonts w:ascii="Arial" w:hAnsi="Arial" w:cs="Arial"/>
                            <w:sz w:val="10"/>
                            <w:szCs w:val="10"/>
                          </w:rPr>
                          <w:t>https://finance.yahoo.com/news/deloitte-lays-off-employees-us-103139738.html [</w:t>
                        </w:r>
                      </w:hyperlink>
                      <w:r w:rsidRPr="00A64093">
                        <w:rPr>
                          <w:rFonts w:ascii="Arial" w:hAnsi="Arial" w:cs="Arial"/>
                          <w:sz w:val="10"/>
                          <w:szCs w:val="10"/>
                        </w:rPr>
                        <w:t>Accessed 22 Nov. 2025].</w:t>
                      </w:r>
                    </w:p>
                    <w:p w14:paraId="73F33FB6" w14:textId="0F2885EC" w:rsidR="008A3F95" w:rsidRPr="00A64093" w:rsidRDefault="00A64093" w:rsidP="00A64093">
                      <w:pPr>
                        <w:spacing w:after="0"/>
                        <w:jc w:val="both"/>
                        <w:rPr>
                          <w:rFonts w:ascii="Arial" w:hAnsi="Arial" w:cs="Arial"/>
                          <w:sz w:val="10"/>
                          <w:szCs w:val="10"/>
                        </w:rPr>
                      </w:pPr>
                      <w:r w:rsidRPr="00A64093">
                        <w:rPr>
                          <w:rFonts w:ascii="Arial" w:hAnsi="Arial" w:cs="Arial"/>
                          <w:sz w:val="10"/>
                          <w:szCs w:val="10"/>
                        </w:rPr>
                        <w:t xml:space="preserve">Yusof, S. and Azis, S. (2024). Internal auditors’ role in addressing ESG reporting challenges at Deloitte India / Suraya Yusof and </w:t>
                      </w:r>
                      <w:proofErr w:type="spellStart"/>
                      <w:r w:rsidRPr="00A64093">
                        <w:rPr>
                          <w:rFonts w:ascii="Arial" w:hAnsi="Arial" w:cs="Arial"/>
                          <w:sz w:val="10"/>
                          <w:szCs w:val="10"/>
                        </w:rPr>
                        <w:t>Saflina</w:t>
                      </w:r>
                      <w:proofErr w:type="spellEnd"/>
                      <w:r w:rsidRPr="00A64093">
                        <w:rPr>
                          <w:rFonts w:ascii="Arial" w:hAnsi="Arial" w:cs="Arial"/>
                          <w:sz w:val="10"/>
                          <w:szCs w:val="10"/>
                        </w:rPr>
                        <w:t xml:space="preserve"> Azis  - UiTM Institutional Repository. Uitm.edu.my, [online] 42(23). </w:t>
                      </w:r>
                      <w:proofErr w:type="spellStart"/>
                      <w:r w:rsidRPr="00A64093">
                        <w:rPr>
                          <w:rFonts w:ascii="Arial" w:hAnsi="Arial" w:cs="Arial"/>
                          <w:sz w:val="10"/>
                          <w:szCs w:val="10"/>
                        </w:rPr>
                        <w:t>doi:</w:t>
                      </w:r>
                      <w:hyperlink r:id="rId22" w:history="1">
                        <w:r w:rsidRPr="00A64093">
                          <w:rPr>
                            <w:rStyle w:val="Hyperlink"/>
                            <w:rFonts w:ascii="Arial" w:hAnsi="Arial" w:cs="Arial"/>
                            <w:sz w:val="10"/>
                            <w:szCs w:val="10"/>
                          </w:rPr>
                          <w:t>https</w:t>
                        </w:r>
                        <w:proofErr w:type="spellEnd"/>
                        <w:r w:rsidRPr="00A64093">
                          <w:rPr>
                            <w:rStyle w:val="Hyperlink"/>
                            <w:rFonts w:ascii="Arial" w:hAnsi="Arial" w:cs="Arial"/>
                            <w:sz w:val="10"/>
                            <w:szCs w:val="10"/>
                          </w:rPr>
                          <w:t>://ir.uitm.edu.my/id/</w:t>
                        </w:r>
                        <w:proofErr w:type="spellStart"/>
                        <w:r w:rsidRPr="00A64093">
                          <w:rPr>
                            <w:rStyle w:val="Hyperlink"/>
                            <w:rFonts w:ascii="Arial" w:hAnsi="Arial" w:cs="Arial"/>
                            <w:sz w:val="10"/>
                            <w:szCs w:val="10"/>
                          </w:rPr>
                          <w:t>eprint</w:t>
                        </w:r>
                        <w:proofErr w:type="spellEnd"/>
                        <w:r w:rsidRPr="00A64093">
                          <w:rPr>
                            <w:rStyle w:val="Hyperlink"/>
                            <w:rFonts w:ascii="Arial" w:hAnsi="Arial" w:cs="Arial"/>
                            <w:sz w:val="10"/>
                            <w:szCs w:val="10"/>
                          </w:rPr>
                          <w:t>/105739/1/105739.pdf.</w:t>
                        </w:r>
                      </w:hyperlink>
                    </w:p>
                  </w:txbxContent>
                </v:textbox>
                <w10:wrap anchorx="page"/>
              </v:shape>
            </w:pict>
          </mc:Fallback>
        </mc:AlternateContent>
      </w:r>
      <w:r w:rsidR="00A64093">
        <w:rPr>
          <w:noProof/>
        </w:rPr>
        <mc:AlternateContent>
          <mc:Choice Requires="wps">
            <w:drawing>
              <wp:anchor distT="0" distB="0" distL="114300" distR="114300" simplePos="0" relativeHeight="251756544" behindDoc="0" locked="0" layoutInCell="1" allowOverlap="1" wp14:anchorId="179FA3CD" wp14:editId="552961D4">
                <wp:simplePos x="0" y="0"/>
                <wp:positionH relativeFrom="page">
                  <wp:posOffset>3828288</wp:posOffset>
                </wp:positionH>
                <wp:positionV relativeFrom="paragraph">
                  <wp:posOffset>7333488</wp:posOffset>
                </wp:positionV>
                <wp:extent cx="3679190" cy="733679"/>
                <wp:effectExtent l="0" t="0" r="16510" b="28575"/>
                <wp:wrapNone/>
                <wp:docPr id="2026424541" name="Rectangle 1"/>
                <wp:cNvGraphicFramePr/>
                <a:graphic xmlns:a="http://schemas.openxmlformats.org/drawingml/2006/main">
                  <a:graphicData uri="http://schemas.microsoft.com/office/word/2010/wordprocessingShape">
                    <wps:wsp>
                      <wps:cNvSpPr/>
                      <wps:spPr>
                        <a:xfrm>
                          <a:off x="0" y="0"/>
                          <a:ext cx="3679190" cy="733679"/>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51F99" id="Rectangle 1" o:spid="_x0000_s1026" style="position:absolute;margin-left:301.45pt;margin-top:577.45pt;width:289.7pt;height:57.75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" fillcolor="#f2f2f2 [3052]" strokecolor="#030e13 [484]" strokeweight="1pt">
                <w10:wrap anchorx="page"/>
              </v:rect>
            </w:pict>
          </mc:Fallback>
        </mc:AlternateContent>
      </w:r>
      <w:r w:rsidR="00A64093">
        <w:rPr>
          <w:noProof/>
        </w:rPr>
        <mc:AlternateContent>
          <mc:Choice Requires="wps">
            <w:drawing>
              <wp:anchor distT="0" distB="0" distL="114300" distR="114300" simplePos="0" relativeHeight="251760640" behindDoc="0" locked="0" layoutInCell="1" allowOverlap="1" wp14:anchorId="3608DC13" wp14:editId="4361833D">
                <wp:simplePos x="0" y="0"/>
                <wp:positionH relativeFrom="page">
                  <wp:posOffset>3774567</wp:posOffset>
                </wp:positionH>
                <wp:positionV relativeFrom="paragraph">
                  <wp:posOffset>7449439</wp:posOffset>
                </wp:positionV>
                <wp:extent cx="3713268" cy="618067"/>
                <wp:effectExtent l="0" t="0" r="0" b="0"/>
                <wp:wrapNone/>
                <wp:docPr id="1193092311" name="Text Box 6"/>
                <wp:cNvGraphicFramePr/>
                <a:graphic xmlns:a="http://schemas.openxmlformats.org/drawingml/2006/main">
                  <a:graphicData uri="http://schemas.microsoft.com/office/word/2010/wordprocessingShape">
                    <wps:wsp>
                      <wps:cNvSpPr txBox="1"/>
                      <wps:spPr>
                        <a:xfrm>
                          <a:off x="0" y="0"/>
                          <a:ext cx="3713268" cy="618067"/>
                        </a:xfrm>
                        <a:prstGeom prst="rect">
                          <a:avLst/>
                        </a:prstGeom>
                        <a:noFill/>
                        <a:ln w="6350">
                          <a:noFill/>
                        </a:ln>
                      </wps:spPr>
                      <wps:txbx>
                        <w:txbxContent>
                          <w:p w14:paraId="39E9967E" w14:textId="7FF0009B" w:rsidR="001D59F4" w:rsidRPr="001D59F4" w:rsidRDefault="001D59F4" w:rsidP="001D59F4">
                            <w:pPr>
                              <w:spacing w:line="240" w:lineRule="auto"/>
                              <w:jc w:val="both"/>
                              <w:rPr>
                                <w:rFonts w:ascii="Arial" w:hAnsi="Arial" w:cs="Arial"/>
                                <w:sz w:val="16"/>
                                <w:szCs w:val="16"/>
                              </w:rPr>
                            </w:pPr>
                            <w:r w:rsidRPr="001D59F4">
                              <w:rPr>
                                <w:rFonts w:ascii="Arial" w:hAnsi="Arial" w:cs="Arial"/>
                                <w:sz w:val="18"/>
                                <w:szCs w:val="18"/>
                              </w:rPr>
                              <w:t>This research plan provides a structured, ethically grounded, and evidence-based framework for analysing Deloitte UK’s talent retention and ESG integration challenges, enabling the development of credible insights that support strategic organisational improvement.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8DC13" id="_x0000_s1028" type="#_x0000_t202" style="position:absolute;margin-left:297.2pt;margin-top:586.55pt;width:292.4pt;height:48.6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" filled="f" stroked="f" strokeweight=".5pt">
                <v:textbox>
                  <w:txbxContent>
                    <w:p w14:paraId="39E9967E" w14:textId="7FF0009B" w:rsidR="001D59F4" w:rsidRPr="001D59F4" w:rsidRDefault="001D59F4" w:rsidP="001D59F4">
                      <w:pPr>
                        <w:spacing w:line="240" w:lineRule="auto"/>
                        <w:jc w:val="both"/>
                        <w:rPr>
                          <w:rFonts w:ascii="Arial" w:hAnsi="Arial" w:cs="Arial"/>
                          <w:sz w:val="16"/>
                          <w:szCs w:val="16"/>
                        </w:rPr>
                      </w:pPr>
                      <w:r w:rsidRPr="001D59F4">
                        <w:rPr>
                          <w:rFonts w:ascii="Arial" w:hAnsi="Arial" w:cs="Arial"/>
                          <w:sz w:val="18"/>
                          <w:szCs w:val="18"/>
                        </w:rPr>
                        <w:t>This research plan provides a structured, ethically grounded, and evidence-based framework for analysing Deloitte UK’s talent retention and ESG integration challenges, enabling the development of credible insights that support strategic organisational improvement.</w:t>
                      </w:r>
                    </w:p>
                  </w:txbxContent>
                </v:textbox>
                <w10:wrap anchorx="page"/>
              </v:shape>
            </w:pict>
          </mc:Fallback>
        </mc:AlternateContent>
      </w:r>
      <w:r w:rsidR="00A64093">
        <w:rPr>
          <w:noProof/>
        </w:rPr>
        <mc:AlternateContent>
          <mc:Choice Requires="wps">
            <w:drawing>
              <wp:anchor distT="0" distB="0" distL="114300" distR="114300" simplePos="0" relativeHeight="251758592" behindDoc="0" locked="0" layoutInCell="1" allowOverlap="1" wp14:anchorId="78DE613C" wp14:editId="233505C9">
                <wp:simplePos x="0" y="0"/>
                <wp:positionH relativeFrom="margin">
                  <wp:posOffset>3321685</wp:posOffset>
                </wp:positionH>
                <wp:positionV relativeFrom="paragraph">
                  <wp:posOffset>7296912</wp:posOffset>
                </wp:positionV>
                <wp:extent cx="1209174" cy="269240"/>
                <wp:effectExtent l="0" t="0" r="0" b="0"/>
                <wp:wrapNone/>
                <wp:docPr id="1628740000" name="Text Box 6"/>
                <wp:cNvGraphicFramePr/>
                <a:graphic xmlns:a="http://schemas.openxmlformats.org/drawingml/2006/main">
                  <a:graphicData uri="http://schemas.microsoft.com/office/word/2010/wordprocessingShape">
                    <wps:wsp>
                      <wps:cNvSpPr txBox="1"/>
                      <wps:spPr>
                        <a:xfrm>
                          <a:off x="0" y="0"/>
                          <a:ext cx="1209174" cy="269240"/>
                        </a:xfrm>
                        <a:prstGeom prst="rect">
                          <a:avLst/>
                        </a:prstGeom>
                        <a:noFill/>
                        <a:ln w="6350">
                          <a:noFill/>
                        </a:ln>
                      </wps:spPr>
                      <wps:txbx>
                        <w:txbxContent>
                          <w:p w14:paraId="2286FDE4" w14:textId="73CEA3A4" w:rsidR="001D59F4" w:rsidRPr="00B21C94" w:rsidRDefault="001D59F4">
                            <w:pPr>
                              <w:rPr>
                                <w:rFonts w:ascii="Arial" w:hAnsi="Arial" w:cs="Arial"/>
                                <w:color w:val="501549" w:themeColor="accent5" w:themeShade="80"/>
                              </w:rPr>
                            </w:pPr>
                            <w:r>
                              <w:rPr>
                                <w:rFonts w:ascii="Arial" w:hAnsi="Arial" w:cs="Arial"/>
                                <w:b/>
                                <w:bCs/>
                                <w:color w:val="501549" w:themeColor="accent5" w:themeShade="80"/>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E613C" id="_x0000_s1029" type="#_x0000_t202" style="position:absolute;margin-left:261.55pt;margin-top:574.55pt;width:95.2pt;height:21.2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" filled="f" stroked="f" strokeweight=".5pt">
                <v:textbox>
                  <w:txbxContent>
                    <w:p w14:paraId="2286FDE4" w14:textId="73CEA3A4" w:rsidR="001D59F4" w:rsidRPr="00B21C94" w:rsidRDefault="001D59F4">
                      <w:pPr>
                        <w:rPr>
                          <w:rFonts w:ascii="Arial" w:hAnsi="Arial" w:cs="Arial"/>
                          <w:color w:val="501549" w:themeColor="accent5" w:themeShade="80"/>
                        </w:rPr>
                      </w:pPr>
                      <w:r>
                        <w:rPr>
                          <w:rFonts w:ascii="Arial" w:hAnsi="Arial" w:cs="Arial"/>
                          <w:b/>
                          <w:bCs/>
                          <w:color w:val="501549" w:themeColor="accent5" w:themeShade="80"/>
                        </w:rPr>
                        <w:t>Conclusion</w:t>
                      </w:r>
                    </w:p>
                  </w:txbxContent>
                </v:textbox>
                <w10:wrap anchorx="margin"/>
              </v:shape>
            </w:pict>
          </mc:Fallback>
        </mc:AlternateContent>
      </w:r>
      <w:r w:rsidR="00A64093">
        <w:rPr>
          <w:noProof/>
        </w:rPr>
        <mc:AlternateContent>
          <mc:Choice Requires="wps">
            <w:drawing>
              <wp:anchor distT="0" distB="0" distL="114300" distR="114300" simplePos="0" relativeHeight="251673600" behindDoc="0" locked="0" layoutInCell="1" allowOverlap="1" wp14:anchorId="16323B32" wp14:editId="6158A724">
                <wp:simplePos x="0" y="0"/>
                <wp:positionH relativeFrom="page">
                  <wp:posOffset>3828288</wp:posOffset>
                </wp:positionH>
                <wp:positionV relativeFrom="paragraph">
                  <wp:posOffset>6224016</wp:posOffset>
                </wp:positionV>
                <wp:extent cx="3679190" cy="1072642"/>
                <wp:effectExtent l="0" t="0" r="16510" b="13335"/>
                <wp:wrapNone/>
                <wp:docPr id="358243905" name="Rectangle 1"/>
                <wp:cNvGraphicFramePr/>
                <a:graphic xmlns:a="http://schemas.openxmlformats.org/drawingml/2006/main">
                  <a:graphicData uri="http://schemas.microsoft.com/office/word/2010/wordprocessingShape">
                    <wps:wsp>
                      <wps:cNvSpPr/>
                      <wps:spPr>
                        <a:xfrm>
                          <a:off x="0" y="0"/>
                          <a:ext cx="3679190" cy="1072642"/>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DD294C" id="Rectangle 1" o:spid="_x0000_s1026" style="position:absolute;margin-left:301.45pt;margin-top:490.1pt;width:289.7pt;height:84.4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" fillcolor="#f2f2f2 [3052]" strokecolor="#030e13 [484]" strokeweight="1pt">
                <w10:wrap anchorx="page"/>
              </v:rect>
            </w:pict>
          </mc:Fallback>
        </mc:AlternateContent>
      </w:r>
      <w:r w:rsidR="00A64093">
        <w:rPr>
          <w:noProof/>
        </w:rPr>
        <mc:AlternateContent>
          <mc:Choice Requires="wps">
            <w:drawing>
              <wp:anchor distT="0" distB="0" distL="114300" distR="114300" simplePos="0" relativeHeight="251712512" behindDoc="0" locked="0" layoutInCell="1" allowOverlap="1" wp14:anchorId="43E44863" wp14:editId="7315D6C0">
                <wp:simplePos x="0" y="0"/>
                <wp:positionH relativeFrom="page">
                  <wp:posOffset>3803904</wp:posOffset>
                </wp:positionH>
                <wp:positionV relativeFrom="paragraph">
                  <wp:posOffset>6419088</wp:posOffset>
                </wp:positionV>
                <wp:extent cx="3656330" cy="877824"/>
                <wp:effectExtent l="0" t="0" r="0" b="0"/>
                <wp:wrapNone/>
                <wp:docPr id="1794186421" name="Text Box 6"/>
                <wp:cNvGraphicFramePr/>
                <a:graphic xmlns:a="http://schemas.openxmlformats.org/drawingml/2006/main">
                  <a:graphicData uri="http://schemas.microsoft.com/office/word/2010/wordprocessingShape">
                    <wps:wsp>
                      <wps:cNvSpPr txBox="1"/>
                      <wps:spPr>
                        <a:xfrm>
                          <a:off x="0" y="0"/>
                          <a:ext cx="3656330" cy="877824"/>
                        </a:xfrm>
                        <a:prstGeom prst="rect">
                          <a:avLst/>
                        </a:prstGeom>
                        <a:noFill/>
                        <a:ln w="6350">
                          <a:noFill/>
                        </a:ln>
                      </wps:spPr>
                      <wps:txbx>
                        <w:txbxContent>
                          <w:p w14:paraId="44F34A1B" w14:textId="56990CE7" w:rsidR="008A3F95" w:rsidRPr="001D59F4" w:rsidRDefault="00B21C94" w:rsidP="00A64093">
                            <w:pPr>
                              <w:spacing w:line="240" w:lineRule="auto"/>
                              <w:jc w:val="both"/>
                              <w:rPr>
                                <w:rFonts w:ascii="Arial" w:hAnsi="Arial" w:cs="Arial"/>
                                <w:sz w:val="16"/>
                                <w:szCs w:val="16"/>
                              </w:rPr>
                            </w:pPr>
                            <w:r w:rsidRPr="001D59F4">
                              <w:rPr>
                                <w:rFonts w:ascii="Arial" w:hAnsi="Arial" w:cs="Arial"/>
                                <w:sz w:val="18"/>
                                <w:szCs w:val="18"/>
                              </w:rPr>
                              <w:t xml:space="preserve">Coming up with the synthesis of secondary data based on a variety of industry, regulatory, and academic sources was a challenge because of inconsistent reporting of ESG practices and different labour market measures. In order to solve this, cross-validation of information on various sources that were located in the UK was done to make it reliable and accurate.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44863" id="_x0000_s1030" type="#_x0000_t202" style="position:absolute;margin-left:299.5pt;margin-top:505.45pt;width:287.9pt;height:69.1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" filled="f" stroked="f" strokeweight=".5pt">
                <v:textbox>
                  <w:txbxContent>
                    <w:p w14:paraId="44F34A1B" w14:textId="56990CE7" w:rsidR="008A3F95" w:rsidRPr="001D59F4" w:rsidRDefault="00B21C94" w:rsidP="00A64093">
                      <w:pPr>
                        <w:spacing w:line="240" w:lineRule="auto"/>
                        <w:jc w:val="both"/>
                        <w:rPr>
                          <w:rFonts w:ascii="Arial" w:hAnsi="Arial" w:cs="Arial"/>
                          <w:sz w:val="16"/>
                          <w:szCs w:val="16"/>
                        </w:rPr>
                      </w:pPr>
                      <w:r w:rsidRPr="001D59F4">
                        <w:rPr>
                          <w:rFonts w:ascii="Arial" w:hAnsi="Arial" w:cs="Arial"/>
                          <w:sz w:val="18"/>
                          <w:szCs w:val="18"/>
                        </w:rPr>
                        <w:t xml:space="preserve">Coming up with the synthesis of secondary data based on a variety of industry, regulatory, and academic </w:t>
                      </w:r>
                      <w:r w:rsidRPr="001D59F4">
                        <w:rPr>
                          <w:rFonts w:ascii="Arial" w:hAnsi="Arial" w:cs="Arial"/>
                          <w:sz w:val="18"/>
                          <w:szCs w:val="18"/>
                        </w:rPr>
                        <w:t>sources</w:t>
                      </w:r>
                      <w:r w:rsidRPr="001D59F4">
                        <w:rPr>
                          <w:rFonts w:ascii="Arial" w:hAnsi="Arial" w:cs="Arial"/>
                          <w:sz w:val="18"/>
                          <w:szCs w:val="18"/>
                        </w:rPr>
                        <w:t xml:space="preserve"> was a challenge because of inconsistent reporting of ESG practices and different labour market measures. In order to solve this, cross-validation of information on various sources that were located in the UK was done to make it reliable and accurate. </w:t>
                      </w:r>
                    </w:p>
                  </w:txbxContent>
                </v:textbox>
                <w10:wrap anchorx="page"/>
              </v:shape>
            </w:pict>
          </mc:Fallback>
        </mc:AlternateContent>
      </w:r>
      <w:r w:rsidR="001D59F4">
        <w:rPr>
          <w:noProof/>
        </w:rPr>
        <mc:AlternateContent>
          <mc:Choice Requires="wps">
            <w:drawing>
              <wp:anchor distT="0" distB="0" distL="114300" distR="114300" simplePos="0" relativeHeight="251750400" behindDoc="0" locked="0" layoutInCell="1" allowOverlap="1" wp14:anchorId="5E72BE97" wp14:editId="56B89192">
                <wp:simplePos x="0" y="0"/>
                <wp:positionH relativeFrom="column">
                  <wp:posOffset>5130800</wp:posOffset>
                </wp:positionH>
                <wp:positionV relativeFrom="paragraph">
                  <wp:posOffset>4893733</wp:posOffset>
                </wp:positionV>
                <wp:extent cx="1867535" cy="575734"/>
                <wp:effectExtent l="0" t="0" r="0" b="0"/>
                <wp:wrapNone/>
                <wp:docPr id="864186690" name="Text Box 35"/>
                <wp:cNvGraphicFramePr/>
                <a:graphic xmlns:a="http://schemas.openxmlformats.org/drawingml/2006/main">
                  <a:graphicData uri="http://schemas.microsoft.com/office/word/2010/wordprocessingShape">
                    <wps:wsp>
                      <wps:cNvSpPr txBox="1"/>
                      <wps:spPr>
                        <a:xfrm>
                          <a:off x="0" y="0"/>
                          <a:ext cx="1867535" cy="575734"/>
                        </a:xfrm>
                        <a:prstGeom prst="rect">
                          <a:avLst/>
                        </a:prstGeom>
                        <a:noFill/>
                        <a:ln w="6350">
                          <a:noFill/>
                        </a:ln>
                      </wps:spPr>
                      <wps:txbx>
                        <w:txbxContent>
                          <w:p w14:paraId="2AAFD710" w14:textId="77777777" w:rsidR="002155C7" w:rsidRPr="001D59F4" w:rsidRDefault="002155C7" w:rsidP="002155C7">
                            <w:pPr>
                              <w:spacing w:after="0"/>
                              <w:jc w:val="both"/>
                              <w:rPr>
                                <w:rStyle w:val="Heading1Char"/>
                                <w:rFonts w:ascii="Arial" w:hAnsi="Arial" w:cs="Arial"/>
                                <w:color w:val="000000" w:themeColor="text1"/>
                                <w:sz w:val="10"/>
                                <w:szCs w:val="10"/>
                              </w:rPr>
                            </w:pPr>
                            <w:r w:rsidRPr="001D59F4">
                              <w:rPr>
                                <w:rStyle w:val="Heading1Char"/>
                                <w:rFonts w:ascii="Arial" w:hAnsi="Arial" w:cs="Arial"/>
                                <w:b/>
                                <w:bCs/>
                                <w:color w:val="000000" w:themeColor="text1"/>
                                <w:sz w:val="10"/>
                                <w:szCs w:val="10"/>
                              </w:rPr>
                              <w:t xml:space="preserve">Figure 4: </w:t>
                            </w:r>
                            <w:r w:rsidRPr="001D59F4">
                              <w:rPr>
                                <w:rStyle w:val="Heading1Char"/>
                                <w:rFonts w:ascii="Arial" w:hAnsi="Arial" w:cs="Arial"/>
                                <w:color w:val="000000" w:themeColor="text1"/>
                                <w:sz w:val="10"/>
                                <w:szCs w:val="10"/>
                              </w:rPr>
                              <w:t>FTSE 100 companies with ESG restatements in 2025 (46%) compared with companies without restatements (54%). Among restatements, 77% were due to greenhouse gas (GHG) emission metric adjustments.</w:t>
                            </w:r>
                          </w:p>
                          <w:p w14:paraId="795D8822" w14:textId="380EC3E7" w:rsidR="002155C7" w:rsidRPr="002155C7" w:rsidRDefault="002155C7" w:rsidP="002155C7">
                            <w:pPr>
                              <w:jc w:val="both"/>
                              <w:rPr>
                                <w:rFonts w:ascii="Arial" w:eastAsiaTheme="majorEastAsia" w:hAnsi="Arial" w:cs="Arial"/>
                                <w:color w:val="000000" w:themeColor="text1"/>
                                <w:sz w:val="8"/>
                                <w:szCs w:val="8"/>
                              </w:rPr>
                            </w:pPr>
                            <w:r w:rsidRPr="002155C7">
                              <w:rPr>
                                <w:rFonts w:ascii="Arial" w:eastAsiaTheme="majorEastAsia" w:hAnsi="Arial" w:cs="Arial"/>
                                <w:i/>
                                <w:iCs/>
                                <w:color w:val="000000" w:themeColor="text1"/>
                                <w:sz w:val="8"/>
                                <w:szCs w:val="8"/>
                              </w:rPr>
                              <w:t>Source: Deloitte UK (2025</w:t>
                            </w:r>
                            <w:r w:rsidR="0065075B">
                              <w:rPr>
                                <w:rFonts w:ascii="Arial" w:eastAsiaTheme="majorEastAsia" w:hAnsi="Arial" w:cs="Arial"/>
                                <w:i/>
                                <w:iCs/>
                                <w:color w:val="000000" w:themeColor="text1"/>
                                <w:sz w:val="8"/>
                                <w:szCs w:val="8"/>
                              </w:rPr>
                              <w:t>b</w:t>
                            </w:r>
                            <w:r w:rsidRPr="002155C7">
                              <w:rPr>
                                <w:rFonts w:ascii="Arial" w:eastAsiaTheme="majorEastAsia" w:hAnsi="Arial" w:cs="Arial"/>
                                <w:i/>
                                <w:iCs/>
                                <w:color w:val="000000" w:themeColor="text1"/>
                                <w:sz w:val="8"/>
                                <w:szCs w:val="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2BE97" id="Text Box 35" o:spid="_x0000_s1031" type="#_x0000_t202" style="position:absolute;margin-left:404pt;margin-top:385.35pt;width:147.05pt;height:45.3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" filled="f" stroked="f" strokeweight=".5pt">
                <v:textbox>
                  <w:txbxContent>
                    <w:p w14:paraId="2AAFD710" w14:textId="77777777" w:rsidR="002155C7" w:rsidRPr="001D59F4" w:rsidRDefault="002155C7" w:rsidP="002155C7">
                      <w:pPr>
                        <w:spacing w:after="0"/>
                        <w:jc w:val="both"/>
                        <w:rPr>
                          <w:rStyle w:val="Heading1Char"/>
                          <w:rFonts w:ascii="Arial" w:hAnsi="Arial" w:cs="Arial"/>
                          <w:color w:val="000000" w:themeColor="text1"/>
                          <w:sz w:val="10"/>
                          <w:szCs w:val="10"/>
                        </w:rPr>
                      </w:pPr>
                      <w:r w:rsidRPr="001D59F4">
                        <w:rPr>
                          <w:rStyle w:val="Heading1Char"/>
                          <w:rFonts w:ascii="Arial" w:hAnsi="Arial" w:cs="Arial"/>
                          <w:b/>
                          <w:bCs/>
                          <w:color w:val="000000" w:themeColor="text1"/>
                          <w:sz w:val="10"/>
                          <w:szCs w:val="10"/>
                        </w:rPr>
                        <w:t xml:space="preserve">Figure 4: </w:t>
                      </w:r>
                      <w:r w:rsidRPr="001D59F4">
                        <w:rPr>
                          <w:rStyle w:val="Heading1Char"/>
                          <w:rFonts w:ascii="Arial" w:hAnsi="Arial" w:cs="Arial"/>
                          <w:color w:val="000000" w:themeColor="text1"/>
                          <w:sz w:val="10"/>
                          <w:szCs w:val="10"/>
                        </w:rPr>
                        <w:t>FTSE 100 companies with ESG restatements in 2025 (46%) compared with companies without restatements (54%). Among restatements, 77% were due to greenhouse gas (GHG) emission metric adjustments.</w:t>
                      </w:r>
                    </w:p>
                    <w:p w14:paraId="795D8822" w14:textId="380EC3E7" w:rsidR="002155C7" w:rsidRPr="002155C7" w:rsidRDefault="002155C7" w:rsidP="002155C7">
                      <w:pPr>
                        <w:jc w:val="both"/>
                        <w:rPr>
                          <w:rFonts w:ascii="Arial" w:eastAsiaTheme="majorEastAsia" w:hAnsi="Arial" w:cs="Arial"/>
                          <w:color w:val="000000" w:themeColor="text1"/>
                          <w:sz w:val="8"/>
                          <w:szCs w:val="8"/>
                        </w:rPr>
                      </w:pPr>
                      <w:r w:rsidRPr="002155C7">
                        <w:rPr>
                          <w:rFonts w:ascii="Arial" w:eastAsiaTheme="majorEastAsia" w:hAnsi="Arial" w:cs="Arial"/>
                          <w:i/>
                          <w:iCs/>
                          <w:color w:val="000000" w:themeColor="text1"/>
                          <w:sz w:val="8"/>
                          <w:szCs w:val="8"/>
                        </w:rPr>
                        <w:t>Source: Deloitte UK (2025</w:t>
                      </w:r>
                      <w:r w:rsidR="0065075B">
                        <w:rPr>
                          <w:rFonts w:ascii="Arial" w:eastAsiaTheme="majorEastAsia" w:hAnsi="Arial" w:cs="Arial"/>
                          <w:i/>
                          <w:iCs/>
                          <w:color w:val="000000" w:themeColor="text1"/>
                          <w:sz w:val="8"/>
                          <w:szCs w:val="8"/>
                        </w:rPr>
                        <w:t>b</w:t>
                      </w:r>
                      <w:r w:rsidRPr="002155C7">
                        <w:rPr>
                          <w:rFonts w:ascii="Arial" w:eastAsiaTheme="majorEastAsia" w:hAnsi="Arial" w:cs="Arial"/>
                          <w:i/>
                          <w:iCs/>
                          <w:color w:val="000000" w:themeColor="text1"/>
                          <w:sz w:val="8"/>
                          <w:szCs w:val="8"/>
                        </w:rPr>
                        <w:t>).</w:t>
                      </w:r>
                    </w:p>
                  </w:txbxContent>
                </v:textbox>
              </v:shape>
            </w:pict>
          </mc:Fallback>
        </mc:AlternateContent>
      </w:r>
      <w:r w:rsidR="001D59F4">
        <w:rPr>
          <w:noProof/>
        </w:rPr>
        <w:drawing>
          <wp:anchor distT="0" distB="0" distL="114300" distR="114300" simplePos="0" relativeHeight="251743232" behindDoc="0" locked="0" layoutInCell="1" allowOverlap="1" wp14:anchorId="1485E05F" wp14:editId="174A6A05">
            <wp:simplePos x="0" y="0"/>
            <wp:positionH relativeFrom="column">
              <wp:posOffset>5088467</wp:posOffset>
            </wp:positionH>
            <wp:positionV relativeFrom="paragraph">
              <wp:posOffset>5215467</wp:posOffset>
            </wp:positionV>
            <wp:extent cx="1983105" cy="1058545"/>
            <wp:effectExtent l="0" t="0" r="0" b="0"/>
            <wp:wrapNone/>
            <wp:docPr id="1698035305" name="Chart 1">
              <a:extLst xmlns:a="http://schemas.openxmlformats.org/drawingml/2006/main">
                <a:ext uri="{FF2B5EF4-FFF2-40B4-BE49-F238E27FC236}">
                  <a16:creationId xmlns:a16="http://schemas.microsoft.com/office/drawing/2014/main" id="{03D9B42F-D83D-AC2C-D0D2-DC80BC5EC3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sidR="00B21C94">
        <w:rPr>
          <w:noProof/>
        </w:rPr>
        <mc:AlternateContent>
          <mc:Choice Requires="wps">
            <w:drawing>
              <wp:anchor distT="0" distB="0" distL="114300" distR="114300" simplePos="0" relativeHeight="251739136" behindDoc="0" locked="0" layoutInCell="1" allowOverlap="1" wp14:anchorId="357446FE" wp14:editId="688122A1">
                <wp:simplePos x="0" y="0"/>
                <wp:positionH relativeFrom="column">
                  <wp:posOffset>-447463</wp:posOffset>
                </wp:positionH>
                <wp:positionV relativeFrom="paragraph">
                  <wp:posOffset>7825105</wp:posOffset>
                </wp:positionV>
                <wp:extent cx="3647267" cy="2611351"/>
                <wp:effectExtent l="0" t="0" r="0" b="0"/>
                <wp:wrapNone/>
                <wp:docPr id="1917730322" name="Text Box 34"/>
                <wp:cNvGraphicFramePr/>
                <a:graphic xmlns:a="http://schemas.openxmlformats.org/drawingml/2006/main">
                  <a:graphicData uri="http://schemas.microsoft.com/office/word/2010/wordprocessingShape">
                    <wps:wsp>
                      <wps:cNvSpPr txBox="1"/>
                      <wps:spPr>
                        <a:xfrm>
                          <a:off x="0" y="0"/>
                          <a:ext cx="3647267" cy="2611351"/>
                        </a:xfrm>
                        <a:prstGeom prst="rect">
                          <a:avLst/>
                        </a:prstGeom>
                        <a:noFill/>
                        <a:ln w="6350">
                          <a:noFill/>
                        </a:ln>
                      </wps:spPr>
                      <wps:txbx>
                        <w:txbxContent>
                          <w:p w14:paraId="57EE0088" w14:textId="59A2B456" w:rsidR="001B57E0" w:rsidRPr="001B57E0" w:rsidRDefault="001B57E0" w:rsidP="001B57E0">
                            <w:pPr>
                              <w:pStyle w:val="ListParagraph"/>
                              <w:numPr>
                                <w:ilvl w:val="0"/>
                                <w:numId w:val="2"/>
                              </w:numPr>
                              <w:spacing w:line="240" w:lineRule="auto"/>
                              <w:ind w:left="142" w:hanging="142"/>
                              <w:jc w:val="both"/>
                              <w:rPr>
                                <w:rFonts w:ascii="Arial" w:hAnsi="Arial" w:cs="Arial"/>
                                <w:sz w:val="18"/>
                                <w:szCs w:val="18"/>
                              </w:rPr>
                            </w:pPr>
                            <w:r w:rsidRPr="001B57E0">
                              <w:rPr>
                                <w:rFonts w:ascii="Arial" w:hAnsi="Arial" w:cs="Arial"/>
                                <w:sz w:val="18"/>
                                <w:szCs w:val="18"/>
                              </w:rPr>
                              <w:t>A qualitative secondary research design will be adopted which focuses on examining Deloitte UK’s talent retention and ESG integration challenges.</w:t>
                            </w:r>
                          </w:p>
                          <w:p w14:paraId="41EEACE2" w14:textId="1A5F0787" w:rsidR="001B57E0" w:rsidRPr="001B57E0" w:rsidRDefault="001B57E0" w:rsidP="001B57E0">
                            <w:pPr>
                              <w:pStyle w:val="ListParagraph"/>
                              <w:numPr>
                                <w:ilvl w:val="0"/>
                                <w:numId w:val="2"/>
                              </w:numPr>
                              <w:spacing w:before="240" w:line="240" w:lineRule="auto"/>
                              <w:ind w:left="142" w:hanging="142"/>
                              <w:jc w:val="both"/>
                              <w:rPr>
                                <w:rFonts w:ascii="Arial" w:hAnsi="Arial" w:cs="Arial"/>
                                <w:sz w:val="18"/>
                                <w:szCs w:val="18"/>
                              </w:rPr>
                            </w:pPr>
                            <w:r w:rsidRPr="001B57E0">
                              <w:rPr>
                                <w:rFonts w:ascii="Arial" w:hAnsi="Arial" w:cs="Arial"/>
                                <w:sz w:val="18"/>
                                <w:szCs w:val="18"/>
                              </w:rPr>
                              <w:t>An exploratory–descriptive approach is used to understand the organisational issues by analysing documented evidence from relevant sources</w:t>
                            </w:r>
                          </w:p>
                          <w:p w14:paraId="766DA4FB" w14:textId="2248BE87" w:rsidR="001B57E0" w:rsidRPr="001B57E0" w:rsidRDefault="001B57E0" w:rsidP="001B57E0">
                            <w:pPr>
                              <w:pStyle w:val="ListParagraph"/>
                              <w:numPr>
                                <w:ilvl w:val="0"/>
                                <w:numId w:val="2"/>
                              </w:numPr>
                              <w:spacing w:line="240" w:lineRule="auto"/>
                              <w:ind w:left="142" w:hanging="142"/>
                              <w:jc w:val="both"/>
                              <w:rPr>
                                <w:rFonts w:ascii="Arial" w:hAnsi="Arial" w:cs="Arial"/>
                                <w:sz w:val="18"/>
                                <w:szCs w:val="18"/>
                              </w:rPr>
                            </w:pPr>
                            <w:r w:rsidRPr="001B57E0">
                              <w:rPr>
                                <w:rFonts w:ascii="Arial" w:hAnsi="Arial" w:cs="Arial"/>
                                <w:sz w:val="18"/>
                                <w:szCs w:val="18"/>
                              </w:rPr>
                              <w:t>Data is collected from peer-reviewed journals (2019–2025), Deloitte Insights UK publications, Big Four industry reviews, ESG regulatory updates, and reputable business sources such as BCG, McKinsey, CIPD, and government publications.</w:t>
                            </w:r>
                          </w:p>
                          <w:p w14:paraId="675F2B3D" w14:textId="51ED3550" w:rsidR="001B57E0" w:rsidRPr="001B57E0" w:rsidRDefault="001B57E0" w:rsidP="001B57E0">
                            <w:pPr>
                              <w:pStyle w:val="ListParagraph"/>
                              <w:numPr>
                                <w:ilvl w:val="0"/>
                                <w:numId w:val="2"/>
                              </w:numPr>
                              <w:spacing w:line="240" w:lineRule="auto"/>
                              <w:ind w:left="142" w:hanging="142"/>
                              <w:jc w:val="both"/>
                              <w:rPr>
                                <w:rFonts w:ascii="Arial" w:hAnsi="Arial" w:cs="Arial"/>
                                <w:sz w:val="18"/>
                                <w:szCs w:val="18"/>
                              </w:rPr>
                            </w:pPr>
                            <w:r w:rsidRPr="001B57E0">
                              <w:rPr>
                                <w:rFonts w:ascii="Arial" w:hAnsi="Arial" w:cs="Arial"/>
                                <w:sz w:val="18"/>
                                <w:szCs w:val="18"/>
                              </w:rPr>
                              <w:t xml:space="preserve">A thematic analysis framework is applied to group findings into key themes (e.g., burnout, skills shortages, ESG compliance). </w:t>
                            </w:r>
                          </w:p>
                          <w:p w14:paraId="15EBDAB6" w14:textId="5B91C977" w:rsidR="001B57E0" w:rsidRPr="001B57E0" w:rsidRDefault="001B57E0" w:rsidP="001B57E0">
                            <w:pPr>
                              <w:pStyle w:val="ListParagraph"/>
                              <w:numPr>
                                <w:ilvl w:val="0"/>
                                <w:numId w:val="2"/>
                              </w:numPr>
                              <w:spacing w:after="0" w:line="240" w:lineRule="auto"/>
                              <w:ind w:left="142" w:hanging="142"/>
                              <w:jc w:val="both"/>
                              <w:rPr>
                                <w:rFonts w:ascii="Arial" w:hAnsi="Arial" w:cs="Arial"/>
                                <w:sz w:val="18"/>
                                <w:szCs w:val="18"/>
                              </w:rPr>
                            </w:pPr>
                            <w:r w:rsidRPr="001B57E0">
                              <w:rPr>
                                <w:rFonts w:ascii="Arial" w:hAnsi="Arial" w:cs="Arial"/>
                                <w:sz w:val="18"/>
                                <w:szCs w:val="18"/>
                              </w:rPr>
                              <w:t>Insights from UK-specific sources are cross-validated and synthesised to identify converging patterns, contradictions, and organisational implications, enabling evidence-based recommendations tailored specifically to Deloitte UK’s talent and ESG issues.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446FE" id="Text Box 34" o:spid="_x0000_s1032" type="#_x0000_t202" style="position:absolute;margin-left:-35.25pt;margin-top:616.15pt;width:287.2pt;height:205.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" filled="f" stroked="f" strokeweight=".5pt">
                <v:textbox>
                  <w:txbxContent>
                    <w:p w14:paraId="57EE0088" w14:textId="59A2B456" w:rsidR="001B57E0" w:rsidRPr="001B57E0" w:rsidRDefault="001B57E0" w:rsidP="001B57E0">
                      <w:pPr>
                        <w:pStyle w:val="ListParagraph"/>
                        <w:numPr>
                          <w:ilvl w:val="0"/>
                          <w:numId w:val="2"/>
                        </w:numPr>
                        <w:spacing w:line="240" w:lineRule="auto"/>
                        <w:ind w:left="142" w:hanging="142"/>
                        <w:jc w:val="both"/>
                        <w:rPr>
                          <w:rFonts w:ascii="Arial" w:hAnsi="Arial" w:cs="Arial"/>
                          <w:sz w:val="18"/>
                          <w:szCs w:val="18"/>
                        </w:rPr>
                      </w:pPr>
                      <w:r w:rsidRPr="001B57E0">
                        <w:rPr>
                          <w:rFonts w:ascii="Arial" w:hAnsi="Arial" w:cs="Arial"/>
                          <w:sz w:val="18"/>
                          <w:szCs w:val="18"/>
                        </w:rPr>
                        <w:t xml:space="preserve">A qualitative secondary research design </w:t>
                      </w:r>
                      <w:r w:rsidRPr="001B57E0">
                        <w:rPr>
                          <w:rFonts w:ascii="Arial" w:hAnsi="Arial" w:cs="Arial"/>
                          <w:sz w:val="18"/>
                          <w:szCs w:val="18"/>
                        </w:rPr>
                        <w:t xml:space="preserve">will be adopted which </w:t>
                      </w:r>
                      <w:r w:rsidRPr="001B57E0">
                        <w:rPr>
                          <w:rFonts w:ascii="Arial" w:hAnsi="Arial" w:cs="Arial"/>
                          <w:sz w:val="18"/>
                          <w:szCs w:val="18"/>
                        </w:rPr>
                        <w:t>focus</w:t>
                      </w:r>
                      <w:r w:rsidRPr="001B57E0">
                        <w:rPr>
                          <w:rFonts w:ascii="Arial" w:hAnsi="Arial" w:cs="Arial"/>
                          <w:sz w:val="18"/>
                          <w:szCs w:val="18"/>
                        </w:rPr>
                        <w:t xml:space="preserve">es on </w:t>
                      </w:r>
                      <w:r w:rsidRPr="001B57E0">
                        <w:rPr>
                          <w:rFonts w:ascii="Arial" w:hAnsi="Arial" w:cs="Arial"/>
                          <w:sz w:val="18"/>
                          <w:szCs w:val="18"/>
                        </w:rPr>
                        <w:t>examining Deloitte UK’s talent retention and ESG integration challenges.</w:t>
                      </w:r>
                    </w:p>
                    <w:p w14:paraId="41EEACE2" w14:textId="1A5F0787" w:rsidR="001B57E0" w:rsidRPr="001B57E0" w:rsidRDefault="001B57E0" w:rsidP="001B57E0">
                      <w:pPr>
                        <w:pStyle w:val="ListParagraph"/>
                        <w:numPr>
                          <w:ilvl w:val="0"/>
                          <w:numId w:val="2"/>
                        </w:numPr>
                        <w:spacing w:before="240" w:line="240" w:lineRule="auto"/>
                        <w:ind w:left="142" w:hanging="142"/>
                        <w:jc w:val="both"/>
                        <w:rPr>
                          <w:rFonts w:ascii="Arial" w:hAnsi="Arial" w:cs="Arial"/>
                          <w:sz w:val="18"/>
                          <w:szCs w:val="18"/>
                        </w:rPr>
                      </w:pPr>
                      <w:r w:rsidRPr="001B57E0">
                        <w:rPr>
                          <w:rFonts w:ascii="Arial" w:hAnsi="Arial" w:cs="Arial"/>
                          <w:sz w:val="18"/>
                          <w:szCs w:val="18"/>
                        </w:rPr>
                        <w:t>An exploratory–descriptive approach is used to understand the organisational issues by analysing documented evidence from</w:t>
                      </w:r>
                      <w:r w:rsidRPr="001B57E0">
                        <w:rPr>
                          <w:rFonts w:ascii="Arial" w:hAnsi="Arial" w:cs="Arial"/>
                          <w:sz w:val="18"/>
                          <w:szCs w:val="18"/>
                        </w:rPr>
                        <w:t xml:space="preserve"> relevant sources</w:t>
                      </w:r>
                    </w:p>
                    <w:p w14:paraId="766DA4FB" w14:textId="2248BE87" w:rsidR="001B57E0" w:rsidRPr="001B57E0" w:rsidRDefault="001B57E0" w:rsidP="001B57E0">
                      <w:pPr>
                        <w:pStyle w:val="ListParagraph"/>
                        <w:numPr>
                          <w:ilvl w:val="0"/>
                          <w:numId w:val="2"/>
                        </w:numPr>
                        <w:spacing w:line="240" w:lineRule="auto"/>
                        <w:ind w:left="142" w:hanging="142"/>
                        <w:jc w:val="both"/>
                        <w:rPr>
                          <w:rFonts w:ascii="Arial" w:hAnsi="Arial" w:cs="Arial"/>
                          <w:sz w:val="18"/>
                          <w:szCs w:val="18"/>
                        </w:rPr>
                      </w:pPr>
                      <w:r w:rsidRPr="001B57E0">
                        <w:rPr>
                          <w:rFonts w:ascii="Arial" w:hAnsi="Arial" w:cs="Arial"/>
                          <w:sz w:val="18"/>
                          <w:szCs w:val="18"/>
                        </w:rPr>
                        <w:t>Data is collected from peer-reviewed journals (2019–2025), Deloitte Insights UK publications, Big Four industry reviews, ESG regulatory updates, and reputable business sources such as BCG, McKinsey, CIPD, and government publications.</w:t>
                      </w:r>
                    </w:p>
                    <w:p w14:paraId="675F2B3D" w14:textId="51ED3550" w:rsidR="001B57E0" w:rsidRPr="001B57E0" w:rsidRDefault="001B57E0" w:rsidP="001B57E0">
                      <w:pPr>
                        <w:pStyle w:val="ListParagraph"/>
                        <w:numPr>
                          <w:ilvl w:val="0"/>
                          <w:numId w:val="2"/>
                        </w:numPr>
                        <w:spacing w:line="240" w:lineRule="auto"/>
                        <w:ind w:left="142" w:hanging="142"/>
                        <w:jc w:val="both"/>
                        <w:rPr>
                          <w:rFonts w:ascii="Arial" w:hAnsi="Arial" w:cs="Arial"/>
                          <w:sz w:val="18"/>
                          <w:szCs w:val="18"/>
                        </w:rPr>
                      </w:pPr>
                      <w:r w:rsidRPr="001B57E0">
                        <w:rPr>
                          <w:rFonts w:ascii="Arial" w:hAnsi="Arial" w:cs="Arial"/>
                          <w:sz w:val="18"/>
                          <w:szCs w:val="18"/>
                        </w:rPr>
                        <w:t xml:space="preserve">A thematic analysis framework is applied to group findings into key themes (e.g., burnout, skills shortages, ESG compliance). </w:t>
                      </w:r>
                    </w:p>
                    <w:p w14:paraId="15EBDAB6" w14:textId="5B91C977" w:rsidR="001B57E0" w:rsidRPr="001B57E0" w:rsidRDefault="001B57E0" w:rsidP="001B57E0">
                      <w:pPr>
                        <w:pStyle w:val="ListParagraph"/>
                        <w:numPr>
                          <w:ilvl w:val="0"/>
                          <w:numId w:val="2"/>
                        </w:numPr>
                        <w:spacing w:after="0" w:line="240" w:lineRule="auto"/>
                        <w:ind w:left="142" w:hanging="142"/>
                        <w:jc w:val="both"/>
                        <w:rPr>
                          <w:rFonts w:ascii="Arial" w:hAnsi="Arial" w:cs="Arial"/>
                          <w:sz w:val="18"/>
                          <w:szCs w:val="18"/>
                        </w:rPr>
                      </w:pPr>
                      <w:r w:rsidRPr="001B57E0">
                        <w:rPr>
                          <w:rFonts w:ascii="Arial" w:hAnsi="Arial" w:cs="Arial"/>
                          <w:sz w:val="18"/>
                          <w:szCs w:val="18"/>
                        </w:rPr>
                        <w:t>Insights from UK-specific sources are cross-validated and synthesised to identify converging patterns, contradictions, and organisational implications, enabling evidence-based recommendations tailored specifically to Deloitte UK’s talent and ESG issues.</w:t>
                      </w:r>
                    </w:p>
                  </w:txbxContent>
                </v:textbox>
              </v:shape>
            </w:pict>
          </mc:Fallback>
        </mc:AlternateContent>
      </w:r>
      <w:r w:rsidR="00B21C94">
        <w:rPr>
          <w:noProof/>
        </w:rPr>
        <mc:AlternateContent>
          <mc:Choice Requires="wps">
            <w:drawing>
              <wp:anchor distT="0" distB="0" distL="114300" distR="114300" simplePos="0" relativeHeight="251710464" behindDoc="0" locked="0" layoutInCell="1" allowOverlap="1" wp14:anchorId="1CFB4761" wp14:editId="0E8CFCD9">
                <wp:simplePos x="0" y="0"/>
                <wp:positionH relativeFrom="margin">
                  <wp:posOffset>3331210</wp:posOffset>
                </wp:positionH>
                <wp:positionV relativeFrom="paragraph">
                  <wp:posOffset>6228504</wp:posOffset>
                </wp:positionV>
                <wp:extent cx="1209174" cy="269240"/>
                <wp:effectExtent l="0" t="0" r="0" b="0"/>
                <wp:wrapNone/>
                <wp:docPr id="1944553422" name="Text Box 6"/>
                <wp:cNvGraphicFramePr/>
                <a:graphic xmlns:a="http://schemas.openxmlformats.org/drawingml/2006/main">
                  <a:graphicData uri="http://schemas.microsoft.com/office/word/2010/wordprocessingShape">
                    <wps:wsp>
                      <wps:cNvSpPr txBox="1"/>
                      <wps:spPr>
                        <a:xfrm>
                          <a:off x="0" y="0"/>
                          <a:ext cx="1209174" cy="269240"/>
                        </a:xfrm>
                        <a:prstGeom prst="rect">
                          <a:avLst/>
                        </a:prstGeom>
                        <a:noFill/>
                        <a:ln w="6350">
                          <a:noFill/>
                        </a:ln>
                      </wps:spPr>
                      <wps:txbx>
                        <w:txbxContent>
                          <w:p w14:paraId="5D0D94CA" w14:textId="23E35834" w:rsidR="008A3F95" w:rsidRPr="00B21C94" w:rsidRDefault="00692E35">
                            <w:pPr>
                              <w:rPr>
                                <w:rFonts w:ascii="Arial" w:hAnsi="Arial" w:cs="Arial"/>
                                <w:color w:val="501549" w:themeColor="accent5" w:themeShade="80"/>
                              </w:rPr>
                            </w:pPr>
                            <w:r w:rsidRPr="00B21C94">
                              <w:rPr>
                                <w:rFonts w:ascii="Arial" w:hAnsi="Arial" w:cs="Arial"/>
                                <w:b/>
                                <w:bCs/>
                                <w:color w:val="501549" w:themeColor="accent5" w:themeShade="80"/>
                              </w:rPr>
                              <w:t>Re</w:t>
                            </w:r>
                            <w:r w:rsidR="00B21C94" w:rsidRPr="00B21C94">
                              <w:rPr>
                                <w:rFonts w:ascii="Arial" w:hAnsi="Arial" w:cs="Arial"/>
                                <w:b/>
                                <w:bCs/>
                                <w:color w:val="501549" w:themeColor="accent5" w:themeShade="80"/>
                              </w:rPr>
                              <w:t>flection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B4761" id="_x0000_s1033" type="#_x0000_t202" style="position:absolute;margin-left:262.3pt;margin-top:490.45pt;width:95.2pt;height:21.2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" filled="f" stroked="f" strokeweight=".5pt">
                <v:textbox>
                  <w:txbxContent>
                    <w:p w14:paraId="5D0D94CA" w14:textId="23E35834" w:rsidR="008A3F95" w:rsidRPr="00B21C94" w:rsidRDefault="00692E35">
                      <w:pPr>
                        <w:rPr>
                          <w:rFonts w:ascii="Arial" w:hAnsi="Arial" w:cs="Arial"/>
                          <w:color w:val="501549" w:themeColor="accent5" w:themeShade="80"/>
                        </w:rPr>
                      </w:pPr>
                      <w:r w:rsidRPr="00B21C94">
                        <w:rPr>
                          <w:rFonts w:ascii="Arial" w:hAnsi="Arial" w:cs="Arial"/>
                          <w:b/>
                          <w:bCs/>
                          <w:color w:val="501549" w:themeColor="accent5" w:themeShade="80"/>
                        </w:rPr>
                        <w:t>Re</w:t>
                      </w:r>
                      <w:r w:rsidR="00B21C94" w:rsidRPr="00B21C94">
                        <w:rPr>
                          <w:rFonts w:ascii="Arial" w:hAnsi="Arial" w:cs="Arial"/>
                          <w:b/>
                          <w:bCs/>
                          <w:color w:val="501549" w:themeColor="accent5" w:themeShade="80"/>
                        </w:rPr>
                        <w:t>flection</w:t>
                      </w:r>
                    </w:p>
                  </w:txbxContent>
                </v:textbox>
                <w10:wrap anchorx="margin"/>
              </v:shape>
            </w:pict>
          </mc:Fallback>
        </mc:AlternateContent>
      </w:r>
      <w:r w:rsidR="00B21C94">
        <w:rPr>
          <w:noProof/>
        </w:rPr>
        <mc:AlternateContent>
          <mc:Choice Requires="wps">
            <w:drawing>
              <wp:anchor distT="0" distB="0" distL="114300" distR="114300" simplePos="0" relativeHeight="251687936" behindDoc="0" locked="0" layoutInCell="1" allowOverlap="1" wp14:anchorId="093A2217" wp14:editId="33DE72B5">
                <wp:simplePos x="0" y="0"/>
                <wp:positionH relativeFrom="page">
                  <wp:posOffset>78205</wp:posOffset>
                </wp:positionH>
                <wp:positionV relativeFrom="paragraph">
                  <wp:posOffset>3862137</wp:posOffset>
                </wp:positionV>
                <wp:extent cx="1251284" cy="269240"/>
                <wp:effectExtent l="0" t="0" r="0" b="0"/>
                <wp:wrapNone/>
                <wp:docPr id="1035480729" name="Text Box 6"/>
                <wp:cNvGraphicFramePr/>
                <a:graphic xmlns:a="http://schemas.openxmlformats.org/drawingml/2006/main">
                  <a:graphicData uri="http://schemas.microsoft.com/office/word/2010/wordprocessingShape">
                    <wps:wsp>
                      <wps:cNvSpPr txBox="1"/>
                      <wps:spPr>
                        <a:xfrm>
                          <a:off x="0" y="0"/>
                          <a:ext cx="1251284" cy="269240"/>
                        </a:xfrm>
                        <a:prstGeom prst="rect">
                          <a:avLst/>
                        </a:prstGeom>
                        <a:noFill/>
                        <a:ln w="6350">
                          <a:noFill/>
                        </a:ln>
                      </wps:spPr>
                      <wps:txbx>
                        <w:txbxContent>
                          <w:p w14:paraId="14B7946E" w14:textId="2968DAB1" w:rsidR="00584A5F" w:rsidRPr="00070388" w:rsidRDefault="00B21C94">
                            <w:pPr>
                              <w:rPr>
                                <w:rFonts w:ascii="Arial" w:hAnsi="Arial" w:cs="Arial"/>
                                <w:sz w:val="22"/>
                                <w:szCs w:val="22"/>
                              </w:rPr>
                            </w:pPr>
                            <w:r>
                              <w:rPr>
                                <w:rFonts w:ascii="Arial" w:hAnsi="Arial" w:cs="Arial"/>
                                <w:b/>
                                <w:bCs/>
                                <w:color w:val="7030A0"/>
                                <w:sz w:val="22"/>
                                <w:szCs w:val="22"/>
                              </w:rPr>
                              <w:t>Research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A2217" id="_x0000_s1034" type="#_x0000_t202" style="position:absolute;margin-left:6.15pt;margin-top:304.1pt;width:98.55pt;height:21.2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" filled="f" stroked="f" strokeweight=".5pt">
                <v:textbox>
                  <w:txbxContent>
                    <w:p w14:paraId="14B7946E" w14:textId="2968DAB1" w:rsidR="00584A5F" w:rsidRPr="00070388" w:rsidRDefault="00B21C94">
                      <w:pPr>
                        <w:rPr>
                          <w:rFonts w:ascii="Arial" w:hAnsi="Arial" w:cs="Arial"/>
                          <w:sz w:val="22"/>
                          <w:szCs w:val="22"/>
                        </w:rPr>
                      </w:pPr>
                      <w:r>
                        <w:rPr>
                          <w:rFonts w:ascii="Arial" w:hAnsi="Arial" w:cs="Arial"/>
                          <w:b/>
                          <w:bCs/>
                          <w:color w:val="7030A0"/>
                          <w:sz w:val="22"/>
                          <w:szCs w:val="22"/>
                        </w:rPr>
                        <w:t>Research Plan</w:t>
                      </w:r>
                    </w:p>
                  </w:txbxContent>
                </v:textbox>
                <w10:wrap anchorx="page"/>
              </v:shape>
            </w:pict>
          </mc:Fallback>
        </mc:AlternateContent>
      </w:r>
      <w:r w:rsidR="00692E35">
        <w:rPr>
          <w:noProof/>
        </w:rPr>
        <mc:AlternateContent>
          <mc:Choice Requires="wps">
            <w:drawing>
              <wp:anchor distT="0" distB="0" distL="114300" distR="114300" simplePos="0" relativeHeight="251754496" behindDoc="0" locked="0" layoutInCell="1" allowOverlap="1" wp14:anchorId="1615745F" wp14:editId="53F5E20C">
                <wp:simplePos x="0" y="0"/>
                <wp:positionH relativeFrom="margin">
                  <wp:posOffset>3338964</wp:posOffset>
                </wp:positionH>
                <wp:positionV relativeFrom="paragraph">
                  <wp:posOffset>4422022</wp:posOffset>
                </wp:positionV>
                <wp:extent cx="3665436" cy="525014"/>
                <wp:effectExtent l="0" t="0" r="0" b="0"/>
                <wp:wrapNone/>
                <wp:docPr id="1928112275" name="Text Box 6"/>
                <wp:cNvGraphicFramePr/>
                <a:graphic xmlns:a="http://schemas.openxmlformats.org/drawingml/2006/main">
                  <a:graphicData uri="http://schemas.microsoft.com/office/word/2010/wordprocessingShape">
                    <wps:wsp>
                      <wps:cNvSpPr txBox="1"/>
                      <wps:spPr>
                        <a:xfrm>
                          <a:off x="0" y="0"/>
                          <a:ext cx="3665436" cy="525014"/>
                        </a:xfrm>
                        <a:prstGeom prst="rect">
                          <a:avLst/>
                        </a:prstGeom>
                        <a:noFill/>
                        <a:ln w="6350">
                          <a:noFill/>
                        </a:ln>
                      </wps:spPr>
                      <wps:txbx>
                        <w:txbxContent>
                          <w:p w14:paraId="48286234" w14:textId="4E7B50EB" w:rsidR="00692E35" w:rsidRPr="008E3F7E" w:rsidRDefault="00692E35" w:rsidP="008E3F7E">
                            <w:pPr>
                              <w:spacing w:line="240" w:lineRule="auto"/>
                              <w:jc w:val="both"/>
                              <w:rPr>
                                <w:rFonts w:ascii="Arial" w:hAnsi="Arial" w:cs="Arial"/>
                                <w:color w:val="000000" w:themeColor="text1"/>
                                <w:sz w:val="14"/>
                                <w:szCs w:val="14"/>
                              </w:rPr>
                            </w:pPr>
                            <w:r w:rsidRPr="00692E35">
                              <w:rPr>
                                <w:rFonts w:ascii="Arial" w:hAnsi="Arial" w:cs="Arial"/>
                                <w:color w:val="000000" w:themeColor="text1"/>
                                <w:sz w:val="14"/>
                                <w:szCs w:val="14"/>
                              </w:rPr>
                              <w:t>Figures 3 and 4 indicate that while a majority of FTSE 100 firms have adopted net-zero commitments, widespread ESG restatements persist, emphasising the strategic importance of enhancing Deloitte UK’s ESG practices to meet rising accountability and reporting standards.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5745F" id="_x0000_s1035" type="#_x0000_t202" style="position:absolute;margin-left:262.9pt;margin-top:348.2pt;width:288.6pt;height:41.3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" filled="f" stroked="f" strokeweight=".5pt">
                <v:textbox>
                  <w:txbxContent>
                    <w:p w14:paraId="48286234" w14:textId="4E7B50EB" w:rsidR="00692E35" w:rsidRPr="008E3F7E" w:rsidRDefault="00692E35" w:rsidP="008E3F7E">
                      <w:pPr>
                        <w:spacing w:line="240" w:lineRule="auto"/>
                        <w:jc w:val="both"/>
                        <w:rPr>
                          <w:rFonts w:ascii="Arial" w:hAnsi="Arial" w:cs="Arial"/>
                          <w:color w:val="000000" w:themeColor="text1"/>
                          <w:sz w:val="14"/>
                          <w:szCs w:val="14"/>
                        </w:rPr>
                      </w:pPr>
                      <w:r w:rsidRPr="00692E35">
                        <w:rPr>
                          <w:rFonts w:ascii="Arial" w:hAnsi="Arial" w:cs="Arial"/>
                          <w:color w:val="000000" w:themeColor="text1"/>
                          <w:sz w:val="14"/>
                          <w:szCs w:val="14"/>
                        </w:rPr>
                        <w:t>Figures 3 and 4 indicate that while a majority of FTSE 100 firms have adopted net-zero commitments, widespread ESG restatements persist, emphasising the strategic importance of enhancing Deloitte UK’s ESG practices to meet rising accountability and reporting standards.</w:t>
                      </w:r>
                    </w:p>
                  </w:txbxContent>
                </v:textbox>
                <w10:wrap anchorx="margin"/>
              </v:shape>
            </w:pict>
          </mc:Fallback>
        </mc:AlternateContent>
      </w:r>
      <w:r w:rsidR="008E3F7E">
        <w:rPr>
          <w:noProof/>
        </w:rPr>
        <mc:AlternateContent>
          <mc:Choice Requires="wps">
            <w:drawing>
              <wp:anchor distT="0" distB="0" distL="114300" distR="114300" simplePos="0" relativeHeight="251744256" behindDoc="0" locked="0" layoutInCell="1" allowOverlap="1" wp14:anchorId="5C7BF7B0" wp14:editId="2C566991">
                <wp:simplePos x="0" y="0"/>
                <wp:positionH relativeFrom="column">
                  <wp:posOffset>3359227</wp:posOffset>
                </wp:positionH>
                <wp:positionV relativeFrom="paragraph">
                  <wp:posOffset>2903855</wp:posOffset>
                </wp:positionV>
                <wp:extent cx="1967814" cy="327025"/>
                <wp:effectExtent l="0" t="0" r="0" b="0"/>
                <wp:wrapNone/>
                <wp:docPr id="1764608879" name="Text Box 35"/>
                <wp:cNvGraphicFramePr/>
                <a:graphic xmlns:a="http://schemas.openxmlformats.org/drawingml/2006/main">
                  <a:graphicData uri="http://schemas.microsoft.com/office/word/2010/wordprocessingShape">
                    <wps:wsp>
                      <wps:cNvSpPr txBox="1"/>
                      <wps:spPr>
                        <a:xfrm>
                          <a:off x="0" y="0"/>
                          <a:ext cx="1967814" cy="327025"/>
                        </a:xfrm>
                        <a:prstGeom prst="rect">
                          <a:avLst/>
                        </a:prstGeom>
                        <a:noFill/>
                        <a:ln w="6350">
                          <a:noFill/>
                        </a:ln>
                      </wps:spPr>
                      <wps:txbx>
                        <w:txbxContent>
                          <w:p w14:paraId="36AA26CD" w14:textId="34D012A6" w:rsidR="00B56382" w:rsidRPr="002155C7" w:rsidRDefault="00B56382" w:rsidP="00A631CB">
                            <w:pPr>
                              <w:jc w:val="both"/>
                              <w:rPr>
                                <w:rFonts w:ascii="Arial" w:hAnsi="Arial" w:cs="Arial"/>
                                <w:sz w:val="8"/>
                                <w:szCs w:val="8"/>
                              </w:rPr>
                            </w:pPr>
                            <w:r w:rsidRPr="002155C7">
                              <w:rPr>
                                <w:rStyle w:val="Strong"/>
                                <w:rFonts w:ascii="Arial" w:hAnsi="Arial" w:cs="Arial"/>
                                <w:sz w:val="8"/>
                                <w:szCs w:val="8"/>
                              </w:rPr>
                              <w:t xml:space="preserve">Figure 1: </w:t>
                            </w:r>
                            <w:r w:rsidRPr="002155C7">
                              <w:rPr>
                                <w:rStyle w:val="Strong"/>
                                <w:rFonts w:ascii="Arial" w:hAnsi="Arial" w:cs="Arial"/>
                                <w:b w:val="0"/>
                                <w:bCs w:val="0"/>
                                <w:sz w:val="8"/>
                                <w:szCs w:val="8"/>
                              </w:rPr>
                              <w:t xml:space="preserve">Proportion of UK </w:t>
                            </w:r>
                            <w:r w:rsidR="00DE7780" w:rsidRPr="002155C7">
                              <w:rPr>
                                <w:rStyle w:val="Strong"/>
                                <w:rFonts w:ascii="Arial" w:hAnsi="Arial" w:cs="Arial"/>
                                <w:b w:val="0"/>
                                <w:bCs w:val="0"/>
                                <w:sz w:val="8"/>
                                <w:szCs w:val="8"/>
                              </w:rPr>
                              <w:t xml:space="preserve">consulting </w:t>
                            </w:r>
                            <w:r w:rsidRPr="002155C7">
                              <w:rPr>
                                <w:rStyle w:val="Strong"/>
                                <w:rFonts w:ascii="Arial" w:hAnsi="Arial" w:cs="Arial"/>
                                <w:b w:val="0"/>
                                <w:bCs w:val="0"/>
                                <w:sz w:val="8"/>
                                <w:szCs w:val="8"/>
                              </w:rPr>
                              <w:t>organisations experiencing skill shortages in 2023 (73%) versus those not experiencing shortages (27%).</w:t>
                            </w:r>
                            <w:r w:rsidRPr="002155C7">
                              <w:rPr>
                                <w:rFonts w:ascii="Arial" w:hAnsi="Arial" w:cs="Arial"/>
                                <w:sz w:val="8"/>
                                <w:szCs w:val="8"/>
                              </w:rPr>
                              <w:br/>
                            </w:r>
                            <w:r w:rsidRPr="002155C7">
                              <w:rPr>
                                <w:rStyle w:val="Emphasis"/>
                                <w:rFonts w:ascii="Arial" w:hAnsi="Arial" w:cs="Arial"/>
                                <w:sz w:val="8"/>
                                <w:szCs w:val="8"/>
                              </w:rPr>
                              <w:t>Source: Edge Foundation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BF7B0" id="_x0000_s1036" type="#_x0000_t202" style="position:absolute;margin-left:264.5pt;margin-top:228.65pt;width:154.95pt;height:25.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CNzGgIAADQ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" filled="f" stroked="f" strokeweight=".5pt">
                <v:textbox>
                  <w:txbxContent>
                    <w:p w14:paraId="36AA26CD" w14:textId="34D012A6" w:rsidR="00B56382" w:rsidRPr="002155C7" w:rsidRDefault="00B56382" w:rsidP="00A631CB">
                      <w:pPr>
                        <w:jc w:val="both"/>
                        <w:rPr>
                          <w:rFonts w:ascii="Arial" w:hAnsi="Arial" w:cs="Arial"/>
                          <w:sz w:val="8"/>
                          <w:szCs w:val="8"/>
                        </w:rPr>
                      </w:pPr>
                      <w:r w:rsidRPr="002155C7">
                        <w:rPr>
                          <w:rStyle w:val="Strong"/>
                          <w:rFonts w:ascii="Arial" w:hAnsi="Arial" w:cs="Arial"/>
                          <w:sz w:val="8"/>
                          <w:szCs w:val="8"/>
                        </w:rPr>
                        <w:t xml:space="preserve">Figure 1: </w:t>
                      </w:r>
                      <w:r w:rsidRPr="002155C7">
                        <w:rPr>
                          <w:rStyle w:val="Strong"/>
                          <w:rFonts w:ascii="Arial" w:hAnsi="Arial" w:cs="Arial"/>
                          <w:b w:val="0"/>
                          <w:bCs w:val="0"/>
                          <w:sz w:val="8"/>
                          <w:szCs w:val="8"/>
                        </w:rPr>
                        <w:t xml:space="preserve">Proportion of UK </w:t>
                      </w:r>
                      <w:r w:rsidR="00DE7780" w:rsidRPr="002155C7">
                        <w:rPr>
                          <w:rStyle w:val="Strong"/>
                          <w:rFonts w:ascii="Arial" w:hAnsi="Arial" w:cs="Arial"/>
                          <w:b w:val="0"/>
                          <w:bCs w:val="0"/>
                          <w:sz w:val="8"/>
                          <w:szCs w:val="8"/>
                        </w:rPr>
                        <w:t xml:space="preserve">consulting </w:t>
                      </w:r>
                      <w:r w:rsidRPr="002155C7">
                        <w:rPr>
                          <w:rStyle w:val="Strong"/>
                          <w:rFonts w:ascii="Arial" w:hAnsi="Arial" w:cs="Arial"/>
                          <w:b w:val="0"/>
                          <w:bCs w:val="0"/>
                          <w:sz w:val="8"/>
                          <w:szCs w:val="8"/>
                        </w:rPr>
                        <w:t>organisations experiencing skill shortages in 2023 (73%) versus those not experiencing shortages (27%).</w:t>
                      </w:r>
                      <w:r w:rsidRPr="002155C7">
                        <w:rPr>
                          <w:rFonts w:ascii="Arial" w:hAnsi="Arial" w:cs="Arial"/>
                          <w:sz w:val="8"/>
                          <w:szCs w:val="8"/>
                        </w:rPr>
                        <w:br/>
                      </w:r>
                      <w:r w:rsidRPr="002155C7">
                        <w:rPr>
                          <w:rStyle w:val="Emphasis"/>
                          <w:rFonts w:ascii="Arial" w:hAnsi="Arial" w:cs="Arial"/>
                          <w:sz w:val="8"/>
                          <w:szCs w:val="8"/>
                        </w:rPr>
                        <w:t>Source: Edge Foundation (2023).</w:t>
                      </w:r>
                    </w:p>
                  </w:txbxContent>
                </v:textbox>
              </v:shape>
            </w:pict>
          </mc:Fallback>
        </mc:AlternateContent>
      </w:r>
      <w:r w:rsidR="008E3F7E">
        <w:rPr>
          <w:noProof/>
        </w:rPr>
        <mc:AlternateContent>
          <mc:Choice Requires="wps">
            <w:drawing>
              <wp:anchor distT="0" distB="0" distL="114300" distR="114300" simplePos="0" relativeHeight="251752448" behindDoc="0" locked="0" layoutInCell="1" allowOverlap="1" wp14:anchorId="7B241120" wp14:editId="39B0ED06">
                <wp:simplePos x="0" y="0"/>
                <wp:positionH relativeFrom="margin">
                  <wp:posOffset>3339891</wp:posOffset>
                </wp:positionH>
                <wp:positionV relativeFrom="paragraph">
                  <wp:posOffset>2434140</wp:posOffset>
                </wp:positionV>
                <wp:extent cx="3665436" cy="525014"/>
                <wp:effectExtent l="0" t="0" r="0" b="0"/>
                <wp:wrapNone/>
                <wp:docPr id="987478858" name="Text Box 6"/>
                <wp:cNvGraphicFramePr/>
                <a:graphic xmlns:a="http://schemas.openxmlformats.org/drawingml/2006/main">
                  <a:graphicData uri="http://schemas.microsoft.com/office/word/2010/wordprocessingShape">
                    <wps:wsp>
                      <wps:cNvSpPr txBox="1"/>
                      <wps:spPr>
                        <a:xfrm>
                          <a:off x="0" y="0"/>
                          <a:ext cx="3665436" cy="525014"/>
                        </a:xfrm>
                        <a:prstGeom prst="rect">
                          <a:avLst/>
                        </a:prstGeom>
                        <a:noFill/>
                        <a:ln w="6350">
                          <a:noFill/>
                        </a:ln>
                      </wps:spPr>
                      <wps:txbx>
                        <w:txbxContent>
                          <w:p w14:paraId="6261A7D1" w14:textId="60A2ED64" w:rsidR="008E3F7E" w:rsidRPr="008E3F7E" w:rsidRDefault="008E3F7E" w:rsidP="008E3F7E">
                            <w:pPr>
                              <w:spacing w:line="240" w:lineRule="auto"/>
                              <w:jc w:val="both"/>
                              <w:rPr>
                                <w:rFonts w:ascii="Arial" w:hAnsi="Arial" w:cs="Arial"/>
                                <w:color w:val="000000" w:themeColor="text1"/>
                                <w:sz w:val="14"/>
                                <w:szCs w:val="14"/>
                              </w:rPr>
                            </w:pPr>
                            <w:r w:rsidRPr="008E3F7E">
                              <w:rPr>
                                <w:rFonts w:ascii="Arial" w:hAnsi="Arial" w:cs="Arial"/>
                                <w:color w:val="000000" w:themeColor="text1"/>
                                <w:sz w:val="14"/>
                                <w:szCs w:val="14"/>
                              </w:rPr>
                              <w:t>As illustrated in Figures 1 and 2, the high proportion of UK organisations experiencing skill shortages, together with the persistent level of skill-shortage vacancies over time, reveals a structural talent gap that directly heightens Deloitte UK’s challenges in securing and retaining specialised consulting professionals.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41120" id="_x0000_s1037" type="#_x0000_t202" style="position:absolute;margin-left:263pt;margin-top:191.65pt;width:288.6pt;height:41.3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" filled="f" stroked="f" strokeweight=".5pt">
                <v:textbox>
                  <w:txbxContent>
                    <w:p w14:paraId="6261A7D1" w14:textId="60A2ED64" w:rsidR="008E3F7E" w:rsidRPr="008E3F7E" w:rsidRDefault="008E3F7E" w:rsidP="008E3F7E">
                      <w:pPr>
                        <w:spacing w:line="240" w:lineRule="auto"/>
                        <w:jc w:val="both"/>
                        <w:rPr>
                          <w:rFonts w:ascii="Arial" w:hAnsi="Arial" w:cs="Arial"/>
                          <w:color w:val="000000" w:themeColor="text1"/>
                          <w:sz w:val="14"/>
                          <w:szCs w:val="14"/>
                        </w:rPr>
                      </w:pPr>
                      <w:r w:rsidRPr="008E3F7E">
                        <w:rPr>
                          <w:rFonts w:ascii="Arial" w:hAnsi="Arial" w:cs="Arial"/>
                          <w:color w:val="000000" w:themeColor="text1"/>
                          <w:sz w:val="14"/>
                          <w:szCs w:val="14"/>
                        </w:rPr>
                        <w:t>As illustrated in Figures 1 and 2, the high proportion of UK organisations experiencing skill shortages, together with the persistent level of skill-shortage vacancies over time, reveals a structural talent gap that directly heightens Deloitte UK’s challenges in securing and retaining specialised consulting professionals.</w:t>
                      </w:r>
                    </w:p>
                  </w:txbxContent>
                </v:textbox>
                <w10:wrap anchorx="margin"/>
              </v:shape>
            </w:pict>
          </mc:Fallback>
        </mc:AlternateContent>
      </w:r>
      <w:r w:rsidR="008E3F7E">
        <w:rPr>
          <w:noProof/>
        </w:rPr>
        <mc:AlternateContent>
          <mc:Choice Requires="wps">
            <w:drawing>
              <wp:anchor distT="0" distB="0" distL="114300" distR="114300" simplePos="0" relativeHeight="251746304" behindDoc="0" locked="0" layoutInCell="1" allowOverlap="1" wp14:anchorId="4AAB8F47" wp14:editId="4149D7DC">
                <wp:simplePos x="0" y="0"/>
                <wp:positionH relativeFrom="column">
                  <wp:posOffset>5222963</wp:posOffset>
                </wp:positionH>
                <wp:positionV relativeFrom="paragraph">
                  <wp:posOffset>2884814</wp:posOffset>
                </wp:positionV>
                <wp:extent cx="1804396" cy="302260"/>
                <wp:effectExtent l="0" t="0" r="0" b="2540"/>
                <wp:wrapNone/>
                <wp:docPr id="1021231047" name="Text Box 35"/>
                <wp:cNvGraphicFramePr/>
                <a:graphic xmlns:a="http://schemas.openxmlformats.org/drawingml/2006/main">
                  <a:graphicData uri="http://schemas.microsoft.com/office/word/2010/wordprocessingShape">
                    <wps:wsp>
                      <wps:cNvSpPr txBox="1"/>
                      <wps:spPr>
                        <a:xfrm>
                          <a:off x="0" y="0"/>
                          <a:ext cx="1804396" cy="302260"/>
                        </a:xfrm>
                        <a:prstGeom prst="rect">
                          <a:avLst/>
                        </a:prstGeom>
                        <a:noFill/>
                        <a:ln w="6350">
                          <a:noFill/>
                        </a:ln>
                      </wps:spPr>
                      <wps:txbx>
                        <w:txbxContent>
                          <w:p w14:paraId="167950C4" w14:textId="77777777" w:rsidR="00D45090" w:rsidRPr="002155C7" w:rsidRDefault="00D45090" w:rsidP="00A631CB">
                            <w:pPr>
                              <w:spacing w:after="0"/>
                              <w:jc w:val="both"/>
                              <w:rPr>
                                <w:rStyle w:val="Heading1Char"/>
                                <w:rFonts w:ascii="Arial" w:hAnsi="Arial" w:cs="Arial"/>
                                <w:color w:val="000000" w:themeColor="text1"/>
                                <w:sz w:val="8"/>
                                <w:szCs w:val="8"/>
                              </w:rPr>
                            </w:pPr>
                            <w:r w:rsidRPr="002155C7">
                              <w:rPr>
                                <w:rStyle w:val="Heading1Char"/>
                                <w:rFonts w:ascii="Arial" w:hAnsi="Arial" w:cs="Arial"/>
                                <w:b/>
                                <w:bCs/>
                                <w:color w:val="000000" w:themeColor="text1"/>
                                <w:sz w:val="8"/>
                                <w:szCs w:val="8"/>
                              </w:rPr>
                              <w:t>Figure 2</w:t>
                            </w:r>
                            <w:r w:rsidRPr="002155C7">
                              <w:rPr>
                                <w:rStyle w:val="Heading1Char"/>
                                <w:rFonts w:ascii="Arial" w:hAnsi="Arial" w:cs="Arial"/>
                                <w:color w:val="000000" w:themeColor="text1"/>
                                <w:sz w:val="8"/>
                                <w:szCs w:val="8"/>
                              </w:rPr>
                              <w:t>: Percentage of UK vacancies attributed to skill shortages from 2021 to 2025, showing a decline from 38% to 25%.</w:t>
                            </w:r>
                          </w:p>
                          <w:p w14:paraId="1DCBF06D" w14:textId="5B84F35E" w:rsidR="00D45090" w:rsidRPr="002155C7" w:rsidRDefault="00D45090" w:rsidP="00A631CB">
                            <w:pPr>
                              <w:jc w:val="both"/>
                              <w:rPr>
                                <w:rFonts w:ascii="Arial" w:eastAsiaTheme="majorEastAsia" w:hAnsi="Arial" w:cs="Arial"/>
                                <w:i/>
                                <w:iCs/>
                                <w:color w:val="000000" w:themeColor="text1"/>
                                <w:sz w:val="8"/>
                                <w:szCs w:val="8"/>
                              </w:rPr>
                            </w:pPr>
                            <w:r w:rsidRPr="002155C7">
                              <w:rPr>
                                <w:rStyle w:val="Heading1Char"/>
                                <w:rFonts w:ascii="Arial" w:hAnsi="Arial" w:cs="Arial"/>
                                <w:i/>
                                <w:iCs/>
                                <w:color w:val="000000" w:themeColor="text1"/>
                                <w:sz w:val="8"/>
                                <w:szCs w:val="8"/>
                              </w:rPr>
                              <w:t>Source: Department for Education (DfE) Sector Skills Report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B8F47" id="_x0000_s1038" type="#_x0000_t202" style="position:absolute;margin-left:411.25pt;margin-top:227.15pt;width:142.1pt;height:23.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" filled="f" stroked="f" strokeweight=".5pt">
                <v:textbox>
                  <w:txbxContent>
                    <w:p w14:paraId="167950C4" w14:textId="77777777" w:rsidR="00D45090" w:rsidRPr="002155C7" w:rsidRDefault="00D45090" w:rsidP="00A631CB">
                      <w:pPr>
                        <w:spacing w:after="0"/>
                        <w:jc w:val="both"/>
                        <w:rPr>
                          <w:rStyle w:val="Heading1Char"/>
                          <w:rFonts w:ascii="Arial" w:hAnsi="Arial" w:cs="Arial"/>
                          <w:color w:val="000000" w:themeColor="text1"/>
                          <w:sz w:val="8"/>
                          <w:szCs w:val="8"/>
                        </w:rPr>
                      </w:pPr>
                      <w:r w:rsidRPr="002155C7">
                        <w:rPr>
                          <w:rStyle w:val="Heading1Char"/>
                          <w:rFonts w:ascii="Arial" w:hAnsi="Arial" w:cs="Arial"/>
                          <w:b/>
                          <w:bCs/>
                          <w:color w:val="000000" w:themeColor="text1"/>
                          <w:sz w:val="8"/>
                          <w:szCs w:val="8"/>
                        </w:rPr>
                        <w:t>Figure 2</w:t>
                      </w:r>
                      <w:r w:rsidRPr="002155C7">
                        <w:rPr>
                          <w:rStyle w:val="Heading1Char"/>
                          <w:rFonts w:ascii="Arial" w:hAnsi="Arial" w:cs="Arial"/>
                          <w:color w:val="000000" w:themeColor="text1"/>
                          <w:sz w:val="8"/>
                          <w:szCs w:val="8"/>
                        </w:rPr>
                        <w:t>: Percentage of UK vacancies attributed to skill shortages from 2021 to 2025, showing a decline from 38% to 25%.</w:t>
                      </w:r>
                    </w:p>
                    <w:p w14:paraId="1DCBF06D" w14:textId="5B84F35E" w:rsidR="00D45090" w:rsidRPr="002155C7" w:rsidRDefault="00D45090" w:rsidP="00A631CB">
                      <w:pPr>
                        <w:jc w:val="both"/>
                        <w:rPr>
                          <w:rFonts w:ascii="Arial" w:eastAsiaTheme="majorEastAsia" w:hAnsi="Arial" w:cs="Arial"/>
                          <w:i/>
                          <w:iCs/>
                          <w:color w:val="000000" w:themeColor="text1"/>
                          <w:sz w:val="8"/>
                          <w:szCs w:val="8"/>
                        </w:rPr>
                      </w:pPr>
                      <w:r w:rsidRPr="002155C7">
                        <w:rPr>
                          <w:rStyle w:val="Heading1Char"/>
                          <w:rFonts w:ascii="Arial" w:hAnsi="Arial" w:cs="Arial"/>
                          <w:i/>
                          <w:iCs/>
                          <w:color w:val="000000" w:themeColor="text1"/>
                          <w:sz w:val="8"/>
                          <w:szCs w:val="8"/>
                        </w:rPr>
                        <w:t>Source: Department for Education (DfE) Sector Skills Report (2024).</w:t>
                      </w:r>
                    </w:p>
                  </w:txbxContent>
                </v:textbox>
              </v:shape>
            </w:pict>
          </mc:Fallback>
        </mc:AlternateContent>
      </w:r>
      <w:r w:rsidR="008E3F7E">
        <w:rPr>
          <w:noProof/>
        </w:rPr>
        <w:drawing>
          <wp:anchor distT="0" distB="0" distL="114300" distR="114300" simplePos="0" relativeHeight="251741184" behindDoc="0" locked="0" layoutInCell="1" allowOverlap="1" wp14:anchorId="38F2A351" wp14:editId="2DB2580A">
            <wp:simplePos x="0" y="0"/>
            <wp:positionH relativeFrom="column">
              <wp:posOffset>5232825</wp:posOffset>
            </wp:positionH>
            <wp:positionV relativeFrom="paragraph">
              <wp:posOffset>3143071</wp:posOffset>
            </wp:positionV>
            <wp:extent cx="1816850" cy="1207770"/>
            <wp:effectExtent l="0" t="0" r="0" b="0"/>
            <wp:wrapNone/>
            <wp:docPr id="2008882141" name="Chart 1">
              <a:extLst xmlns:a="http://schemas.openxmlformats.org/drawingml/2006/main">
                <a:ext uri="{FF2B5EF4-FFF2-40B4-BE49-F238E27FC236}">
                  <a16:creationId xmlns:a16="http://schemas.microsoft.com/office/drawing/2014/main" id="{879D32E6-7A2B-34A5-83FD-003D45AB5F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sidR="008E3F7E">
        <w:rPr>
          <w:noProof/>
        </w:rPr>
        <w:drawing>
          <wp:anchor distT="0" distB="0" distL="114300" distR="114300" simplePos="0" relativeHeight="251740160" behindDoc="0" locked="0" layoutInCell="1" allowOverlap="1" wp14:anchorId="54AAB1AE" wp14:editId="4F42F21F">
            <wp:simplePos x="0" y="0"/>
            <wp:positionH relativeFrom="column">
              <wp:posOffset>3398520</wp:posOffset>
            </wp:positionH>
            <wp:positionV relativeFrom="paragraph">
              <wp:posOffset>3185540</wp:posOffset>
            </wp:positionV>
            <wp:extent cx="1477478" cy="1236847"/>
            <wp:effectExtent l="0" t="0" r="8890" b="1905"/>
            <wp:wrapNone/>
            <wp:docPr id="417904852" name="Chart 1">
              <a:extLst xmlns:a="http://schemas.openxmlformats.org/drawingml/2006/main">
                <a:ext uri="{FF2B5EF4-FFF2-40B4-BE49-F238E27FC236}">
                  <a16:creationId xmlns:a16="http://schemas.microsoft.com/office/drawing/2014/main" id="{8376F4C3-4F1A-DCFB-7959-BD7BAA1E3B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sidR="008E3F7E">
        <w:rPr>
          <w:noProof/>
        </w:rPr>
        <mc:AlternateContent>
          <mc:Choice Requires="wps">
            <w:drawing>
              <wp:anchor distT="0" distB="0" distL="114300" distR="114300" simplePos="0" relativeHeight="251748352" behindDoc="0" locked="0" layoutInCell="1" allowOverlap="1" wp14:anchorId="1260C1B6" wp14:editId="32189A41">
                <wp:simplePos x="0" y="0"/>
                <wp:positionH relativeFrom="column">
                  <wp:posOffset>3318929</wp:posOffset>
                </wp:positionH>
                <wp:positionV relativeFrom="paragraph">
                  <wp:posOffset>4891572</wp:posOffset>
                </wp:positionV>
                <wp:extent cx="1838067" cy="296562"/>
                <wp:effectExtent l="0" t="0" r="0" b="0"/>
                <wp:wrapNone/>
                <wp:docPr id="508738039" name="Text Box 35"/>
                <wp:cNvGraphicFramePr/>
                <a:graphic xmlns:a="http://schemas.openxmlformats.org/drawingml/2006/main">
                  <a:graphicData uri="http://schemas.microsoft.com/office/word/2010/wordprocessingShape">
                    <wps:wsp>
                      <wps:cNvSpPr txBox="1"/>
                      <wps:spPr>
                        <a:xfrm>
                          <a:off x="0" y="0"/>
                          <a:ext cx="1838067" cy="296562"/>
                        </a:xfrm>
                        <a:prstGeom prst="rect">
                          <a:avLst/>
                        </a:prstGeom>
                        <a:noFill/>
                        <a:ln w="6350">
                          <a:noFill/>
                        </a:ln>
                      </wps:spPr>
                      <wps:txbx>
                        <w:txbxContent>
                          <w:p w14:paraId="0AB163F3" w14:textId="77777777" w:rsidR="002155C7" w:rsidRPr="002155C7" w:rsidRDefault="002155C7" w:rsidP="00A631CB">
                            <w:pPr>
                              <w:spacing w:after="0"/>
                              <w:jc w:val="both"/>
                              <w:rPr>
                                <w:rStyle w:val="Heading1Char"/>
                                <w:rFonts w:ascii="Arial" w:hAnsi="Arial" w:cs="Arial"/>
                                <w:color w:val="000000" w:themeColor="text1"/>
                                <w:sz w:val="8"/>
                                <w:szCs w:val="8"/>
                              </w:rPr>
                            </w:pPr>
                            <w:r w:rsidRPr="002155C7">
                              <w:rPr>
                                <w:rStyle w:val="Heading1Char"/>
                                <w:rFonts w:ascii="Arial" w:hAnsi="Arial" w:cs="Arial"/>
                                <w:b/>
                                <w:bCs/>
                                <w:color w:val="000000" w:themeColor="text1"/>
                                <w:sz w:val="8"/>
                                <w:szCs w:val="8"/>
                              </w:rPr>
                              <w:t xml:space="preserve">Figure 3: </w:t>
                            </w:r>
                            <w:r w:rsidRPr="002155C7">
                              <w:rPr>
                                <w:rStyle w:val="Heading1Char"/>
                                <w:rFonts w:ascii="Arial" w:hAnsi="Arial" w:cs="Arial"/>
                                <w:color w:val="000000" w:themeColor="text1"/>
                                <w:sz w:val="8"/>
                                <w:szCs w:val="8"/>
                              </w:rPr>
                              <w:t>Number of FTSE 100 companies that have adopted net-zero emissions targets in 2025 (79%) compared with those that have not (21%).</w:t>
                            </w:r>
                          </w:p>
                          <w:p w14:paraId="327E601E" w14:textId="57BE3BF3" w:rsidR="002155C7" w:rsidRPr="002155C7" w:rsidRDefault="002155C7" w:rsidP="00A631CB">
                            <w:pPr>
                              <w:jc w:val="both"/>
                              <w:rPr>
                                <w:rFonts w:ascii="Arial" w:eastAsiaTheme="majorEastAsia" w:hAnsi="Arial" w:cs="Arial"/>
                                <w:i/>
                                <w:iCs/>
                                <w:color w:val="000000" w:themeColor="text1"/>
                                <w:sz w:val="8"/>
                                <w:szCs w:val="8"/>
                              </w:rPr>
                            </w:pPr>
                            <w:r w:rsidRPr="002155C7">
                              <w:rPr>
                                <w:rStyle w:val="Heading1Char"/>
                                <w:rFonts w:ascii="Arial" w:hAnsi="Arial" w:cs="Arial"/>
                                <w:i/>
                                <w:iCs/>
                                <w:color w:val="000000" w:themeColor="text1"/>
                                <w:sz w:val="8"/>
                                <w:szCs w:val="8"/>
                              </w:rPr>
                              <w:t>Source: Deloitte UK (2025</w:t>
                            </w:r>
                            <w:r w:rsidR="0065075B">
                              <w:rPr>
                                <w:rStyle w:val="Heading1Char"/>
                                <w:rFonts w:ascii="Arial" w:hAnsi="Arial" w:cs="Arial"/>
                                <w:i/>
                                <w:iCs/>
                                <w:color w:val="000000" w:themeColor="text1"/>
                                <w:sz w:val="8"/>
                                <w:szCs w:val="8"/>
                              </w:rPr>
                              <w:t>a</w:t>
                            </w:r>
                            <w:r w:rsidRPr="002155C7">
                              <w:rPr>
                                <w:rStyle w:val="Heading1Char"/>
                                <w:rFonts w:ascii="Arial" w:hAnsi="Arial" w:cs="Arial"/>
                                <w:i/>
                                <w:iCs/>
                                <w:color w:val="000000" w:themeColor="text1"/>
                                <w:sz w:val="8"/>
                                <w:szCs w:val="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0C1B6" id="_x0000_s1039" type="#_x0000_t202" style="position:absolute;margin-left:261.35pt;margin-top:385.15pt;width:144.75pt;height:23.3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RSAHAIAADQ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" filled="f" stroked="f" strokeweight=".5pt">
                <v:textbox>
                  <w:txbxContent>
                    <w:p w14:paraId="0AB163F3" w14:textId="77777777" w:rsidR="002155C7" w:rsidRPr="002155C7" w:rsidRDefault="002155C7" w:rsidP="00A631CB">
                      <w:pPr>
                        <w:spacing w:after="0"/>
                        <w:jc w:val="both"/>
                        <w:rPr>
                          <w:rStyle w:val="Heading1Char"/>
                          <w:rFonts w:ascii="Arial" w:hAnsi="Arial" w:cs="Arial"/>
                          <w:color w:val="000000" w:themeColor="text1"/>
                          <w:sz w:val="8"/>
                          <w:szCs w:val="8"/>
                        </w:rPr>
                      </w:pPr>
                      <w:r w:rsidRPr="002155C7">
                        <w:rPr>
                          <w:rStyle w:val="Heading1Char"/>
                          <w:rFonts w:ascii="Arial" w:hAnsi="Arial" w:cs="Arial"/>
                          <w:b/>
                          <w:bCs/>
                          <w:color w:val="000000" w:themeColor="text1"/>
                          <w:sz w:val="8"/>
                          <w:szCs w:val="8"/>
                        </w:rPr>
                        <w:t xml:space="preserve">Figure 3: </w:t>
                      </w:r>
                      <w:r w:rsidRPr="002155C7">
                        <w:rPr>
                          <w:rStyle w:val="Heading1Char"/>
                          <w:rFonts w:ascii="Arial" w:hAnsi="Arial" w:cs="Arial"/>
                          <w:color w:val="000000" w:themeColor="text1"/>
                          <w:sz w:val="8"/>
                          <w:szCs w:val="8"/>
                        </w:rPr>
                        <w:t>Number of FTSE 100 companies that have adopted net-zero emissions targets in 2025 (79%) compared with those that have not (21%).</w:t>
                      </w:r>
                    </w:p>
                    <w:p w14:paraId="327E601E" w14:textId="57BE3BF3" w:rsidR="002155C7" w:rsidRPr="002155C7" w:rsidRDefault="002155C7" w:rsidP="00A631CB">
                      <w:pPr>
                        <w:jc w:val="both"/>
                        <w:rPr>
                          <w:rFonts w:ascii="Arial" w:eastAsiaTheme="majorEastAsia" w:hAnsi="Arial" w:cs="Arial"/>
                          <w:i/>
                          <w:iCs/>
                          <w:color w:val="000000" w:themeColor="text1"/>
                          <w:sz w:val="8"/>
                          <w:szCs w:val="8"/>
                        </w:rPr>
                      </w:pPr>
                      <w:r w:rsidRPr="002155C7">
                        <w:rPr>
                          <w:rStyle w:val="Heading1Char"/>
                          <w:rFonts w:ascii="Arial" w:hAnsi="Arial" w:cs="Arial"/>
                          <w:i/>
                          <w:iCs/>
                          <w:color w:val="000000" w:themeColor="text1"/>
                          <w:sz w:val="8"/>
                          <w:szCs w:val="8"/>
                        </w:rPr>
                        <w:t>Source: Deloitte UK (2025</w:t>
                      </w:r>
                      <w:r w:rsidR="0065075B">
                        <w:rPr>
                          <w:rStyle w:val="Heading1Char"/>
                          <w:rFonts w:ascii="Arial" w:hAnsi="Arial" w:cs="Arial"/>
                          <w:i/>
                          <w:iCs/>
                          <w:color w:val="000000" w:themeColor="text1"/>
                          <w:sz w:val="8"/>
                          <w:szCs w:val="8"/>
                        </w:rPr>
                        <w:t>a</w:t>
                      </w:r>
                      <w:r w:rsidRPr="002155C7">
                        <w:rPr>
                          <w:rStyle w:val="Heading1Char"/>
                          <w:rFonts w:ascii="Arial" w:hAnsi="Arial" w:cs="Arial"/>
                          <w:i/>
                          <w:iCs/>
                          <w:color w:val="000000" w:themeColor="text1"/>
                          <w:sz w:val="8"/>
                          <w:szCs w:val="8"/>
                        </w:rPr>
                        <w:t>).</w:t>
                      </w:r>
                    </w:p>
                  </w:txbxContent>
                </v:textbox>
              </v:shape>
            </w:pict>
          </mc:Fallback>
        </mc:AlternateContent>
      </w:r>
      <w:r w:rsidR="008E3F7E">
        <w:rPr>
          <w:noProof/>
        </w:rPr>
        <w:drawing>
          <wp:anchor distT="0" distB="0" distL="114300" distR="114300" simplePos="0" relativeHeight="251742208" behindDoc="0" locked="0" layoutInCell="1" allowOverlap="1" wp14:anchorId="24D427B8" wp14:editId="6E299410">
            <wp:simplePos x="0" y="0"/>
            <wp:positionH relativeFrom="column">
              <wp:posOffset>3272389</wp:posOffset>
            </wp:positionH>
            <wp:positionV relativeFrom="paragraph">
              <wp:posOffset>4987409</wp:posOffset>
            </wp:positionV>
            <wp:extent cx="1823987" cy="1241124"/>
            <wp:effectExtent l="0" t="0" r="0" b="0"/>
            <wp:wrapNone/>
            <wp:docPr id="616086817" name="Chart 1">
              <a:extLst xmlns:a="http://schemas.openxmlformats.org/drawingml/2006/main">
                <a:ext uri="{FF2B5EF4-FFF2-40B4-BE49-F238E27FC236}">
                  <a16:creationId xmlns:a16="http://schemas.microsoft.com/office/drawing/2014/main" id="{DEB7664B-17FD-AC2C-822B-927CC2272A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r w:rsidR="008E3F7E">
        <w:rPr>
          <w:noProof/>
        </w:rPr>
        <mc:AlternateContent>
          <mc:Choice Requires="wps">
            <w:drawing>
              <wp:anchor distT="0" distB="0" distL="114300" distR="114300" simplePos="0" relativeHeight="251665408" behindDoc="0" locked="0" layoutInCell="1" allowOverlap="1" wp14:anchorId="470E7FE7" wp14:editId="2C82F2A0">
                <wp:simplePos x="0" y="0"/>
                <wp:positionH relativeFrom="page">
                  <wp:posOffset>3828230</wp:posOffset>
                </wp:positionH>
                <wp:positionV relativeFrom="paragraph">
                  <wp:posOffset>2242249</wp:posOffset>
                </wp:positionV>
                <wp:extent cx="3679475" cy="3946358"/>
                <wp:effectExtent l="0" t="0" r="16510" b="16510"/>
                <wp:wrapNone/>
                <wp:docPr id="461080157" name="Rectangle 1"/>
                <wp:cNvGraphicFramePr/>
                <a:graphic xmlns:a="http://schemas.openxmlformats.org/drawingml/2006/main">
                  <a:graphicData uri="http://schemas.microsoft.com/office/word/2010/wordprocessingShape">
                    <wps:wsp>
                      <wps:cNvSpPr/>
                      <wps:spPr>
                        <a:xfrm>
                          <a:off x="0" y="0"/>
                          <a:ext cx="3679475" cy="3946358"/>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820F7" id="Rectangle 1" o:spid="_x0000_s1026" style="position:absolute;margin-left:301.45pt;margin-top:176.55pt;width:289.7pt;height:310.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" fillcolor="#f2f2f2 [3052]" strokecolor="#030e13 [484]" strokeweight="1pt">
                <w10:wrap anchorx="page"/>
              </v:rect>
            </w:pict>
          </mc:Fallback>
        </mc:AlternateContent>
      </w:r>
      <w:r w:rsidR="00A631CB">
        <w:rPr>
          <w:noProof/>
        </w:rPr>
        <mc:AlternateContent>
          <mc:Choice Requires="wps">
            <w:drawing>
              <wp:anchor distT="0" distB="0" distL="114300" distR="114300" simplePos="0" relativeHeight="251702272" behindDoc="0" locked="0" layoutInCell="1" allowOverlap="1" wp14:anchorId="744BC379" wp14:editId="5531753E">
                <wp:simplePos x="0" y="0"/>
                <wp:positionH relativeFrom="margin">
                  <wp:posOffset>3340404</wp:posOffset>
                </wp:positionH>
                <wp:positionV relativeFrom="paragraph">
                  <wp:posOffset>2220373</wp:posOffset>
                </wp:positionV>
                <wp:extent cx="3108960" cy="227506"/>
                <wp:effectExtent l="0" t="0" r="0" b="1270"/>
                <wp:wrapNone/>
                <wp:docPr id="130409551" name="Text Box 6"/>
                <wp:cNvGraphicFramePr/>
                <a:graphic xmlns:a="http://schemas.openxmlformats.org/drawingml/2006/main">
                  <a:graphicData uri="http://schemas.microsoft.com/office/word/2010/wordprocessingShape">
                    <wps:wsp>
                      <wps:cNvSpPr txBox="1"/>
                      <wps:spPr>
                        <a:xfrm>
                          <a:off x="0" y="0"/>
                          <a:ext cx="3108960" cy="227506"/>
                        </a:xfrm>
                        <a:prstGeom prst="rect">
                          <a:avLst/>
                        </a:prstGeom>
                        <a:noFill/>
                        <a:ln w="6350">
                          <a:noFill/>
                        </a:ln>
                      </wps:spPr>
                      <wps:txbx>
                        <w:txbxContent>
                          <w:p w14:paraId="6891D39B" w14:textId="3AAA990A" w:rsidR="008A3F95" w:rsidRPr="00A631CB" w:rsidRDefault="00ED1AA6">
                            <w:pPr>
                              <w:rPr>
                                <w:rFonts w:ascii="Arial" w:hAnsi="Arial" w:cs="Arial"/>
                                <w:sz w:val="20"/>
                                <w:szCs w:val="20"/>
                              </w:rPr>
                            </w:pPr>
                            <w:r w:rsidRPr="00A631CB">
                              <w:rPr>
                                <w:rFonts w:ascii="Arial" w:hAnsi="Arial" w:cs="Arial"/>
                                <w:b/>
                                <w:bCs/>
                                <w:color w:val="7030A0"/>
                                <w:sz w:val="20"/>
                                <w:szCs w:val="20"/>
                              </w:rPr>
                              <w:t>Data Presentation and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BC379" id="_x0000_s1042" type="#_x0000_t202" style="position:absolute;margin-left:263pt;margin-top:174.85pt;width:244.8pt;height:17.9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" filled="f" stroked="f" strokeweight=".5pt">
                <v:textbox>
                  <w:txbxContent>
                    <w:p w14:paraId="6891D39B" w14:textId="3AAA990A" w:rsidR="008A3F95" w:rsidRPr="00A631CB" w:rsidRDefault="00ED1AA6">
                      <w:pPr>
                        <w:rPr>
                          <w:rFonts w:ascii="Arial" w:hAnsi="Arial" w:cs="Arial"/>
                          <w:sz w:val="20"/>
                          <w:szCs w:val="20"/>
                        </w:rPr>
                      </w:pPr>
                      <w:r w:rsidRPr="00A631CB">
                        <w:rPr>
                          <w:rFonts w:ascii="Arial" w:hAnsi="Arial" w:cs="Arial"/>
                          <w:b/>
                          <w:bCs/>
                          <w:color w:val="7030A0"/>
                          <w:sz w:val="20"/>
                          <w:szCs w:val="20"/>
                        </w:rPr>
                        <w:t>Data Presentation and Analysis</w:t>
                      </w:r>
                    </w:p>
                  </w:txbxContent>
                </v:textbox>
                <w10:wrap anchorx="margin"/>
              </v:shape>
            </w:pict>
          </mc:Fallback>
        </mc:AlternateContent>
      </w:r>
      <w:r w:rsidR="00AF5D79">
        <w:rPr>
          <w:noProof/>
        </w:rPr>
        <mc:AlternateContent>
          <mc:Choice Requires="wps">
            <w:drawing>
              <wp:anchor distT="0" distB="0" distL="114300" distR="114300" simplePos="0" relativeHeight="251663360" behindDoc="0" locked="0" layoutInCell="1" allowOverlap="1" wp14:anchorId="0FE6E3CF" wp14:editId="1EBB99B3">
                <wp:simplePos x="0" y="0"/>
                <wp:positionH relativeFrom="page">
                  <wp:posOffset>54429</wp:posOffset>
                </wp:positionH>
                <wp:positionV relativeFrom="paragraph">
                  <wp:posOffset>2242457</wp:posOffset>
                </wp:positionV>
                <wp:extent cx="3731078" cy="1565910"/>
                <wp:effectExtent l="0" t="0" r="22225" b="15240"/>
                <wp:wrapNone/>
                <wp:docPr id="441065068" name="Rectangle 1"/>
                <wp:cNvGraphicFramePr/>
                <a:graphic xmlns:a="http://schemas.openxmlformats.org/drawingml/2006/main">
                  <a:graphicData uri="http://schemas.microsoft.com/office/word/2010/wordprocessingShape">
                    <wps:wsp>
                      <wps:cNvSpPr/>
                      <wps:spPr>
                        <a:xfrm>
                          <a:off x="0" y="0"/>
                          <a:ext cx="3731078" cy="1565910"/>
                        </a:xfrm>
                        <a:prstGeom prst="rect">
                          <a:avLst/>
                        </a:prstGeom>
                        <a:solidFill>
                          <a:schemeClr val="bg1">
                            <a:lumMod val="9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EB2B7" id="Rectangle 1" o:spid="_x0000_s1026" style="position:absolute;margin-left:4.3pt;margin-top:176.55pt;width:293.8pt;height:123.3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" fillcolor="#f2f2f2 [3052]" strokecolor="#030e13 [484]" strokeweight="1pt">
                <w10:wrap anchorx="page"/>
              </v:rect>
            </w:pict>
          </mc:Fallback>
        </mc:AlternateContent>
      </w:r>
      <w:r w:rsidR="00C11960">
        <w:rPr>
          <w:noProof/>
        </w:rPr>
        <mc:AlternateContent>
          <mc:Choice Requires="wps">
            <w:drawing>
              <wp:anchor distT="0" distB="0" distL="114300" distR="114300" simplePos="0" relativeHeight="251679744" behindDoc="0" locked="0" layoutInCell="1" allowOverlap="1" wp14:anchorId="5E92921E" wp14:editId="60482356">
                <wp:simplePos x="0" y="0"/>
                <wp:positionH relativeFrom="page">
                  <wp:posOffset>-9832</wp:posOffset>
                </wp:positionH>
                <wp:positionV relativeFrom="paragraph">
                  <wp:posOffset>2219100</wp:posOffset>
                </wp:positionV>
                <wp:extent cx="2675255" cy="269240"/>
                <wp:effectExtent l="0" t="0" r="0" b="0"/>
                <wp:wrapNone/>
                <wp:docPr id="367867454" name="Text Box 6"/>
                <wp:cNvGraphicFramePr/>
                <a:graphic xmlns:a="http://schemas.openxmlformats.org/drawingml/2006/main">
                  <a:graphicData uri="http://schemas.microsoft.com/office/word/2010/wordprocessingShape">
                    <wps:wsp>
                      <wps:cNvSpPr txBox="1"/>
                      <wps:spPr>
                        <a:xfrm>
                          <a:off x="0" y="0"/>
                          <a:ext cx="2675255" cy="269240"/>
                        </a:xfrm>
                        <a:prstGeom prst="rect">
                          <a:avLst/>
                        </a:prstGeom>
                        <a:noFill/>
                        <a:ln w="6350">
                          <a:noFill/>
                        </a:ln>
                      </wps:spPr>
                      <wps:txbx>
                        <w:txbxContent>
                          <w:p w14:paraId="0F871672" w14:textId="5700CDD8" w:rsidR="00584A5F" w:rsidRPr="00070388" w:rsidRDefault="00070388">
                            <w:pPr>
                              <w:rPr>
                                <w:rFonts w:ascii="Arial" w:hAnsi="Arial" w:cs="Arial"/>
                                <w:sz w:val="20"/>
                                <w:szCs w:val="20"/>
                              </w:rPr>
                            </w:pPr>
                            <w:r w:rsidRPr="00070388">
                              <w:rPr>
                                <w:rFonts w:ascii="Arial" w:hAnsi="Arial" w:cs="Arial"/>
                                <w:b/>
                                <w:bCs/>
                                <w:color w:val="7030A0"/>
                                <w:sz w:val="20"/>
                                <w:szCs w:val="20"/>
                              </w:rPr>
                              <w:t>Research Aim &amp; Objectives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2921E" id="_x0000_s1041" type="#_x0000_t202" style="position:absolute;margin-left:-.75pt;margin-top:174.75pt;width:210.65pt;height:21.2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" filled="f" stroked="f" strokeweight=".5pt">
                <v:textbox>
                  <w:txbxContent>
                    <w:p w14:paraId="0F871672" w14:textId="5700CDD8" w:rsidR="00584A5F" w:rsidRPr="00070388" w:rsidRDefault="00070388">
                      <w:pPr>
                        <w:rPr>
                          <w:rFonts w:ascii="Arial" w:hAnsi="Arial" w:cs="Arial"/>
                          <w:sz w:val="20"/>
                          <w:szCs w:val="20"/>
                        </w:rPr>
                      </w:pPr>
                      <w:r w:rsidRPr="00070388">
                        <w:rPr>
                          <w:rFonts w:ascii="Arial" w:hAnsi="Arial" w:cs="Arial"/>
                          <w:b/>
                          <w:bCs/>
                          <w:color w:val="7030A0"/>
                          <w:sz w:val="20"/>
                          <w:szCs w:val="20"/>
                        </w:rPr>
                        <w:t>Research Aim &amp; Objectives</w:t>
                      </w:r>
                    </w:p>
                  </w:txbxContent>
                </v:textbox>
                <w10:wrap anchorx="page"/>
              </v:shape>
            </w:pict>
          </mc:Fallback>
        </mc:AlternateContent>
      </w:r>
      <w:r w:rsidR="001B57E0">
        <w:rPr>
          <w:noProof/>
        </w:rPr>
        <w:drawing>
          <wp:anchor distT="0" distB="0" distL="114300" distR="114300" simplePos="0" relativeHeight="251738112" behindDoc="0" locked="0" layoutInCell="1" allowOverlap="1" wp14:anchorId="0AE40133" wp14:editId="64B83339">
            <wp:simplePos x="0" y="0"/>
            <wp:positionH relativeFrom="column">
              <wp:posOffset>-381000</wp:posOffset>
            </wp:positionH>
            <wp:positionV relativeFrom="paragraph">
              <wp:posOffset>4073236</wp:posOffset>
            </wp:positionV>
            <wp:extent cx="3583750" cy="3643746"/>
            <wp:effectExtent l="0" t="0" r="0" b="0"/>
            <wp:wrapNone/>
            <wp:docPr id="81015813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2075" name="Picture 1" descr="A diagram of a flowchar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590177" cy="3650280"/>
                    </a:xfrm>
                    <a:prstGeom prst="rect">
                      <a:avLst/>
                    </a:prstGeom>
                  </pic:spPr>
                </pic:pic>
              </a:graphicData>
            </a:graphic>
            <wp14:sizeRelH relativeFrom="margin">
              <wp14:pctWidth>0</wp14:pctWidth>
            </wp14:sizeRelH>
            <wp14:sizeRelV relativeFrom="margin">
              <wp14:pctHeight>0</wp14:pctHeight>
            </wp14:sizeRelV>
          </wp:anchor>
        </w:drawing>
      </w:r>
      <w:r w:rsidR="00070388">
        <w:rPr>
          <w:noProof/>
        </w:rPr>
        <mc:AlternateContent>
          <mc:Choice Requires="wps">
            <w:drawing>
              <wp:anchor distT="0" distB="0" distL="114300" distR="114300" simplePos="0" relativeHeight="251685888" behindDoc="0" locked="0" layoutInCell="1" allowOverlap="1" wp14:anchorId="6E99F660" wp14:editId="0ED10B46">
                <wp:simplePos x="0" y="0"/>
                <wp:positionH relativeFrom="margin">
                  <wp:posOffset>1635735</wp:posOffset>
                </wp:positionH>
                <wp:positionV relativeFrom="paragraph">
                  <wp:posOffset>590261</wp:posOffset>
                </wp:positionV>
                <wp:extent cx="3460247" cy="269240"/>
                <wp:effectExtent l="0" t="0" r="0" b="0"/>
                <wp:wrapNone/>
                <wp:docPr id="588343021" name="Text Box 6"/>
                <wp:cNvGraphicFramePr/>
                <a:graphic xmlns:a="http://schemas.openxmlformats.org/drawingml/2006/main">
                  <a:graphicData uri="http://schemas.microsoft.com/office/word/2010/wordprocessingShape">
                    <wps:wsp>
                      <wps:cNvSpPr txBox="1"/>
                      <wps:spPr>
                        <a:xfrm>
                          <a:off x="0" y="0"/>
                          <a:ext cx="3460247" cy="269240"/>
                        </a:xfrm>
                        <a:prstGeom prst="rect">
                          <a:avLst/>
                        </a:prstGeom>
                        <a:noFill/>
                        <a:ln w="6350">
                          <a:noFill/>
                        </a:ln>
                      </wps:spPr>
                      <wps:txbx>
                        <w:txbxContent>
                          <w:p w14:paraId="4DBE1980" w14:textId="602C1797" w:rsidR="00584A5F" w:rsidRPr="006757BB" w:rsidRDefault="006757BB">
                            <w:pPr>
                              <w:rPr>
                                <w:rFonts w:ascii="Arial" w:hAnsi="Arial" w:cs="Arial"/>
                              </w:rPr>
                            </w:pPr>
                            <w:r w:rsidRPr="006757BB">
                              <w:rPr>
                                <w:rFonts w:ascii="Arial" w:hAnsi="Arial" w:cs="Arial"/>
                                <w:b/>
                                <w:bCs/>
                                <w:color w:val="7030A0"/>
                              </w:rPr>
                              <w:t>Research Problem and Business Challenges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99F660" id="_x0000_s1042" type="#_x0000_t202" style="position:absolute;margin-left:128.8pt;margin-top:46.5pt;width:272.45pt;height:21.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" filled="f" stroked="f" strokeweight=".5pt">
                <v:textbox>
                  <w:txbxContent>
                    <w:p w14:paraId="4DBE1980" w14:textId="602C1797" w:rsidR="00584A5F" w:rsidRPr="006757BB" w:rsidRDefault="006757BB">
                      <w:pPr>
                        <w:rPr>
                          <w:rFonts w:ascii="Arial" w:hAnsi="Arial" w:cs="Arial"/>
                        </w:rPr>
                      </w:pPr>
                      <w:r w:rsidRPr="006757BB">
                        <w:rPr>
                          <w:rFonts w:ascii="Arial" w:hAnsi="Arial" w:cs="Arial"/>
                          <w:b/>
                          <w:bCs/>
                          <w:color w:val="7030A0"/>
                        </w:rPr>
                        <w:t xml:space="preserve">Research Problem </w:t>
                      </w:r>
                      <w:r w:rsidRPr="006757BB">
                        <w:rPr>
                          <w:rFonts w:ascii="Arial" w:hAnsi="Arial" w:cs="Arial"/>
                          <w:b/>
                          <w:bCs/>
                          <w:color w:val="7030A0"/>
                        </w:rPr>
                        <w:t>and</w:t>
                      </w:r>
                      <w:r w:rsidRPr="006757BB">
                        <w:rPr>
                          <w:rFonts w:ascii="Arial" w:hAnsi="Arial" w:cs="Arial"/>
                          <w:b/>
                          <w:bCs/>
                          <w:color w:val="7030A0"/>
                        </w:rPr>
                        <w:t xml:space="preserve"> Business Challenges</w:t>
                      </w:r>
                    </w:p>
                  </w:txbxContent>
                </v:textbox>
                <w10:wrap anchorx="margin"/>
              </v:shape>
            </w:pict>
          </mc:Fallback>
        </mc:AlternateContent>
      </w:r>
      <w:r w:rsidR="00070388">
        <w:rPr>
          <w:noProof/>
        </w:rPr>
        <mc:AlternateContent>
          <mc:Choice Requires="wps">
            <w:drawing>
              <wp:anchor distT="0" distB="0" distL="114300" distR="114300" simplePos="0" relativeHeight="251683840" behindDoc="0" locked="0" layoutInCell="1" allowOverlap="1" wp14:anchorId="22852869" wp14:editId="04EFA52F">
                <wp:simplePos x="0" y="0"/>
                <wp:positionH relativeFrom="page">
                  <wp:posOffset>-346</wp:posOffset>
                </wp:positionH>
                <wp:positionV relativeFrom="paragraph">
                  <wp:posOffset>2385204</wp:posOffset>
                </wp:positionV>
                <wp:extent cx="3702867" cy="1412240"/>
                <wp:effectExtent l="0" t="0" r="0" b="0"/>
                <wp:wrapNone/>
                <wp:docPr id="479938073" name="Text Box 6"/>
                <wp:cNvGraphicFramePr/>
                <a:graphic xmlns:a="http://schemas.openxmlformats.org/drawingml/2006/main">
                  <a:graphicData uri="http://schemas.microsoft.com/office/word/2010/wordprocessingShape">
                    <wps:wsp>
                      <wps:cNvSpPr txBox="1"/>
                      <wps:spPr>
                        <a:xfrm>
                          <a:off x="0" y="0"/>
                          <a:ext cx="3702867" cy="1412240"/>
                        </a:xfrm>
                        <a:prstGeom prst="rect">
                          <a:avLst/>
                        </a:prstGeom>
                        <a:noFill/>
                        <a:ln w="6350">
                          <a:noFill/>
                        </a:ln>
                      </wps:spPr>
                      <wps:txbx>
                        <w:txbxContent>
                          <w:p w14:paraId="6D320B73" w14:textId="1AB25502" w:rsidR="00070388" w:rsidRPr="00070388" w:rsidRDefault="00070388" w:rsidP="00070388">
                            <w:pPr>
                              <w:spacing w:line="240" w:lineRule="auto"/>
                              <w:jc w:val="both"/>
                              <w:rPr>
                                <w:rFonts w:ascii="Arial" w:hAnsi="Arial" w:cs="Arial"/>
                                <w:sz w:val="18"/>
                                <w:szCs w:val="18"/>
                              </w:rPr>
                            </w:pPr>
                            <w:r w:rsidRPr="00070388">
                              <w:rPr>
                                <w:rFonts w:ascii="Arial" w:hAnsi="Arial" w:cs="Arial"/>
                                <w:sz w:val="18"/>
                                <w:szCs w:val="18"/>
                              </w:rPr>
                              <w:t>To investigate and propose strategies for improving talent retention and the integration of Environmental, Social, and Governance (ESG) principles within Deloitte, UK.</w:t>
                            </w:r>
                          </w:p>
                          <w:p w14:paraId="7F06B104" w14:textId="5C234C35" w:rsidR="00070388" w:rsidRPr="00070388" w:rsidRDefault="00070388" w:rsidP="00070388">
                            <w:pPr>
                              <w:spacing w:after="0" w:line="240" w:lineRule="auto"/>
                              <w:jc w:val="both"/>
                              <w:rPr>
                                <w:rFonts w:ascii="Arial" w:hAnsi="Arial" w:cs="Arial"/>
                                <w:b/>
                                <w:bCs/>
                                <w:color w:val="A02B93" w:themeColor="accent5"/>
                                <w:sz w:val="18"/>
                                <w:szCs w:val="18"/>
                              </w:rPr>
                            </w:pPr>
                            <w:r w:rsidRPr="00070388">
                              <w:rPr>
                                <w:rFonts w:ascii="Arial" w:hAnsi="Arial" w:cs="Arial"/>
                                <w:b/>
                                <w:bCs/>
                                <w:color w:val="A02B93" w:themeColor="accent5"/>
                                <w:sz w:val="18"/>
                                <w:szCs w:val="18"/>
                              </w:rPr>
                              <w:t>Objectives</w:t>
                            </w:r>
                          </w:p>
                          <w:p w14:paraId="4EA9D391" w14:textId="77777777" w:rsidR="00070388" w:rsidRPr="00070388" w:rsidRDefault="00070388" w:rsidP="00070388">
                            <w:pPr>
                              <w:pStyle w:val="ListParagraph"/>
                              <w:numPr>
                                <w:ilvl w:val="0"/>
                                <w:numId w:val="1"/>
                              </w:numPr>
                              <w:spacing w:after="200" w:line="240" w:lineRule="auto"/>
                              <w:ind w:left="284" w:hanging="284"/>
                              <w:jc w:val="both"/>
                              <w:rPr>
                                <w:rFonts w:ascii="Arial" w:hAnsi="Arial" w:cs="Arial"/>
                                <w:sz w:val="18"/>
                                <w:szCs w:val="18"/>
                              </w:rPr>
                            </w:pPr>
                            <w:r w:rsidRPr="00070388">
                              <w:rPr>
                                <w:rFonts w:ascii="Arial" w:hAnsi="Arial" w:cs="Arial"/>
                                <w:sz w:val="18"/>
                                <w:szCs w:val="18"/>
                              </w:rPr>
                              <w:t>Evaluate current talent retention strategies at Deloitte, UK.</w:t>
                            </w:r>
                          </w:p>
                          <w:p w14:paraId="64265301" w14:textId="77777777" w:rsidR="00070388" w:rsidRPr="00070388" w:rsidRDefault="00070388" w:rsidP="00070388">
                            <w:pPr>
                              <w:pStyle w:val="ListParagraph"/>
                              <w:numPr>
                                <w:ilvl w:val="0"/>
                                <w:numId w:val="1"/>
                              </w:numPr>
                              <w:spacing w:after="200" w:line="240" w:lineRule="auto"/>
                              <w:ind w:left="284" w:hanging="284"/>
                              <w:jc w:val="both"/>
                              <w:rPr>
                                <w:rFonts w:ascii="Arial" w:hAnsi="Arial" w:cs="Arial"/>
                                <w:sz w:val="18"/>
                                <w:szCs w:val="18"/>
                              </w:rPr>
                            </w:pPr>
                            <w:r w:rsidRPr="00070388">
                              <w:rPr>
                                <w:rFonts w:ascii="Arial" w:hAnsi="Arial" w:cs="Arial"/>
                                <w:sz w:val="18"/>
                                <w:szCs w:val="18"/>
                              </w:rPr>
                              <w:t>Analyse the integration of ESG principles within Deloitte UK’s organizational culture and client operations.</w:t>
                            </w:r>
                          </w:p>
                          <w:p w14:paraId="2D4B301F" w14:textId="77777777" w:rsidR="00070388" w:rsidRPr="00070388" w:rsidRDefault="00070388" w:rsidP="00070388">
                            <w:pPr>
                              <w:pStyle w:val="ListParagraph"/>
                              <w:numPr>
                                <w:ilvl w:val="0"/>
                                <w:numId w:val="1"/>
                              </w:numPr>
                              <w:spacing w:after="200" w:line="240" w:lineRule="auto"/>
                              <w:ind w:left="284" w:hanging="284"/>
                              <w:jc w:val="both"/>
                              <w:rPr>
                                <w:rFonts w:ascii="Arial" w:hAnsi="Arial" w:cs="Arial"/>
                                <w:sz w:val="18"/>
                                <w:szCs w:val="18"/>
                              </w:rPr>
                            </w:pPr>
                            <w:r w:rsidRPr="00070388">
                              <w:rPr>
                                <w:rFonts w:ascii="Arial" w:hAnsi="Arial" w:cs="Arial"/>
                                <w:sz w:val="18"/>
                                <w:szCs w:val="18"/>
                              </w:rPr>
                              <w:t>Identify key challenges and opportunities for improving talent retention and ESG integration at Deloitte, UK.</w:t>
                            </w:r>
                          </w:p>
                          <w:p w14:paraId="265CBC20" w14:textId="77777777" w:rsidR="00070388" w:rsidRPr="00070388" w:rsidRDefault="00070388" w:rsidP="00070388">
                            <w:pPr>
                              <w:spacing w:line="240" w:lineRule="auto"/>
                              <w:ind w:left="284" w:hanging="284"/>
                              <w:jc w:val="both"/>
                              <w:rPr>
                                <w:rFonts w:ascii="Arial" w:hAnsi="Arial" w:cs="Arial"/>
                                <w:b/>
                                <w:bCs/>
                                <w:sz w:val="14"/>
                                <w:szCs w:val="14"/>
                              </w:rPr>
                            </w:pPr>
                          </w:p>
                          <w:p w14:paraId="62C237D2" w14:textId="77777777" w:rsidR="00070388" w:rsidRPr="00070388" w:rsidRDefault="00070388" w:rsidP="00070388">
                            <w:pPr>
                              <w:spacing w:line="240" w:lineRule="auto"/>
                              <w:ind w:left="284" w:hanging="284"/>
                              <w:jc w:val="both"/>
                              <w:rPr>
                                <w:rFonts w:ascii="Arial" w:hAnsi="Arial" w:cs="Arial"/>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52869" id="_x0000_s1043" type="#_x0000_t202" style="position:absolute;margin-left:-.05pt;margin-top:187.8pt;width:291.55pt;height:111.2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" filled="f" stroked="f" strokeweight=".5pt">
                <v:textbox>
                  <w:txbxContent>
                    <w:p w14:paraId="6D320B73" w14:textId="1AB25502" w:rsidR="00070388" w:rsidRPr="00070388" w:rsidRDefault="00070388" w:rsidP="00070388">
                      <w:pPr>
                        <w:spacing w:line="240" w:lineRule="auto"/>
                        <w:jc w:val="both"/>
                        <w:rPr>
                          <w:rFonts w:ascii="Arial" w:hAnsi="Arial" w:cs="Arial"/>
                          <w:sz w:val="18"/>
                          <w:szCs w:val="18"/>
                        </w:rPr>
                      </w:pPr>
                      <w:r w:rsidRPr="00070388">
                        <w:rPr>
                          <w:rFonts w:ascii="Arial" w:hAnsi="Arial" w:cs="Arial"/>
                          <w:sz w:val="18"/>
                          <w:szCs w:val="18"/>
                        </w:rPr>
                        <w:t>To investigate and propose strategies for improving talent retention and the integration of Environmental, Social, and Governance (ESG) principles within Deloitte, UK.</w:t>
                      </w:r>
                    </w:p>
                    <w:p w14:paraId="7F06B104" w14:textId="5C234C35" w:rsidR="00070388" w:rsidRPr="00070388" w:rsidRDefault="00070388" w:rsidP="00070388">
                      <w:pPr>
                        <w:spacing w:after="0" w:line="240" w:lineRule="auto"/>
                        <w:jc w:val="both"/>
                        <w:rPr>
                          <w:rFonts w:ascii="Arial" w:hAnsi="Arial" w:cs="Arial"/>
                          <w:b/>
                          <w:bCs/>
                          <w:color w:val="A02B93" w:themeColor="accent5"/>
                          <w:sz w:val="18"/>
                          <w:szCs w:val="18"/>
                        </w:rPr>
                      </w:pPr>
                      <w:r w:rsidRPr="00070388">
                        <w:rPr>
                          <w:rFonts w:ascii="Arial" w:hAnsi="Arial" w:cs="Arial"/>
                          <w:b/>
                          <w:bCs/>
                          <w:color w:val="A02B93" w:themeColor="accent5"/>
                          <w:sz w:val="18"/>
                          <w:szCs w:val="18"/>
                        </w:rPr>
                        <w:t>Objectives</w:t>
                      </w:r>
                    </w:p>
                    <w:p w14:paraId="4EA9D391" w14:textId="77777777" w:rsidR="00070388" w:rsidRPr="00070388" w:rsidRDefault="00070388" w:rsidP="00070388">
                      <w:pPr>
                        <w:pStyle w:val="ListParagraph"/>
                        <w:numPr>
                          <w:ilvl w:val="0"/>
                          <w:numId w:val="1"/>
                        </w:numPr>
                        <w:spacing w:after="200" w:line="240" w:lineRule="auto"/>
                        <w:ind w:left="284" w:hanging="284"/>
                        <w:jc w:val="both"/>
                        <w:rPr>
                          <w:rFonts w:ascii="Arial" w:hAnsi="Arial" w:cs="Arial"/>
                          <w:sz w:val="18"/>
                          <w:szCs w:val="18"/>
                        </w:rPr>
                      </w:pPr>
                      <w:r w:rsidRPr="00070388">
                        <w:rPr>
                          <w:rFonts w:ascii="Arial" w:hAnsi="Arial" w:cs="Arial"/>
                          <w:sz w:val="18"/>
                          <w:szCs w:val="18"/>
                        </w:rPr>
                        <w:t>Evaluate current talent retention strategies at Deloitte, UK.</w:t>
                      </w:r>
                    </w:p>
                    <w:p w14:paraId="64265301" w14:textId="77777777" w:rsidR="00070388" w:rsidRPr="00070388" w:rsidRDefault="00070388" w:rsidP="00070388">
                      <w:pPr>
                        <w:pStyle w:val="ListParagraph"/>
                        <w:numPr>
                          <w:ilvl w:val="0"/>
                          <w:numId w:val="1"/>
                        </w:numPr>
                        <w:spacing w:after="200" w:line="240" w:lineRule="auto"/>
                        <w:ind w:left="284" w:hanging="284"/>
                        <w:jc w:val="both"/>
                        <w:rPr>
                          <w:rFonts w:ascii="Arial" w:hAnsi="Arial" w:cs="Arial"/>
                          <w:sz w:val="18"/>
                          <w:szCs w:val="18"/>
                        </w:rPr>
                      </w:pPr>
                      <w:r w:rsidRPr="00070388">
                        <w:rPr>
                          <w:rFonts w:ascii="Arial" w:hAnsi="Arial" w:cs="Arial"/>
                          <w:sz w:val="18"/>
                          <w:szCs w:val="18"/>
                        </w:rPr>
                        <w:t>Analyse the integration of ESG principles within Deloitte UK’s organizational culture and client operations.</w:t>
                      </w:r>
                    </w:p>
                    <w:p w14:paraId="2D4B301F" w14:textId="77777777" w:rsidR="00070388" w:rsidRPr="00070388" w:rsidRDefault="00070388" w:rsidP="00070388">
                      <w:pPr>
                        <w:pStyle w:val="ListParagraph"/>
                        <w:numPr>
                          <w:ilvl w:val="0"/>
                          <w:numId w:val="1"/>
                        </w:numPr>
                        <w:spacing w:after="200" w:line="240" w:lineRule="auto"/>
                        <w:ind w:left="284" w:hanging="284"/>
                        <w:jc w:val="both"/>
                        <w:rPr>
                          <w:rFonts w:ascii="Arial" w:hAnsi="Arial" w:cs="Arial"/>
                          <w:sz w:val="18"/>
                          <w:szCs w:val="18"/>
                        </w:rPr>
                      </w:pPr>
                      <w:r w:rsidRPr="00070388">
                        <w:rPr>
                          <w:rFonts w:ascii="Arial" w:hAnsi="Arial" w:cs="Arial"/>
                          <w:sz w:val="18"/>
                          <w:szCs w:val="18"/>
                        </w:rPr>
                        <w:t>Identify key challenges and opportunities for improving talent retention and ESG integration at Deloitte, UK.</w:t>
                      </w:r>
                    </w:p>
                    <w:p w14:paraId="265CBC20" w14:textId="77777777" w:rsidR="00070388" w:rsidRPr="00070388" w:rsidRDefault="00070388" w:rsidP="00070388">
                      <w:pPr>
                        <w:spacing w:line="240" w:lineRule="auto"/>
                        <w:ind w:left="284" w:hanging="284"/>
                        <w:jc w:val="both"/>
                        <w:rPr>
                          <w:rFonts w:ascii="Arial" w:hAnsi="Arial" w:cs="Arial"/>
                          <w:b/>
                          <w:bCs/>
                          <w:sz w:val="14"/>
                          <w:szCs w:val="14"/>
                        </w:rPr>
                      </w:pPr>
                    </w:p>
                    <w:p w14:paraId="62C237D2" w14:textId="77777777" w:rsidR="00070388" w:rsidRPr="00070388" w:rsidRDefault="00070388" w:rsidP="00070388">
                      <w:pPr>
                        <w:spacing w:line="240" w:lineRule="auto"/>
                        <w:ind w:left="284" w:hanging="284"/>
                        <w:jc w:val="both"/>
                        <w:rPr>
                          <w:rFonts w:ascii="Arial" w:hAnsi="Arial" w:cs="Arial"/>
                          <w:sz w:val="14"/>
                          <w:szCs w:val="14"/>
                        </w:rPr>
                      </w:pPr>
                    </w:p>
                  </w:txbxContent>
                </v:textbox>
                <w10:wrap anchorx="page"/>
              </v:shape>
            </w:pict>
          </mc:Fallback>
        </mc:AlternateContent>
      </w:r>
      <w:r w:rsidR="00532A85">
        <w:rPr>
          <w:noProof/>
        </w:rPr>
        <mc:AlternateContent>
          <mc:Choice Requires="wps">
            <w:drawing>
              <wp:anchor distT="0" distB="0" distL="114300" distR="114300" simplePos="0" relativeHeight="251730944" behindDoc="0" locked="0" layoutInCell="1" allowOverlap="1" wp14:anchorId="38255CD7" wp14:editId="213CAA35">
                <wp:simplePos x="0" y="0"/>
                <wp:positionH relativeFrom="page">
                  <wp:posOffset>-9053</wp:posOffset>
                </wp:positionH>
                <wp:positionV relativeFrom="paragraph">
                  <wp:posOffset>696909</wp:posOffset>
                </wp:positionV>
                <wp:extent cx="2118250" cy="308710"/>
                <wp:effectExtent l="0" t="0" r="0" b="0"/>
                <wp:wrapNone/>
                <wp:docPr id="702626189" name="Text Box 6"/>
                <wp:cNvGraphicFramePr/>
                <a:graphic xmlns:a="http://schemas.openxmlformats.org/drawingml/2006/main">
                  <a:graphicData uri="http://schemas.microsoft.com/office/word/2010/wordprocessingShape">
                    <wps:wsp>
                      <wps:cNvSpPr txBox="1"/>
                      <wps:spPr>
                        <a:xfrm>
                          <a:off x="0" y="0"/>
                          <a:ext cx="2118250" cy="308710"/>
                        </a:xfrm>
                        <a:prstGeom prst="roundRect">
                          <a:avLst/>
                        </a:prstGeom>
                        <a:noFill/>
                        <a:ln w="12700">
                          <a:noFill/>
                        </a:ln>
                      </wps:spPr>
                      <wps:txbx>
                        <w:txbxContent>
                          <w:p w14:paraId="139BCE0C" w14:textId="3C8445A1" w:rsidR="006757BB" w:rsidRPr="00070388" w:rsidRDefault="006757BB">
                            <w:pPr>
                              <w:rPr>
                                <w:rFonts w:ascii="Arial" w:hAnsi="Arial" w:cs="Arial"/>
                                <w:color w:val="A02B93" w:themeColor="accent5"/>
                                <w:sz w:val="20"/>
                                <w:szCs w:val="20"/>
                              </w:rPr>
                            </w:pPr>
                            <w:r w:rsidRPr="00070388">
                              <w:rPr>
                                <w:rFonts w:ascii="Arial" w:hAnsi="Arial" w:cs="Arial"/>
                                <w:b/>
                                <w:bCs/>
                                <w:color w:val="A02B93" w:themeColor="accent5"/>
                                <w:sz w:val="20"/>
                                <w:szCs w:val="20"/>
                              </w:rPr>
                              <w:t>Challenge 1: Talent Retention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255CD7" id="_x0000_s1046" style="position:absolute;margin-left:-.7pt;margin-top:54.85pt;width:166.8pt;height:24.3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" filled="f" stroked="f" strokeweight="1pt">
                <v:textbox>
                  <w:txbxContent>
                    <w:p w14:paraId="139BCE0C" w14:textId="3C8445A1" w:rsidR="006757BB" w:rsidRPr="00070388" w:rsidRDefault="006757BB">
                      <w:pPr>
                        <w:rPr>
                          <w:rFonts w:ascii="Arial" w:hAnsi="Arial" w:cs="Arial"/>
                          <w:color w:val="A02B93" w:themeColor="accent5"/>
                          <w:sz w:val="20"/>
                          <w:szCs w:val="20"/>
                        </w:rPr>
                      </w:pPr>
                      <w:r w:rsidRPr="00070388">
                        <w:rPr>
                          <w:rFonts w:ascii="Arial" w:hAnsi="Arial" w:cs="Arial"/>
                          <w:b/>
                          <w:bCs/>
                          <w:color w:val="A02B93" w:themeColor="accent5"/>
                          <w:sz w:val="20"/>
                          <w:szCs w:val="20"/>
                        </w:rPr>
                        <w:t>Challenge 1: Talent Retention</w:t>
                      </w:r>
                    </w:p>
                  </w:txbxContent>
                </v:textbox>
                <w10:wrap anchorx="page"/>
              </v:roundrect>
            </w:pict>
          </mc:Fallback>
        </mc:AlternateContent>
      </w:r>
      <w:r w:rsidR="00532A85">
        <w:rPr>
          <w:noProof/>
        </w:rPr>
        <mc:AlternateContent>
          <mc:Choice Requires="wps">
            <w:drawing>
              <wp:anchor distT="0" distB="0" distL="114300" distR="114300" simplePos="0" relativeHeight="251732992" behindDoc="0" locked="0" layoutInCell="1" allowOverlap="1" wp14:anchorId="225460BA" wp14:editId="76471DA9">
                <wp:simplePos x="0" y="0"/>
                <wp:positionH relativeFrom="page">
                  <wp:posOffset>3753334</wp:posOffset>
                </wp:positionH>
                <wp:positionV relativeFrom="paragraph">
                  <wp:posOffset>777190</wp:posOffset>
                </wp:positionV>
                <wp:extent cx="2019574" cy="308710"/>
                <wp:effectExtent l="0" t="0" r="0" b="0"/>
                <wp:wrapNone/>
                <wp:docPr id="1348648928" name="Text Box 6"/>
                <wp:cNvGraphicFramePr/>
                <a:graphic xmlns:a="http://schemas.openxmlformats.org/drawingml/2006/main">
                  <a:graphicData uri="http://schemas.microsoft.com/office/word/2010/wordprocessingShape">
                    <wps:wsp>
                      <wps:cNvSpPr txBox="1"/>
                      <wps:spPr>
                        <a:xfrm>
                          <a:off x="0" y="0"/>
                          <a:ext cx="2019574" cy="308710"/>
                        </a:xfrm>
                        <a:prstGeom prst="roundRect">
                          <a:avLst/>
                        </a:prstGeom>
                        <a:noFill/>
                        <a:ln w="12700">
                          <a:noFill/>
                        </a:ln>
                      </wps:spPr>
                      <wps:txbx>
                        <w:txbxContent>
                          <w:p w14:paraId="4715BEBA" w14:textId="532DC5F1" w:rsidR="001B1A0C" w:rsidRPr="00070388" w:rsidRDefault="001B1A0C">
                            <w:pPr>
                              <w:rPr>
                                <w:rFonts w:ascii="Arial" w:hAnsi="Arial" w:cs="Arial"/>
                                <w:color w:val="A02B93" w:themeColor="accent5"/>
                                <w:sz w:val="20"/>
                                <w:szCs w:val="20"/>
                              </w:rPr>
                            </w:pPr>
                            <w:r w:rsidRPr="00070388">
                              <w:rPr>
                                <w:rFonts w:ascii="Arial" w:hAnsi="Arial" w:cs="Arial"/>
                                <w:b/>
                                <w:bCs/>
                                <w:color w:val="A02B93" w:themeColor="accent5"/>
                                <w:sz w:val="20"/>
                                <w:szCs w:val="20"/>
                              </w:rPr>
                              <w:t>Challenge 2: ESG Integration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5460BA" id="_x0000_s1047" style="position:absolute;margin-left:295.55pt;margin-top:61.2pt;width:159pt;height:24.3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" filled="f" stroked="f" strokeweight="1pt">
                <v:textbox>
                  <w:txbxContent>
                    <w:p w14:paraId="4715BEBA" w14:textId="532DC5F1" w:rsidR="001B1A0C" w:rsidRPr="00070388" w:rsidRDefault="001B1A0C">
                      <w:pPr>
                        <w:rPr>
                          <w:rFonts w:ascii="Arial" w:hAnsi="Arial" w:cs="Arial"/>
                          <w:color w:val="A02B93" w:themeColor="accent5"/>
                          <w:sz w:val="20"/>
                          <w:szCs w:val="20"/>
                        </w:rPr>
                      </w:pPr>
                      <w:r w:rsidRPr="00070388">
                        <w:rPr>
                          <w:rFonts w:ascii="Arial" w:hAnsi="Arial" w:cs="Arial"/>
                          <w:b/>
                          <w:bCs/>
                          <w:color w:val="A02B93" w:themeColor="accent5"/>
                          <w:sz w:val="20"/>
                          <w:szCs w:val="20"/>
                        </w:rPr>
                        <w:t>Challenge 2: ESG Integration</w:t>
                      </w:r>
                    </w:p>
                  </w:txbxContent>
                </v:textbox>
                <w10:wrap anchorx="page"/>
              </v:roundrect>
            </w:pict>
          </mc:Fallback>
        </mc:AlternateContent>
      </w:r>
      <w:r w:rsidR="006757BB">
        <w:rPr>
          <w:noProof/>
        </w:rPr>
        <mc:AlternateContent>
          <mc:Choice Requires="wps">
            <w:drawing>
              <wp:anchor distT="0" distB="0" distL="114300" distR="114300" simplePos="0" relativeHeight="251728896" behindDoc="0" locked="0" layoutInCell="1" allowOverlap="1" wp14:anchorId="58B61D2A" wp14:editId="1DA08808">
                <wp:simplePos x="0" y="0"/>
                <wp:positionH relativeFrom="margin">
                  <wp:align>center</wp:align>
                </wp:positionH>
                <wp:positionV relativeFrom="paragraph">
                  <wp:posOffset>812435</wp:posOffset>
                </wp:positionV>
                <wp:extent cx="0" cy="1335418"/>
                <wp:effectExtent l="19050" t="0" r="19050" b="36195"/>
                <wp:wrapNone/>
                <wp:docPr id="427403874" name="Straight Connector 33"/>
                <wp:cNvGraphicFramePr/>
                <a:graphic xmlns:a="http://schemas.openxmlformats.org/drawingml/2006/main">
                  <a:graphicData uri="http://schemas.microsoft.com/office/word/2010/wordprocessingShape">
                    <wps:wsp>
                      <wps:cNvCnPr/>
                      <wps:spPr>
                        <a:xfrm>
                          <a:off x="0" y="0"/>
                          <a:ext cx="0" cy="1335418"/>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89A1D10" id="Straight Connector 33" o:spid="_x0000_s1026" style="position:absolute;z-index:2517288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63.95pt" to="0,1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" strokecolor="black [3200]" strokeweight="2.25pt">
                <v:stroke joinstyle="miter"/>
                <w10:wrap anchorx="margin"/>
              </v:line>
            </w:pict>
          </mc:Fallback>
        </mc:AlternateContent>
      </w:r>
      <w:r w:rsidR="006757BB">
        <w:rPr>
          <w:noProof/>
        </w:rPr>
        <mc:AlternateContent>
          <mc:Choice Requires="wps">
            <w:drawing>
              <wp:anchor distT="0" distB="0" distL="114300" distR="114300" simplePos="0" relativeHeight="251674624" behindDoc="0" locked="0" layoutInCell="1" allowOverlap="1" wp14:anchorId="6217AEC6" wp14:editId="5AF6B30C">
                <wp:simplePos x="0" y="0"/>
                <wp:positionH relativeFrom="column">
                  <wp:posOffset>450215</wp:posOffset>
                </wp:positionH>
                <wp:positionV relativeFrom="paragraph">
                  <wp:posOffset>-411480</wp:posOffset>
                </wp:positionV>
                <wp:extent cx="5387340" cy="585470"/>
                <wp:effectExtent l="0" t="0" r="0" b="5080"/>
                <wp:wrapNone/>
                <wp:docPr id="1815030400" name="Text Box 2"/>
                <wp:cNvGraphicFramePr/>
                <a:graphic xmlns:a="http://schemas.openxmlformats.org/drawingml/2006/main">
                  <a:graphicData uri="http://schemas.microsoft.com/office/word/2010/wordprocessingShape">
                    <wps:wsp>
                      <wps:cNvSpPr txBox="1"/>
                      <wps:spPr>
                        <a:xfrm>
                          <a:off x="0" y="0"/>
                          <a:ext cx="5387340" cy="585470"/>
                        </a:xfrm>
                        <a:prstGeom prst="rect">
                          <a:avLst/>
                        </a:prstGeom>
                        <a:noFill/>
                        <a:ln w="6350">
                          <a:noFill/>
                        </a:ln>
                      </wps:spPr>
                      <wps:txbx>
                        <w:txbxContent>
                          <w:p w14:paraId="0478AEEA" w14:textId="58B6599E" w:rsidR="0095382D" w:rsidRPr="006757BB" w:rsidRDefault="00475DC8" w:rsidP="0095382D">
                            <w:pPr>
                              <w:jc w:val="center"/>
                              <w:rPr>
                                <w:rFonts w:ascii="Arial" w:hAnsi="Arial" w:cs="Arial"/>
                                <w:b/>
                                <w:bCs/>
                                <w:sz w:val="44"/>
                                <w:szCs w:val="44"/>
                              </w:rPr>
                            </w:pPr>
                            <w:r w:rsidRPr="006757BB">
                              <w:rPr>
                                <w:rFonts w:ascii="Arial" w:hAnsi="Arial" w:cs="Arial"/>
                                <w:b/>
                                <w:bCs/>
                                <w:sz w:val="32"/>
                                <w:szCs w:val="32"/>
                              </w:rPr>
                              <w:t>Improving Talent Retention and ESG Implementation Strategies at Deloitte, United Kingdom.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7AEC6" id="Text Box 2" o:spid="_x0000_s1048" type="#_x0000_t202" style="position:absolute;margin-left:35.45pt;margin-top:-32.4pt;width:424.2pt;height:46.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" filled="f" stroked="f" strokeweight=".5pt">
                <v:textbox>
                  <w:txbxContent>
                    <w:p w14:paraId="0478AEEA" w14:textId="58B6599E" w:rsidR="0095382D" w:rsidRPr="006757BB" w:rsidRDefault="00475DC8" w:rsidP="0095382D">
                      <w:pPr>
                        <w:jc w:val="center"/>
                        <w:rPr>
                          <w:rFonts w:ascii="Arial" w:hAnsi="Arial" w:cs="Arial"/>
                          <w:b/>
                          <w:bCs/>
                          <w:sz w:val="44"/>
                          <w:szCs w:val="44"/>
                        </w:rPr>
                      </w:pPr>
                      <w:r w:rsidRPr="006757BB">
                        <w:rPr>
                          <w:rFonts w:ascii="Arial" w:hAnsi="Arial" w:cs="Arial"/>
                          <w:b/>
                          <w:bCs/>
                          <w:sz w:val="32"/>
                          <w:szCs w:val="32"/>
                        </w:rPr>
                        <w:t>Improving Talent Retention and ESG Implementation Strategies at Deloitte, United Kingdom.</w:t>
                      </w:r>
                    </w:p>
                  </w:txbxContent>
                </v:textbox>
              </v:shape>
            </w:pict>
          </mc:Fallback>
        </mc:AlternateContent>
      </w:r>
      <w:r w:rsidR="006757BB">
        <w:rPr>
          <w:noProof/>
        </w:rPr>
        <mc:AlternateContent>
          <mc:Choice Requires="wps">
            <w:drawing>
              <wp:anchor distT="0" distB="0" distL="114300" distR="114300" simplePos="0" relativeHeight="251659264" behindDoc="0" locked="0" layoutInCell="1" allowOverlap="1" wp14:anchorId="02888B7F" wp14:editId="09F39104">
                <wp:simplePos x="0" y="0"/>
                <wp:positionH relativeFrom="page">
                  <wp:align>left</wp:align>
                </wp:positionH>
                <wp:positionV relativeFrom="paragraph">
                  <wp:posOffset>-466825</wp:posOffset>
                </wp:positionV>
                <wp:extent cx="7738110" cy="1000613"/>
                <wp:effectExtent l="0" t="0" r="15240" b="28575"/>
                <wp:wrapNone/>
                <wp:docPr id="1323481636" name="Rectangle 1"/>
                <wp:cNvGraphicFramePr/>
                <a:graphic xmlns:a="http://schemas.openxmlformats.org/drawingml/2006/main">
                  <a:graphicData uri="http://schemas.microsoft.com/office/word/2010/wordprocessingShape">
                    <wps:wsp>
                      <wps:cNvSpPr/>
                      <wps:spPr>
                        <a:xfrm>
                          <a:off x="0" y="0"/>
                          <a:ext cx="7738110" cy="1000613"/>
                        </a:xfrm>
                        <a:prstGeom prst="rect">
                          <a:avLst/>
                        </a:prstGeom>
                        <a:solidFill>
                          <a:schemeClr val="tx2">
                            <a:lumMod val="10000"/>
                            <a:lumOff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91676" id="Rectangle 1" o:spid="_x0000_s1026" style="position:absolute;margin-left:0;margin-top:-36.75pt;width:609.3pt;height:78.8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" fillcolor="#dceaf7 [351]" strokecolor="#030e13 [484]" strokeweight="1pt">
                <w10:wrap anchorx="page"/>
              </v:rect>
            </w:pict>
          </mc:Fallback>
        </mc:AlternateContent>
      </w:r>
      <w:r w:rsidR="006757BB">
        <w:rPr>
          <w:noProof/>
        </w:rPr>
        <mc:AlternateContent>
          <mc:Choice Requires="wps">
            <w:drawing>
              <wp:anchor distT="0" distB="0" distL="114300" distR="114300" simplePos="0" relativeHeight="251677696" behindDoc="0" locked="0" layoutInCell="1" allowOverlap="1" wp14:anchorId="4BA8F571" wp14:editId="66AA7F63">
                <wp:simplePos x="0" y="0"/>
                <wp:positionH relativeFrom="column">
                  <wp:posOffset>1897700</wp:posOffset>
                </wp:positionH>
                <wp:positionV relativeFrom="paragraph">
                  <wp:posOffset>231332</wp:posOffset>
                </wp:positionV>
                <wp:extent cx="2999758" cy="309880"/>
                <wp:effectExtent l="0" t="0" r="0" b="0"/>
                <wp:wrapNone/>
                <wp:docPr id="2075793334" name="Text Box 3"/>
                <wp:cNvGraphicFramePr/>
                <a:graphic xmlns:a="http://schemas.openxmlformats.org/drawingml/2006/main">
                  <a:graphicData uri="http://schemas.microsoft.com/office/word/2010/wordprocessingShape">
                    <wps:wsp>
                      <wps:cNvSpPr txBox="1"/>
                      <wps:spPr>
                        <a:xfrm>
                          <a:off x="0" y="0"/>
                          <a:ext cx="2999758" cy="309880"/>
                        </a:xfrm>
                        <a:prstGeom prst="rect">
                          <a:avLst/>
                        </a:prstGeom>
                        <a:noFill/>
                        <a:ln w="6350">
                          <a:noFill/>
                        </a:ln>
                      </wps:spPr>
                      <wps:txbx>
                        <w:txbxContent>
                          <w:p w14:paraId="1F8556A5" w14:textId="67215485" w:rsidR="0095382D" w:rsidRPr="006757BB" w:rsidRDefault="00B31B77">
                            <w:pPr>
                              <w:rPr>
                                <w:rFonts w:ascii="Arial" w:hAnsi="Arial" w:cs="Arial"/>
                                <w:sz w:val="18"/>
                                <w:szCs w:val="18"/>
                              </w:rPr>
                            </w:pPr>
                            <w:r w:rsidRPr="006757BB">
                              <w:rPr>
                                <w:rFonts w:ascii="Arial" w:hAnsi="Arial" w:cs="Arial"/>
                                <w:sz w:val="20"/>
                                <w:szCs w:val="20"/>
                              </w:rPr>
                              <w:t>MSc Management, Consultancy Project 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8F571" id="Text Box 3" o:spid="_x0000_s1049" type="#_x0000_t202" style="position:absolute;margin-left:149.45pt;margin-top:18.2pt;width:236.2pt;height:24.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" filled="f" stroked="f" strokeweight=".5pt">
                <v:textbox>
                  <w:txbxContent>
                    <w:p w14:paraId="1F8556A5" w14:textId="67215485" w:rsidR="0095382D" w:rsidRPr="006757BB" w:rsidRDefault="00B31B77">
                      <w:pPr>
                        <w:rPr>
                          <w:rFonts w:ascii="Arial" w:hAnsi="Arial" w:cs="Arial"/>
                          <w:sz w:val="18"/>
                          <w:szCs w:val="18"/>
                        </w:rPr>
                      </w:pPr>
                      <w:r w:rsidRPr="006757BB">
                        <w:rPr>
                          <w:rFonts w:ascii="Arial" w:hAnsi="Arial" w:cs="Arial"/>
                          <w:sz w:val="20"/>
                          <w:szCs w:val="20"/>
                        </w:rPr>
                        <w:t>MSc Management, Consultancy Project Proposal</w:t>
                      </w:r>
                    </w:p>
                  </w:txbxContent>
                </v:textbox>
              </v:shape>
            </w:pict>
          </mc:Fallback>
        </mc:AlternateContent>
      </w:r>
      <w:r w:rsidR="006757BB">
        <w:rPr>
          <w:noProof/>
        </w:rPr>
        <mc:AlternateContent>
          <mc:Choice Requires="wps">
            <w:drawing>
              <wp:anchor distT="0" distB="0" distL="114300" distR="114300" simplePos="0" relativeHeight="251675648" behindDoc="0" locked="0" layoutInCell="1" allowOverlap="1" wp14:anchorId="53AC3045" wp14:editId="79361B1E">
                <wp:simplePos x="0" y="0"/>
                <wp:positionH relativeFrom="column">
                  <wp:posOffset>-286472</wp:posOffset>
                </wp:positionH>
                <wp:positionV relativeFrom="paragraph">
                  <wp:posOffset>225690</wp:posOffset>
                </wp:positionV>
                <wp:extent cx="2072201" cy="309880"/>
                <wp:effectExtent l="0" t="0" r="0" b="0"/>
                <wp:wrapNone/>
                <wp:docPr id="1175364823" name="Text Box 3"/>
                <wp:cNvGraphicFramePr/>
                <a:graphic xmlns:a="http://schemas.openxmlformats.org/drawingml/2006/main">
                  <a:graphicData uri="http://schemas.microsoft.com/office/word/2010/wordprocessingShape">
                    <wps:wsp>
                      <wps:cNvSpPr txBox="1"/>
                      <wps:spPr>
                        <a:xfrm>
                          <a:off x="0" y="0"/>
                          <a:ext cx="2072201" cy="309880"/>
                        </a:xfrm>
                        <a:prstGeom prst="rect">
                          <a:avLst/>
                        </a:prstGeom>
                        <a:noFill/>
                        <a:ln w="6350">
                          <a:noFill/>
                        </a:ln>
                      </wps:spPr>
                      <wps:txbx>
                        <w:txbxContent>
                          <w:p w14:paraId="1604E07C" w14:textId="0B77786D" w:rsidR="0095382D" w:rsidRPr="006757BB" w:rsidRDefault="00475DC8">
                            <w:pPr>
                              <w:rPr>
                                <w:rFonts w:ascii="Arial" w:hAnsi="Arial" w:cs="Arial"/>
                                <w:sz w:val="20"/>
                                <w:szCs w:val="20"/>
                              </w:rPr>
                            </w:pPr>
                            <w:r w:rsidRPr="006757BB">
                              <w:rPr>
                                <w:rFonts w:ascii="Arial" w:hAnsi="Arial" w:cs="Arial"/>
                              </w:rPr>
                              <w:t>SRN:</w:t>
                            </w:r>
                            <w:r w:rsidR="00B31B77" w:rsidRPr="006757BB">
                              <w:rPr>
                                <w:rFonts w:ascii="Arial" w:hAnsi="Arial" w:cs="Arial"/>
                              </w:rPr>
                              <w:t xml:space="preserve"> </w:t>
                            </w:r>
                            <w:r w:rsidRPr="006757BB">
                              <w:rPr>
                                <w:rFonts w:ascii="Arial" w:hAnsi="Arial" w:cs="Arial"/>
                              </w:rPr>
                              <w:t>XXXXXXXXX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C3045" id="_x0000_s1050" type="#_x0000_t202" style="position:absolute;margin-left:-22.55pt;margin-top:17.75pt;width:163.15pt;height:24.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" filled="f" stroked="f" strokeweight=".5pt">
                <v:textbox>
                  <w:txbxContent>
                    <w:p w14:paraId="1604E07C" w14:textId="0B77786D" w:rsidR="0095382D" w:rsidRPr="006757BB" w:rsidRDefault="00475DC8">
                      <w:pPr>
                        <w:rPr>
                          <w:rFonts w:ascii="Arial" w:hAnsi="Arial" w:cs="Arial"/>
                          <w:sz w:val="20"/>
                          <w:szCs w:val="20"/>
                        </w:rPr>
                      </w:pPr>
                      <w:r w:rsidRPr="006757BB">
                        <w:rPr>
                          <w:rFonts w:ascii="Arial" w:hAnsi="Arial" w:cs="Arial"/>
                        </w:rPr>
                        <w:t>SRN:</w:t>
                      </w:r>
                      <w:r w:rsidR="00B31B77" w:rsidRPr="006757BB">
                        <w:rPr>
                          <w:rFonts w:ascii="Arial" w:hAnsi="Arial" w:cs="Arial"/>
                        </w:rPr>
                        <w:t xml:space="preserve"> </w:t>
                      </w:r>
                      <w:r w:rsidRPr="006757BB">
                        <w:rPr>
                          <w:rFonts w:ascii="Arial" w:hAnsi="Arial" w:cs="Arial"/>
                        </w:rPr>
                        <w:t>XXXXXXXXX</w:t>
                      </w:r>
                    </w:p>
                  </w:txbxContent>
                </v:textbox>
              </v:shape>
            </w:pict>
          </mc:Fallback>
        </mc:AlternateContent>
      </w:r>
      <w:r w:rsidR="006757BB">
        <w:rPr>
          <w:noProof/>
        </w:rPr>
        <w:drawing>
          <wp:anchor distT="0" distB="0" distL="114300" distR="114300" simplePos="0" relativeHeight="251727872" behindDoc="0" locked="0" layoutInCell="1" allowOverlap="1" wp14:anchorId="020B66CF" wp14:editId="6CF3DA59">
            <wp:simplePos x="0" y="0"/>
            <wp:positionH relativeFrom="column">
              <wp:posOffset>5341189</wp:posOffset>
            </wp:positionH>
            <wp:positionV relativeFrom="paragraph">
              <wp:posOffset>-118718</wp:posOffset>
            </wp:positionV>
            <wp:extent cx="1560144" cy="657091"/>
            <wp:effectExtent l="0" t="0" r="2540" b="0"/>
            <wp:wrapNone/>
            <wp:docPr id="96832080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60144" cy="6570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382D">
        <w:rPr>
          <w:noProof/>
        </w:rPr>
        <w:drawing>
          <wp:inline distT="0" distB="0" distL="0" distR="0" wp14:anchorId="438C3D30" wp14:editId="340CF69C">
            <wp:extent cx="2007870" cy="537845"/>
            <wp:effectExtent l="0" t="0" r="0" b="0"/>
            <wp:docPr id="1276964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4978"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07870" cy="537845"/>
                    </a:xfrm>
                    <a:prstGeom prst="rect">
                      <a:avLst/>
                    </a:prstGeom>
                    <a:noFill/>
                    <a:ln>
                      <a:noFill/>
                    </a:ln>
                  </pic:spPr>
                </pic:pic>
              </a:graphicData>
            </a:graphic>
          </wp:inline>
        </w:drawing>
      </w:r>
      <w:r w:rsidR="00584A5F" w:rsidRPr="00584A5F">
        <w:rPr>
          <w:noProof/>
        </w:rPr>
        <w:t xml:space="preserve"> </w:t>
      </w:r>
    </w:p>
    <w:sectPr w:rsidR="0095382D" w:rsidSect="005B01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F12AA"/>
    <w:multiLevelType w:val="hybridMultilevel"/>
    <w:tmpl w:val="7FCE9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984F11"/>
    <w:multiLevelType w:val="hybridMultilevel"/>
    <w:tmpl w:val="2ED05D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5373826">
    <w:abstractNumId w:val="1"/>
  </w:num>
  <w:num w:numId="2" w16cid:durableId="1819414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82D"/>
    <w:rsid w:val="00070388"/>
    <w:rsid w:val="001B1A0C"/>
    <w:rsid w:val="001B57E0"/>
    <w:rsid w:val="001D59F4"/>
    <w:rsid w:val="002155C7"/>
    <w:rsid w:val="002B2593"/>
    <w:rsid w:val="002E0020"/>
    <w:rsid w:val="00336899"/>
    <w:rsid w:val="00475DC8"/>
    <w:rsid w:val="005017A3"/>
    <w:rsid w:val="00532A85"/>
    <w:rsid w:val="00584A5F"/>
    <w:rsid w:val="005B017A"/>
    <w:rsid w:val="005D22FF"/>
    <w:rsid w:val="0065075B"/>
    <w:rsid w:val="006757BB"/>
    <w:rsid w:val="00692E35"/>
    <w:rsid w:val="008A3F95"/>
    <w:rsid w:val="008D7E86"/>
    <w:rsid w:val="008E3F7E"/>
    <w:rsid w:val="008E4C48"/>
    <w:rsid w:val="0095382D"/>
    <w:rsid w:val="0099373D"/>
    <w:rsid w:val="009A2264"/>
    <w:rsid w:val="00A36143"/>
    <w:rsid w:val="00A631CB"/>
    <w:rsid w:val="00A64093"/>
    <w:rsid w:val="00A9403F"/>
    <w:rsid w:val="00AF5D79"/>
    <w:rsid w:val="00B21C94"/>
    <w:rsid w:val="00B31B77"/>
    <w:rsid w:val="00B37518"/>
    <w:rsid w:val="00B56382"/>
    <w:rsid w:val="00C11960"/>
    <w:rsid w:val="00D45090"/>
    <w:rsid w:val="00DE7780"/>
    <w:rsid w:val="00E40C0A"/>
    <w:rsid w:val="00ED1A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1671AD"/>
  <w15:chartTrackingRefBased/>
  <w15:docId w15:val="{BB3C9A9F-BDF2-4129-97F8-C6E202A0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8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8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8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8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8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8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82D"/>
    <w:rPr>
      <w:rFonts w:eastAsiaTheme="majorEastAsia" w:cstheme="majorBidi"/>
      <w:color w:val="272727" w:themeColor="text1" w:themeTint="D8"/>
    </w:rPr>
  </w:style>
  <w:style w:type="paragraph" w:styleId="Title">
    <w:name w:val="Title"/>
    <w:basedOn w:val="Normal"/>
    <w:next w:val="Normal"/>
    <w:link w:val="TitleChar"/>
    <w:uiPriority w:val="10"/>
    <w:qFormat/>
    <w:rsid w:val="00953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82D"/>
    <w:pPr>
      <w:spacing w:before="160"/>
      <w:jc w:val="center"/>
    </w:pPr>
    <w:rPr>
      <w:i/>
      <w:iCs/>
      <w:color w:val="404040" w:themeColor="text1" w:themeTint="BF"/>
    </w:rPr>
  </w:style>
  <w:style w:type="character" w:customStyle="1" w:styleId="QuoteChar">
    <w:name w:val="Quote Char"/>
    <w:basedOn w:val="DefaultParagraphFont"/>
    <w:link w:val="Quote"/>
    <w:uiPriority w:val="29"/>
    <w:rsid w:val="0095382D"/>
    <w:rPr>
      <w:i/>
      <w:iCs/>
      <w:color w:val="404040" w:themeColor="text1" w:themeTint="BF"/>
    </w:rPr>
  </w:style>
  <w:style w:type="paragraph" w:styleId="ListParagraph">
    <w:name w:val="List Paragraph"/>
    <w:basedOn w:val="Normal"/>
    <w:link w:val="ListParagraphChar"/>
    <w:uiPriority w:val="34"/>
    <w:qFormat/>
    <w:rsid w:val="0095382D"/>
    <w:pPr>
      <w:ind w:left="720"/>
      <w:contextualSpacing/>
    </w:pPr>
  </w:style>
  <w:style w:type="character" w:styleId="IntenseEmphasis">
    <w:name w:val="Intense Emphasis"/>
    <w:basedOn w:val="DefaultParagraphFont"/>
    <w:uiPriority w:val="21"/>
    <w:qFormat/>
    <w:rsid w:val="0095382D"/>
    <w:rPr>
      <w:i/>
      <w:iCs/>
      <w:color w:val="0F4761" w:themeColor="accent1" w:themeShade="BF"/>
    </w:rPr>
  </w:style>
  <w:style w:type="paragraph" w:styleId="IntenseQuote">
    <w:name w:val="Intense Quote"/>
    <w:basedOn w:val="Normal"/>
    <w:next w:val="Normal"/>
    <w:link w:val="IntenseQuoteChar"/>
    <w:uiPriority w:val="30"/>
    <w:qFormat/>
    <w:rsid w:val="00953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82D"/>
    <w:rPr>
      <w:i/>
      <w:iCs/>
      <w:color w:val="0F4761" w:themeColor="accent1" w:themeShade="BF"/>
    </w:rPr>
  </w:style>
  <w:style w:type="character" w:styleId="IntenseReference">
    <w:name w:val="Intense Reference"/>
    <w:basedOn w:val="DefaultParagraphFont"/>
    <w:uiPriority w:val="32"/>
    <w:qFormat/>
    <w:rsid w:val="0095382D"/>
    <w:rPr>
      <w:b/>
      <w:bCs/>
      <w:smallCaps/>
      <w:color w:val="0F4761" w:themeColor="accent1" w:themeShade="BF"/>
      <w:spacing w:val="5"/>
    </w:rPr>
  </w:style>
  <w:style w:type="character" w:customStyle="1" w:styleId="ListParagraphChar">
    <w:name w:val="List Paragraph Char"/>
    <w:link w:val="ListParagraph"/>
    <w:uiPriority w:val="34"/>
    <w:rsid w:val="00070388"/>
  </w:style>
  <w:style w:type="character" w:styleId="Strong">
    <w:name w:val="Strong"/>
    <w:basedOn w:val="DefaultParagraphFont"/>
    <w:uiPriority w:val="22"/>
    <w:qFormat/>
    <w:rsid w:val="00B56382"/>
    <w:rPr>
      <w:b/>
      <w:bCs/>
    </w:rPr>
  </w:style>
  <w:style w:type="character" w:styleId="Emphasis">
    <w:name w:val="Emphasis"/>
    <w:basedOn w:val="DefaultParagraphFont"/>
    <w:uiPriority w:val="20"/>
    <w:qFormat/>
    <w:rsid w:val="00B56382"/>
    <w:rPr>
      <w:i/>
      <w:iCs/>
    </w:rPr>
  </w:style>
  <w:style w:type="character" w:styleId="Hyperlink">
    <w:name w:val="Hyperlink"/>
    <w:basedOn w:val="DefaultParagraphFont"/>
    <w:uiPriority w:val="99"/>
    <w:unhideWhenUsed/>
    <w:rsid w:val="00A64093"/>
    <w:rPr>
      <w:color w:val="467886" w:themeColor="hyperlink"/>
      <w:u w:val="single"/>
    </w:rPr>
  </w:style>
  <w:style w:type="character" w:styleId="UnresolvedMention">
    <w:name w:val="Unresolved Mention"/>
    <w:basedOn w:val="DefaultParagraphFont"/>
    <w:uiPriority w:val="99"/>
    <w:semiHidden/>
    <w:unhideWhenUsed/>
    <w:rsid w:val="00A64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loitte.com/us/en/insights/topics/environmental-social-governance.html%20" TargetMode="External"/><Relationship Id="rId13" Type="http://schemas.openxmlformats.org/officeDocument/2006/relationships/hyperlink" Target="https://ir.uitm.edu.my/id/eprint/105739/1/105739.pdf." TargetMode="External"/><Relationship Id="rId18" Type="http://schemas.openxmlformats.org/officeDocument/2006/relationships/hyperlink" Target="https://www.deloitte.com/uk/en/about/press-room/deloitte-uk-financial-results.html%20" TargetMode="External"/><Relationship Id="rId26" Type="http://schemas.openxmlformats.org/officeDocument/2006/relationships/chart" Target="charts/chart4.xml"/><Relationship Id="rId3" Type="http://schemas.openxmlformats.org/officeDocument/2006/relationships/settings" Target="settings.xml"/><Relationship Id="rId21" Type="http://schemas.openxmlformats.org/officeDocument/2006/relationships/hyperlink" Target="https://finance.yahoo.com/news/deloitte-lays-off-employees-us-103139738.html%20%5b" TargetMode="External"/><Relationship Id="rId7" Type="http://schemas.openxmlformats.org/officeDocument/2006/relationships/hyperlink" Target="https://doi.org/10.60079/aaar.v2i1.167" TargetMode="External"/><Relationship Id="rId12" Type="http://schemas.openxmlformats.org/officeDocument/2006/relationships/hyperlink" Target="https://finance.yahoo.com/news/deloitte-lays-off-employees-us-103139738.html%20%5b" TargetMode="External"/><Relationship Id="rId17" Type="http://schemas.openxmlformats.org/officeDocument/2006/relationships/hyperlink" Target="https://www.deloitte.com/us/en/insights/topics/environmental-social-governance.html%20" TargetMode="External"/><Relationship Id="rId25" Type="http://schemas.openxmlformats.org/officeDocument/2006/relationships/chart" Target="charts/chart3.xml"/><Relationship Id="rId2" Type="http://schemas.openxmlformats.org/officeDocument/2006/relationships/styles" Target="styles.xml"/><Relationship Id="rId16" Type="http://schemas.openxmlformats.org/officeDocument/2006/relationships/hyperlink" Target="https://doi.org/10.60079/aaar.v2i1.167" TargetMode="External"/><Relationship Id="rId20" Type="http://schemas.openxmlformats.org/officeDocument/2006/relationships/hyperlink" Target="https://www.britishchambers.org.uk/wp-content/uploads/2024/06/The_Open_University_Business_Barometer_2024.pdf%20"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www.bcg.com/press/11june2024-half-of-workers-around-the-world-struggling-with-burnout%20" TargetMode="External"/><Relationship Id="rId11" Type="http://schemas.openxmlformats.org/officeDocument/2006/relationships/hyperlink" Target="https://www.britishchambers.org.uk/wp-content/uploads/2024/06/The_Open_University_Business_Barometer_2024.pdf%20" TargetMode="External"/><Relationship Id="rId24" Type="http://schemas.openxmlformats.org/officeDocument/2006/relationships/chart" Target="charts/chart2.xml"/><Relationship Id="rId5" Type="http://schemas.openxmlformats.org/officeDocument/2006/relationships/hyperlink" Target="https://doi.org/ID%2021264001" TargetMode="External"/><Relationship Id="rId15" Type="http://schemas.openxmlformats.org/officeDocument/2006/relationships/hyperlink" Target="https://www.bcg.com/press/11june2024-half-of-workers-around-the-world-struggling-with-burnout%20" TargetMode="External"/><Relationship Id="rId23" Type="http://schemas.openxmlformats.org/officeDocument/2006/relationships/chart" Target="charts/chart1.xml"/><Relationship Id="rId28" Type="http://schemas.openxmlformats.org/officeDocument/2006/relationships/image" Target="media/image2.png"/><Relationship Id="rId10" Type="http://schemas.openxmlformats.org/officeDocument/2006/relationships/hyperlink" Target="https://www.edge.co.uk/documents/480/DD1279_-_Skills_shortages_bulletin_summary_2024_FINAL.pdf%20" TargetMode="External"/><Relationship Id="rId19" Type="http://schemas.openxmlformats.org/officeDocument/2006/relationships/hyperlink" Target="https://www.edge.co.uk/documents/480/DD1279_-_Skills_shortages_bulletin_summary_2024_FINAL.pdf%20"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eloitte.com/uk/en/about/press-room/deloitte-uk-financial-results.html%20" TargetMode="External"/><Relationship Id="rId14" Type="http://schemas.openxmlformats.org/officeDocument/2006/relationships/hyperlink" Target="https://doi.org/ID%2021264001" TargetMode="External"/><Relationship Id="rId22" Type="http://schemas.openxmlformats.org/officeDocument/2006/relationships/hyperlink" Target="https://ir.uitm.edu.my/id/eprint/105739/1/105739.pdf." TargetMode="External"/><Relationship Id="rId27" Type="http://schemas.openxmlformats.org/officeDocument/2006/relationships/image" Target="media/image1.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ONKAMS\Downloads\New%20folder%20(3)\Data%20Presentation%20and%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ONKAMS\Downloads\New%20folder%20(3)\Data%20Presentation%20and%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ONKAMS\Downloads\New%20folder%20(3)\Data%20Presentation%20and%20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ONKAMS\Downloads\New%20folder%20(3)\Data%20Presentation%20and%20Analysi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'ESG Restatements in FTSE 100'!$B$1</c:f>
              <c:strCache>
                <c:ptCount val="1"/>
                <c:pt idx="0">
                  <c:v>Value</c:v>
                </c:pt>
              </c:strCache>
            </c:strRef>
          </c:tx>
          <c:spPr>
            <a:solidFill>
              <a:schemeClr val="accent5">
                <a:lumMod val="75000"/>
              </a:schemeClr>
            </a:solidFill>
            <a:ln>
              <a:noFill/>
            </a:ln>
            <a:effectLst/>
          </c:spPr>
          <c:invertIfNegative val="0"/>
          <c:dLbls>
            <c:dLbl>
              <c:idx val="0"/>
              <c:layout>
                <c:manualLayout>
                  <c:x val="-1.0223866108955518E-2"/>
                  <c:y val="2.39952009598080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E2D-4380-9BBF-B25B1C127E6D}"/>
                </c:ext>
              </c:extLst>
            </c:dLbl>
            <c:dLbl>
              <c:idx val="1"/>
              <c:layout>
                <c:manualLayout>
                  <c:x val="0"/>
                  <c:y val="1.1997600479903964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E2D-4380-9BBF-B25B1C127E6D}"/>
                </c:ext>
              </c:extLst>
            </c:dLbl>
            <c:spPr>
              <a:noFill/>
              <a:ln>
                <a:noFill/>
              </a:ln>
              <a:effectLst/>
            </c:spPr>
            <c:txPr>
              <a:bodyPr rot="0" spcFirstLastPara="1" vertOverflow="ellipsis" vert="horz" wrap="square" lIns="38100" tIns="19050" rIns="38100" bIns="19050" anchor="ctr" anchorCtr="1">
                <a:spAutoFit/>
              </a:bodyPr>
              <a:lstStyle/>
              <a:p>
                <a:pPr>
                  <a:defRPr sz="6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'ESG Restatements in FTSE 100'!$A$2:$A$3</c:f>
              <c:strCache>
                <c:ptCount val="2"/>
                <c:pt idx="0">
                  <c:v>FTSE 100 companies that restated ESG metrics</c:v>
                </c:pt>
                <c:pt idx="1">
                  <c:v>FTSE 100 companies with no ESG restatements</c:v>
                </c:pt>
              </c:strCache>
            </c:strRef>
          </c:cat>
          <c:val>
            <c:numRef>
              <c:f>'ESG Restatements in FTSE 100'!$B$2:$B$3</c:f>
              <c:numCache>
                <c:formatCode>0%</c:formatCode>
                <c:ptCount val="2"/>
                <c:pt idx="0">
                  <c:v>0.46</c:v>
                </c:pt>
                <c:pt idx="1">
                  <c:v>0.54</c:v>
                </c:pt>
              </c:numCache>
            </c:numRef>
          </c:val>
          <c:extLst>
            <c:ext xmlns:c16="http://schemas.microsoft.com/office/drawing/2014/chart" uri="{C3380CC4-5D6E-409C-BE32-E72D297353CC}">
              <c16:uniqueId val="{00000000-DE2D-4380-9BBF-B25B1C127E6D}"/>
            </c:ext>
          </c:extLst>
        </c:ser>
        <c:dLbls>
          <c:dLblPos val="outEnd"/>
          <c:showLegendKey val="0"/>
          <c:showVal val="1"/>
          <c:showCatName val="0"/>
          <c:showSerName val="0"/>
          <c:showPercent val="0"/>
          <c:showBubbleSize val="0"/>
        </c:dLbls>
        <c:gapWidth val="182"/>
        <c:axId val="484277680"/>
        <c:axId val="484280080"/>
      </c:barChart>
      <c:catAx>
        <c:axId val="4842776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4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484280080"/>
        <c:crosses val="autoZero"/>
        <c:auto val="1"/>
        <c:lblAlgn val="ctr"/>
        <c:lblOffset val="100"/>
        <c:noMultiLvlLbl val="0"/>
      </c:catAx>
      <c:valAx>
        <c:axId val="484280080"/>
        <c:scaling>
          <c:orientation val="minMax"/>
        </c:scaling>
        <c:delete val="1"/>
        <c:axPos val="b"/>
        <c:numFmt formatCode="0%" sourceLinked="1"/>
        <c:majorTickMark val="none"/>
        <c:minorTickMark val="none"/>
        <c:tickLblPos val="nextTo"/>
        <c:crossAx val="484277680"/>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'Skill-Shortage Vacancy Trend'!$B$1</c:f>
              <c:strCache>
                <c:ptCount val="1"/>
                <c:pt idx="0">
                  <c:v>Percentage of Vacancies Caused by Skill Shortages</c:v>
                </c:pt>
              </c:strCache>
            </c:strRef>
          </c:tx>
          <c:spPr>
            <a:solidFill>
              <a:schemeClr val="accent6">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5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'Skill-Shortage Vacancy Trend'!$A$2:$A$6</c:f>
              <c:numCache>
                <c:formatCode>General</c:formatCode>
                <c:ptCount val="5"/>
                <c:pt idx="0">
                  <c:v>2021</c:v>
                </c:pt>
                <c:pt idx="1">
                  <c:v>2022</c:v>
                </c:pt>
                <c:pt idx="2">
                  <c:v>2023</c:v>
                </c:pt>
                <c:pt idx="3">
                  <c:v>2024</c:v>
                </c:pt>
                <c:pt idx="4">
                  <c:v>2025</c:v>
                </c:pt>
              </c:numCache>
            </c:numRef>
          </c:cat>
          <c:val>
            <c:numRef>
              <c:f>'Skill-Shortage Vacancy Trend'!$B$2:$B$6</c:f>
              <c:numCache>
                <c:formatCode>0%</c:formatCode>
                <c:ptCount val="5"/>
                <c:pt idx="0">
                  <c:v>0.38</c:v>
                </c:pt>
                <c:pt idx="1">
                  <c:v>0.36</c:v>
                </c:pt>
                <c:pt idx="2">
                  <c:v>0.34</c:v>
                </c:pt>
                <c:pt idx="3">
                  <c:v>0.27</c:v>
                </c:pt>
                <c:pt idx="4">
                  <c:v>0.25</c:v>
                </c:pt>
              </c:numCache>
            </c:numRef>
          </c:val>
          <c:extLst>
            <c:ext xmlns:c16="http://schemas.microsoft.com/office/drawing/2014/chart" uri="{C3380CC4-5D6E-409C-BE32-E72D297353CC}">
              <c16:uniqueId val="{00000000-4D16-4B81-BB14-0D14B80E5B68}"/>
            </c:ext>
          </c:extLst>
        </c:ser>
        <c:dLbls>
          <c:dLblPos val="outEnd"/>
          <c:showLegendKey val="0"/>
          <c:showVal val="1"/>
          <c:showCatName val="0"/>
          <c:showSerName val="0"/>
          <c:showPercent val="0"/>
          <c:showBubbleSize val="0"/>
        </c:dLbls>
        <c:gapWidth val="219"/>
        <c:overlap val="-27"/>
        <c:axId val="484280560"/>
        <c:axId val="484287760"/>
      </c:barChart>
      <c:catAx>
        <c:axId val="484280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1" i="0" u="none" strike="noStrike" kern="1200" baseline="0">
                <a:solidFill>
                  <a:schemeClr val="tx1">
                    <a:lumMod val="65000"/>
                    <a:lumOff val="35000"/>
                  </a:schemeClr>
                </a:solidFill>
                <a:latin typeface="+mn-lt"/>
                <a:ea typeface="+mn-ea"/>
                <a:cs typeface="+mn-cs"/>
              </a:defRPr>
            </a:pPr>
            <a:endParaRPr lang="en-US"/>
          </a:p>
        </c:txPr>
        <c:crossAx val="484287760"/>
        <c:crosses val="autoZero"/>
        <c:auto val="1"/>
        <c:lblAlgn val="ctr"/>
        <c:lblOffset val="100"/>
        <c:noMultiLvlLbl val="0"/>
      </c:catAx>
      <c:valAx>
        <c:axId val="484287760"/>
        <c:scaling>
          <c:orientation val="minMax"/>
        </c:scaling>
        <c:delete val="1"/>
        <c:axPos val="l"/>
        <c:numFmt formatCode="0%" sourceLinked="1"/>
        <c:majorTickMark val="none"/>
        <c:minorTickMark val="none"/>
        <c:tickLblPos val="nextTo"/>
        <c:crossAx val="484280560"/>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1195387979769942"/>
          <c:y val="1.5407511657344832E-2"/>
          <c:w val="0.61908517884103709"/>
          <c:h val="0.73959533948857326"/>
        </c:manualLayout>
      </c:layout>
      <c:pieChart>
        <c:varyColors val="1"/>
        <c:ser>
          <c:idx val="0"/>
          <c:order val="0"/>
          <c:tx>
            <c:strRef>
              <c:f>'Talent Shortages Pie Chart'!$B$1</c:f>
              <c:strCache>
                <c:ptCount val="1"/>
                <c:pt idx="0">
                  <c:v>Value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C88-43B2-B003-9BF4292E89C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C88-43B2-B003-9BF4292E89C1}"/>
              </c:ext>
            </c:extLst>
          </c:dPt>
          <c:dLbls>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800" b="1" i="0" u="none" strike="noStrike" kern="1200" baseline="0">
                      <a:solidFill>
                        <a:schemeClr val="dk1">
                          <a:lumMod val="65000"/>
                          <a:lumOff val="35000"/>
                        </a:schemeClr>
                      </a:solidFill>
                      <a:latin typeface="Arial" panose="020B0604020202020204" pitchFamily="34" charset="0"/>
                      <a:ea typeface="+mn-ea"/>
                      <a:cs typeface="Arial" panose="020B0604020202020204" pitchFamily="34" charset="0"/>
                    </a:defRPr>
                  </a:pPr>
                  <a:endParaRPr lang="en-US"/>
                </a:p>
              </c:txPr>
              <c:dLblPos val="outEnd"/>
              <c:showLegendKey val="0"/>
              <c:showVal val="0"/>
              <c:showCatName val="0"/>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1-CC88-43B2-B003-9BF4292E89C1}"/>
                </c:ext>
              </c:extLst>
            </c:dLbl>
            <c:dLbl>
              <c:idx val="1"/>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800" b="1" i="0" u="none" strike="noStrike" kern="1200" baseline="0">
                      <a:solidFill>
                        <a:schemeClr val="dk1">
                          <a:lumMod val="65000"/>
                          <a:lumOff val="35000"/>
                        </a:schemeClr>
                      </a:solidFill>
                      <a:latin typeface="Arial" panose="020B0604020202020204" pitchFamily="34" charset="0"/>
                      <a:ea typeface="+mn-ea"/>
                      <a:cs typeface="Arial" panose="020B0604020202020204" pitchFamily="34" charset="0"/>
                    </a:defRPr>
                  </a:pPr>
                  <a:endParaRPr lang="en-US"/>
                </a:p>
              </c:txPr>
              <c:dLblPos val="outEnd"/>
              <c:showLegendKey val="0"/>
              <c:showVal val="0"/>
              <c:showCatName val="0"/>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3-CC88-43B2-B003-9BF4292E89C1}"/>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Arial" panose="020B0604020202020204" pitchFamily="34" charset="0"/>
                    <a:ea typeface="+mn-ea"/>
                    <a:cs typeface="Arial" panose="020B0604020202020204" pitchFamily="34" charset="0"/>
                  </a:defRPr>
                </a:pPr>
                <a:endParaRPr lang="en-US"/>
              </a:p>
            </c:txPr>
            <c:dLblPos val="outEnd"/>
            <c:showLegendKey val="0"/>
            <c:showVal val="0"/>
            <c:showCatName val="0"/>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'Talent Shortages Pie Chart'!$A$2:$A$3</c:f>
              <c:strCache>
                <c:ptCount val="2"/>
                <c:pt idx="0">
                  <c:v>Organisations experiencing skill shortages</c:v>
                </c:pt>
                <c:pt idx="1">
                  <c:v>Organisations not experiencing skill shortages</c:v>
                </c:pt>
              </c:strCache>
            </c:strRef>
          </c:cat>
          <c:val>
            <c:numRef>
              <c:f>'Talent Shortages Pie Chart'!$B$2:$B$3</c:f>
              <c:numCache>
                <c:formatCode>0%</c:formatCode>
                <c:ptCount val="2"/>
                <c:pt idx="0">
                  <c:v>0.73</c:v>
                </c:pt>
                <c:pt idx="1">
                  <c:v>0.27</c:v>
                </c:pt>
              </c:numCache>
            </c:numRef>
          </c:val>
          <c:extLst>
            <c:ext xmlns:c16="http://schemas.microsoft.com/office/drawing/2014/chart" uri="{C3380CC4-5D6E-409C-BE32-E72D297353CC}">
              <c16:uniqueId val="{00000004-CC88-43B2-B003-9BF4292E89C1}"/>
            </c:ext>
          </c:extLst>
        </c:ser>
        <c:dLbls>
          <c:showLegendKey val="0"/>
          <c:showVal val="0"/>
          <c:showCatName val="0"/>
          <c:showSerName val="0"/>
          <c:showPercent val="0"/>
          <c:showBubbleSize val="0"/>
          <c:showLeaderLines val="0"/>
        </c:dLbls>
        <c:firstSliceAng val="0"/>
      </c:pieChart>
      <c:spPr>
        <a:noFill/>
        <a:ln>
          <a:noFill/>
        </a:ln>
        <a:effectLst/>
      </c:spPr>
    </c:plotArea>
    <c:legend>
      <c:legendPos val="b"/>
      <c:legendEntry>
        <c:idx val="0"/>
        <c:txPr>
          <a:bodyPr rot="0" spcFirstLastPara="1" vertOverflow="ellipsis" vert="horz" wrap="square" anchor="ctr" anchorCtr="1"/>
          <a:lstStyle/>
          <a:p>
            <a:pPr>
              <a:defRPr sz="4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Entry>
      <c:legendEntry>
        <c:idx val="1"/>
        <c:txPr>
          <a:bodyPr rot="0" spcFirstLastPara="1" vertOverflow="ellipsis" vert="horz" wrap="square" anchor="ctr" anchorCtr="1"/>
          <a:lstStyle/>
          <a:p>
            <a:pPr>
              <a:defRPr sz="4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Entry>
      <c:layout>
        <c:manualLayout>
          <c:xMode val="edge"/>
          <c:yMode val="edge"/>
          <c:x val="3.8242801335129757E-2"/>
          <c:y val="0.80872814626985201"/>
          <c:w val="0.92351441681300639"/>
          <c:h val="0.17736527205410049"/>
        </c:manualLayout>
      </c:layout>
      <c:overlay val="0"/>
      <c:spPr>
        <a:noFill/>
        <a:ln>
          <a:noFill/>
        </a:ln>
        <a:effectLst/>
      </c:spPr>
      <c:txPr>
        <a:bodyPr rot="0" spcFirstLastPara="1" vertOverflow="ellipsis" vert="horz" wrap="square" anchor="ctr" anchorCtr="1"/>
        <a:lstStyle/>
        <a:p>
          <a:pPr>
            <a:defRPr sz="4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'Net-Zero Targets Among FTSE 100'!$B$1</c:f>
              <c:strCache>
                <c:ptCount val="1"/>
                <c:pt idx="0">
                  <c:v>Value</c:v>
                </c:pt>
              </c:strCache>
            </c:strRef>
          </c:tx>
          <c:spPr>
            <a:solidFill>
              <a:schemeClr val="accent2">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'Net-Zero Targets Among FTSE 100'!$A$2:$A$3</c:f>
              <c:strCache>
                <c:ptCount val="2"/>
                <c:pt idx="0">
                  <c:v>Companies with net-zero targets</c:v>
                </c:pt>
                <c:pt idx="1">
                  <c:v>Companies without net-zero targets</c:v>
                </c:pt>
              </c:strCache>
            </c:strRef>
          </c:cat>
          <c:val>
            <c:numRef>
              <c:f>'Net-Zero Targets Among FTSE 100'!$B$2:$B$3</c:f>
              <c:numCache>
                <c:formatCode>0%</c:formatCode>
                <c:ptCount val="2"/>
                <c:pt idx="0">
                  <c:v>0.79</c:v>
                </c:pt>
                <c:pt idx="1">
                  <c:v>0.21</c:v>
                </c:pt>
              </c:numCache>
            </c:numRef>
          </c:val>
          <c:extLst>
            <c:ext xmlns:c16="http://schemas.microsoft.com/office/drawing/2014/chart" uri="{C3380CC4-5D6E-409C-BE32-E72D297353CC}">
              <c16:uniqueId val="{00000000-D4D5-43C6-8418-0FCE46E7588B}"/>
            </c:ext>
          </c:extLst>
        </c:ser>
        <c:dLbls>
          <c:dLblPos val="outEnd"/>
          <c:showLegendKey val="0"/>
          <c:showVal val="1"/>
          <c:showCatName val="0"/>
          <c:showSerName val="0"/>
          <c:showPercent val="0"/>
          <c:showBubbleSize val="0"/>
        </c:dLbls>
        <c:gapWidth val="219"/>
        <c:overlap val="-27"/>
        <c:axId val="484263280"/>
        <c:axId val="484263760"/>
      </c:barChart>
      <c:catAx>
        <c:axId val="484263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4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484263760"/>
        <c:crosses val="autoZero"/>
        <c:auto val="1"/>
        <c:lblAlgn val="ctr"/>
        <c:lblOffset val="100"/>
        <c:noMultiLvlLbl val="0"/>
      </c:catAx>
      <c:valAx>
        <c:axId val="484263760"/>
        <c:scaling>
          <c:orientation val="minMax"/>
        </c:scaling>
        <c:delete val="1"/>
        <c:axPos val="l"/>
        <c:numFmt formatCode="0%" sourceLinked="1"/>
        <c:majorTickMark val="none"/>
        <c:minorTickMark val="none"/>
        <c:tickLblPos val="nextTo"/>
        <c:crossAx val="484263280"/>
        <c:crosses val="autoZero"/>
        <c:crossBetween val="between"/>
      </c:valAx>
      <c:spPr>
        <a:noFill/>
        <a:ln w="28575">
          <a:noFill/>
        </a:ln>
        <a:effectLst/>
      </c:spPr>
    </c:plotArea>
    <c:plotVisOnly val="1"/>
    <c:dispBlanksAs val="gap"/>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670</TotalTime>
  <Pages>1</Pages>
  <Words>5</Words>
  <Characters>38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Okereke</dc:creator>
  <cp:keywords/>
  <dc:description/>
  <cp:lastModifiedBy>USER</cp:lastModifiedBy>
  <cp:revision>58</cp:revision>
  <dcterms:created xsi:type="dcterms:W3CDTF">2024-03-12T14:03:00Z</dcterms:created>
  <dcterms:modified xsi:type="dcterms:W3CDTF">2025-11-23T23:00:00Z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eefbd653-9c1c-4e94-8e56-50a4fe97b4c9</vt:lpwstr>
  </property>
</Properties>
</file>