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DA73C" w14:textId="5B99E216" w:rsidR="008E2ACB" w:rsidRPr="008E2ACB" w:rsidRDefault="008E2ACB" w:rsidP="008E2ACB">
      <w:pPr>
        <w:spacing w:line="360" w:lineRule="auto"/>
        <w:jc w:val="center"/>
        <w:rPr>
          <w:rFonts w:ascii="Georgia" w:hAnsi="Georgia"/>
          <w:b/>
          <w:bCs/>
        </w:rPr>
      </w:pPr>
      <w:r w:rsidRPr="008E2ACB">
        <w:rPr>
          <w:rFonts w:ascii="Georgia" w:hAnsi="Georgia"/>
          <w:b/>
          <w:bCs/>
        </w:rPr>
        <w:t>Machine Learning Report: Building a Credit Score Classification System</w:t>
      </w:r>
    </w:p>
    <w:p w14:paraId="66957E5D" w14:textId="77777777" w:rsidR="008E2ACB" w:rsidRPr="008E2ACB" w:rsidRDefault="008E2ACB" w:rsidP="008E2ACB">
      <w:pPr>
        <w:spacing w:line="360" w:lineRule="auto"/>
        <w:jc w:val="both"/>
        <w:rPr>
          <w:rFonts w:ascii="Georgia" w:hAnsi="Georgia"/>
          <w:b/>
          <w:bCs/>
        </w:rPr>
      </w:pPr>
      <w:r w:rsidRPr="008E2ACB">
        <w:rPr>
          <w:rFonts w:ascii="Georgia" w:hAnsi="Georgia"/>
          <w:b/>
          <w:bCs/>
        </w:rPr>
        <w:t>Introduction:</w:t>
      </w:r>
    </w:p>
    <w:p w14:paraId="00A4E986" w14:textId="3983453A" w:rsidR="00A54F5E" w:rsidRPr="008E2ACB" w:rsidRDefault="008E2ACB" w:rsidP="008E2ACB">
      <w:pPr>
        <w:spacing w:line="360" w:lineRule="auto"/>
        <w:jc w:val="both"/>
        <w:rPr>
          <w:rFonts w:ascii="Georgia" w:hAnsi="Georgia"/>
        </w:rPr>
      </w:pPr>
      <w:r w:rsidRPr="008E2ACB">
        <w:rPr>
          <w:rFonts w:ascii="Georgia" w:hAnsi="Georgia"/>
        </w:rPr>
        <w:t>The objective of this project is to develop an intelligent system to classify individuals into credit score brackets, reducing manual efforts. This report outlines a structured approach comprising six key steps: Data Collection, Data Exploration, Data Preparation, Modelling, Evaluation, and Actionable Insights, to construct a robust machine learning model for credit score classification.</w:t>
      </w:r>
    </w:p>
    <w:p w14:paraId="7C0396BC" w14:textId="7F3C7AAD" w:rsidR="008E2ACB" w:rsidRPr="008E2ACB" w:rsidRDefault="008E2ACB" w:rsidP="008E2ACB">
      <w:pPr>
        <w:spacing w:line="360" w:lineRule="auto"/>
        <w:jc w:val="both"/>
        <w:rPr>
          <w:rFonts w:ascii="Georgia" w:hAnsi="Georgia"/>
          <w:b/>
          <w:bCs/>
        </w:rPr>
      </w:pPr>
      <w:r w:rsidRPr="008E2ACB">
        <w:rPr>
          <w:rFonts w:ascii="Georgia" w:hAnsi="Georgia"/>
          <w:b/>
          <w:bCs/>
        </w:rPr>
        <w:t>Data Collection</w:t>
      </w:r>
    </w:p>
    <w:p w14:paraId="23AE0F2F" w14:textId="3954C8F0" w:rsidR="008E2ACB" w:rsidRPr="008E2ACB" w:rsidRDefault="008E2ACB" w:rsidP="008E2ACB">
      <w:pPr>
        <w:spacing w:line="360" w:lineRule="auto"/>
        <w:jc w:val="both"/>
        <w:rPr>
          <w:rFonts w:ascii="Georgia" w:hAnsi="Georgia"/>
        </w:rPr>
      </w:pPr>
      <w:r w:rsidRPr="008E2ACB">
        <w:rPr>
          <w:rFonts w:ascii="Georgia" w:hAnsi="Georgia"/>
        </w:rPr>
        <w:t>The initial step in starting the machine learning process for credit score classification involves importing essential libraries like Pandas, NumPy, SciKit-learn, and Matplotlib/Seaborn. These libraries serve specific functions such as data pre-processing, model evaluation, and visualization. Importing them sets the foundation for subsequent data handling and analysis.</w:t>
      </w:r>
    </w:p>
    <w:p w14:paraId="1597DBE3" w14:textId="77777777" w:rsidR="008E2ACB" w:rsidRPr="008E2ACB" w:rsidRDefault="008E2ACB" w:rsidP="008E2ACB">
      <w:pPr>
        <w:spacing w:line="360" w:lineRule="auto"/>
        <w:jc w:val="both"/>
        <w:rPr>
          <w:rFonts w:ascii="Georgia" w:hAnsi="Georgia"/>
        </w:rPr>
      </w:pPr>
      <w:r w:rsidRPr="008E2ACB">
        <w:rPr>
          <w:rFonts w:ascii="Georgia" w:hAnsi="Georgia"/>
        </w:rPr>
        <w:t>Next, the dataset will be loaded using optimized, low memory functions, like Pandas' read_csv function. Functions like head and tail in Pandas will provide a snapshot of the dataset's structure, displaying initial and final rows, along with column details, data types, and initial values.</w:t>
      </w:r>
    </w:p>
    <w:p w14:paraId="4E3B4E56" w14:textId="61F0591B" w:rsidR="008E2ACB" w:rsidRDefault="008E2ACB" w:rsidP="008E2ACB">
      <w:pPr>
        <w:spacing w:line="360" w:lineRule="auto"/>
        <w:jc w:val="both"/>
        <w:rPr>
          <w:rFonts w:ascii="Georgia" w:hAnsi="Georgia"/>
        </w:rPr>
      </w:pPr>
      <w:r w:rsidRPr="008E2ACB">
        <w:rPr>
          <w:rFonts w:ascii="Georgia" w:hAnsi="Georgia"/>
        </w:rPr>
        <w:t>This initial data collection phase is pivotal for the following machine learning stages. Importing essential libraries ensures necessary tools for data manipulation, while loading the dataset efficiently offers an initial understanding of its structure, priming the process for comprehensive analysis and pre-processing.</w:t>
      </w:r>
    </w:p>
    <w:p w14:paraId="5C97559F" w14:textId="6A87E058" w:rsidR="008E2ACB" w:rsidRDefault="008E2ACB" w:rsidP="008E2ACB">
      <w:pPr>
        <w:spacing w:line="360" w:lineRule="auto"/>
        <w:jc w:val="both"/>
        <w:rPr>
          <w:rFonts w:ascii="Georgia" w:hAnsi="Georgia"/>
          <w:b/>
          <w:bCs/>
        </w:rPr>
      </w:pPr>
      <w:r w:rsidRPr="008E2ACB">
        <w:rPr>
          <w:rFonts w:ascii="Georgia" w:hAnsi="Georgia"/>
          <w:b/>
          <w:bCs/>
        </w:rPr>
        <w:t>Data Exploration</w:t>
      </w:r>
    </w:p>
    <w:p w14:paraId="1563CA17" w14:textId="106E44FB" w:rsidR="00D67859" w:rsidRPr="00D67859" w:rsidRDefault="00D67859" w:rsidP="00D67859">
      <w:pPr>
        <w:spacing w:line="360" w:lineRule="auto"/>
        <w:jc w:val="both"/>
        <w:rPr>
          <w:rFonts w:ascii="Georgia" w:hAnsi="Georgia"/>
        </w:rPr>
      </w:pPr>
      <w:r w:rsidRPr="00D67859">
        <w:rPr>
          <w:rFonts w:ascii="Georgia" w:hAnsi="Georgia"/>
        </w:rPr>
        <w:t>The subsequent phase involves conducting descriptive statistics to comprehend the statistical distribution of the dataset. Using functions like shape, info, and describe serves to offer a first-hand understanding of the dataset's central tendencies and dispersion measures.</w:t>
      </w:r>
    </w:p>
    <w:p w14:paraId="06E93B2E" w14:textId="3299D3A3" w:rsidR="00D67859" w:rsidRPr="00D67859" w:rsidRDefault="00D67859" w:rsidP="00D67859">
      <w:pPr>
        <w:spacing w:line="360" w:lineRule="auto"/>
        <w:jc w:val="both"/>
        <w:rPr>
          <w:rFonts w:ascii="Georgia" w:hAnsi="Georgia"/>
        </w:rPr>
      </w:pPr>
      <w:r w:rsidRPr="00D67859">
        <w:rPr>
          <w:rFonts w:ascii="Georgia" w:hAnsi="Georgia"/>
        </w:rPr>
        <w:t>Exploratory Data Analysis (EDA) delves deeper into uncovering the narrative within the dataset. This involves scrutinizing count plots of categorical columns to extract value counts and percentages for each category. Simultaneously, numerical column distributions are visualized using distplot. This analysis illuminates the behavio</w:t>
      </w:r>
      <w:r>
        <w:rPr>
          <w:rFonts w:ascii="Georgia" w:hAnsi="Georgia"/>
        </w:rPr>
        <w:t>u</w:t>
      </w:r>
      <w:r w:rsidRPr="00D67859">
        <w:rPr>
          <w:rFonts w:ascii="Georgia" w:hAnsi="Georgia"/>
        </w:rPr>
        <w:t>r and distribution of numeric values, shedding light on how each variable, such as financial buoyancy, directly impacts customer credit scores.</w:t>
      </w:r>
    </w:p>
    <w:p w14:paraId="79B681EE" w14:textId="7ACA011E" w:rsidR="00D67859" w:rsidRPr="00D67859" w:rsidRDefault="00D67859" w:rsidP="00D67859">
      <w:pPr>
        <w:spacing w:line="360" w:lineRule="auto"/>
        <w:jc w:val="both"/>
        <w:rPr>
          <w:rFonts w:ascii="Georgia" w:hAnsi="Georgia"/>
        </w:rPr>
      </w:pPr>
      <w:r w:rsidRPr="00D67859">
        <w:rPr>
          <w:rFonts w:ascii="Georgia" w:hAnsi="Georgia"/>
        </w:rPr>
        <w:t xml:space="preserve">EDA is instrumental in revealing issues, redundancies, and anomalies within the dataset. It necessitates a thorough check of each data attribute, implementing pertinent cleaning techniques like removing unnecessary columns, ensuring well-formatted categorical variables, and handling </w:t>
      </w:r>
      <w:r w:rsidRPr="00D67859">
        <w:rPr>
          <w:rFonts w:ascii="Georgia" w:hAnsi="Georgia"/>
        </w:rPr>
        <w:lastRenderedPageBreak/>
        <w:t>missing values adeptly. These steps are crucial to ensure that our model trains and fits on a dataset characterized by high accuracy and reliability. Addressing data quality ensures that the model isn't compromised by inconsistencies or inaccuracies, which could lead to ineffective or low-predicting models.</w:t>
      </w:r>
    </w:p>
    <w:p w14:paraId="0F30E5E6" w14:textId="4AAE07F1" w:rsidR="008E2ACB" w:rsidRPr="00D67859" w:rsidRDefault="00D67859" w:rsidP="008E2ACB">
      <w:pPr>
        <w:spacing w:line="360" w:lineRule="auto"/>
        <w:jc w:val="both"/>
        <w:rPr>
          <w:rFonts w:ascii="Georgia" w:hAnsi="Georgia"/>
          <w:b/>
          <w:bCs/>
        </w:rPr>
      </w:pPr>
      <w:r w:rsidRPr="00D67859">
        <w:rPr>
          <w:rFonts w:ascii="Georgia" w:hAnsi="Georgia"/>
          <w:b/>
          <w:bCs/>
        </w:rPr>
        <w:t>Data Pre-processing</w:t>
      </w:r>
    </w:p>
    <w:p w14:paraId="15835A9B" w14:textId="069295CF" w:rsidR="00D306BC" w:rsidRPr="00D306BC" w:rsidRDefault="00D306BC" w:rsidP="00D306BC">
      <w:pPr>
        <w:spacing w:line="360" w:lineRule="auto"/>
        <w:jc w:val="both"/>
        <w:rPr>
          <w:rFonts w:ascii="Georgia" w:hAnsi="Georgia"/>
        </w:rPr>
      </w:pPr>
      <w:r w:rsidRPr="00D306BC">
        <w:rPr>
          <w:rFonts w:ascii="Georgia" w:hAnsi="Georgia"/>
        </w:rPr>
        <w:t>Data quality is foundational, as subpar data drastically impacts model efficacy. Ensuring feature columns possess suitable data types and properties is pivotal for accurate predictions. Addressing outliers is equally crucial; employing varied outlier handling methods and discerning the optimal approach is essential to pre-process the data effectively.</w:t>
      </w:r>
    </w:p>
    <w:p w14:paraId="5232DA16" w14:textId="16CB151D" w:rsidR="00D306BC" w:rsidRPr="00D306BC" w:rsidRDefault="00D306BC" w:rsidP="00D306BC">
      <w:pPr>
        <w:spacing w:line="360" w:lineRule="auto"/>
        <w:jc w:val="both"/>
        <w:rPr>
          <w:rFonts w:ascii="Georgia" w:hAnsi="Georgia"/>
        </w:rPr>
      </w:pPr>
      <w:r w:rsidRPr="00D306BC">
        <w:rPr>
          <w:rFonts w:ascii="Georgia" w:hAnsi="Georgia"/>
        </w:rPr>
        <w:t>Given the dataset's anticipated inclusion of numerous categorical columns assessing sentiment and emotional aspects, robust encoding methods are imperative. Despite boosting models' competence with categorical columns, pre-processing and encoding practices are deemed prudent prior to modelling. Moreover, scaling numerical columns aids in aligning variable references uniformly, ensuring the model comprehends disparities within the dataset accurately.</w:t>
      </w:r>
    </w:p>
    <w:p w14:paraId="0EC96AAD" w14:textId="79C134D1" w:rsidR="00D306BC" w:rsidRPr="00D306BC" w:rsidRDefault="00D306BC" w:rsidP="00D306BC">
      <w:pPr>
        <w:spacing w:line="360" w:lineRule="auto"/>
        <w:jc w:val="both"/>
        <w:rPr>
          <w:rFonts w:ascii="Georgia" w:hAnsi="Georgia"/>
        </w:rPr>
      </w:pPr>
      <w:r w:rsidRPr="00D306BC">
        <w:rPr>
          <w:rFonts w:ascii="Georgia" w:hAnsi="Georgia"/>
        </w:rPr>
        <w:t>Feature selection and engineering take centre stage, leveraging domain expertise to craft features that exhibit significant correlations and relevance to the model. Visualizing feature importance becomes pivotal, enabling a nuanced understanding of each column's relevance to the model's fitting process. This step effectively filters out noise and distractions from less relevant features.</w:t>
      </w:r>
    </w:p>
    <w:p w14:paraId="2A266C12" w14:textId="3DB892D8" w:rsidR="00D67859" w:rsidRDefault="00D306BC" w:rsidP="00D306BC">
      <w:pPr>
        <w:spacing w:line="360" w:lineRule="auto"/>
        <w:jc w:val="both"/>
        <w:rPr>
          <w:rFonts w:ascii="Georgia" w:hAnsi="Georgia"/>
        </w:rPr>
      </w:pPr>
      <w:r w:rsidRPr="00D306BC">
        <w:rPr>
          <w:rFonts w:ascii="Georgia" w:hAnsi="Georgia"/>
        </w:rPr>
        <w:t>Subsequently, the dataset is partitioned into training and validation/testing sets, a fundamental step laying the groundwork for subsequent model training and evaluation. This meticulous preparation phase is critical, setting the stage for a robust and well-informed modelling process driven by the enhanced quality and relevance of the dataset.</w:t>
      </w:r>
    </w:p>
    <w:p w14:paraId="6CE6502B" w14:textId="59F3D36F" w:rsidR="00D306BC" w:rsidRDefault="00D306BC" w:rsidP="00D306BC">
      <w:pPr>
        <w:spacing w:line="360" w:lineRule="auto"/>
        <w:jc w:val="both"/>
        <w:rPr>
          <w:rFonts w:ascii="Georgia" w:hAnsi="Georgia"/>
          <w:b/>
          <w:bCs/>
        </w:rPr>
      </w:pPr>
      <w:r w:rsidRPr="00D306BC">
        <w:rPr>
          <w:rFonts w:ascii="Georgia" w:hAnsi="Georgia"/>
          <w:b/>
          <w:bCs/>
        </w:rPr>
        <w:t>Modelling</w:t>
      </w:r>
    </w:p>
    <w:p w14:paraId="772D0642" w14:textId="6830F942" w:rsidR="00D306BC" w:rsidRPr="00D306BC" w:rsidRDefault="00D306BC" w:rsidP="00D306BC">
      <w:pPr>
        <w:spacing w:line="360" w:lineRule="auto"/>
        <w:jc w:val="both"/>
        <w:rPr>
          <w:rFonts w:ascii="Georgia" w:hAnsi="Georgia"/>
        </w:rPr>
      </w:pPr>
      <w:r w:rsidRPr="00D306BC">
        <w:rPr>
          <w:rFonts w:ascii="Georgia" w:hAnsi="Georgia"/>
        </w:rPr>
        <w:t>In the modelling phase, the primary focus is fitting the model to the training set, specifying both the feature and target variables. Subsequently, evaluation entails assessing metrics on the testing set by comparing predictions against the original target values. For a robust credit finance system, employing a stacking or Voting Algorithm is optimal due to their ability to consider multidimensional aspects of the dataset. These approaches accommodate the complexity inherent in such datasets, leveraging a blend of potent bagging and boosting classifiers to enhance overall performance.</w:t>
      </w:r>
    </w:p>
    <w:p w14:paraId="15561C39" w14:textId="77777777" w:rsidR="00D306BC" w:rsidRPr="00D306BC" w:rsidRDefault="00D306BC" w:rsidP="00D306BC">
      <w:pPr>
        <w:spacing w:line="360" w:lineRule="auto"/>
        <w:jc w:val="both"/>
        <w:rPr>
          <w:rFonts w:ascii="Georgia" w:hAnsi="Georgia"/>
        </w:rPr>
      </w:pPr>
    </w:p>
    <w:p w14:paraId="23856F21" w14:textId="77777777" w:rsidR="00D306BC" w:rsidRPr="00D306BC" w:rsidRDefault="00D306BC" w:rsidP="00D306BC">
      <w:pPr>
        <w:spacing w:line="360" w:lineRule="auto"/>
        <w:jc w:val="both"/>
        <w:rPr>
          <w:rFonts w:ascii="Georgia" w:hAnsi="Georgia"/>
        </w:rPr>
      </w:pPr>
      <w:r w:rsidRPr="00D306BC">
        <w:rPr>
          <w:rFonts w:ascii="Georgia" w:hAnsi="Georgia"/>
        </w:rPr>
        <w:lastRenderedPageBreak/>
        <w:t>It's crucial to note that the target variable encompasses multiclass values, distinguishing it from a Binary Classification problem. Depending on the distribution of values within this column, resampling might be necessary. However, leaving the column unchanged could provide a realistic portrayal of the case study.</w:t>
      </w:r>
    </w:p>
    <w:p w14:paraId="4B31EB8F" w14:textId="77777777" w:rsidR="00D306BC" w:rsidRPr="00D306BC" w:rsidRDefault="00D306BC" w:rsidP="00D306BC">
      <w:pPr>
        <w:spacing w:line="360" w:lineRule="auto"/>
        <w:jc w:val="both"/>
        <w:rPr>
          <w:rFonts w:ascii="Georgia" w:hAnsi="Georgia"/>
        </w:rPr>
      </w:pPr>
      <w:r w:rsidRPr="00D306BC">
        <w:rPr>
          <w:rFonts w:ascii="Georgia" w:hAnsi="Georgia"/>
        </w:rPr>
        <w:t>Additionally, ensuring a fixed random state across all ML techniques and algorithms, particularly with SciKit Learn, is imperative. This practice guarantees consistency in variable generation, preventing inconsistencies in values and variables that might arise with each code application.</w:t>
      </w:r>
    </w:p>
    <w:p w14:paraId="7A032615" w14:textId="38700774" w:rsidR="00D306BC" w:rsidRDefault="00D306BC" w:rsidP="00D306BC">
      <w:pPr>
        <w:spacing w:line="360" w:lineRule="auto"/>
        <w:jc w:val="both"/>
        <w:rPr>
          <w:rFonts w:ascii="Georgia" w:hAnsi="Georgia"/>
        </w:rPr>
      </w:pPr>
      <w:r w:rsidRPr="00D306BC">
        <w:rPr>
          <w:rFonts w:ascii="Georgia" w:hAnsi="Georgia"/>
        </w:rPr>
        <w:t>This modelling approach is designed to optimize predictive performance, utilizing ensemble methods tailored for the intricacies of a credit finance system. The consideration of multiclass variables and potential resampling strategies aligns with the dataset's complexity, fostering a more accurate and nuanced model fitting process. Moreover, enforcing a fixed random state across all ML techniques ensures stability and reproducibility, vital for consistent and reliable model outcomes.</w:t>
      </w:r>
    </w:p>
    <w:p w14:paraId="3CDABF6A" w14:textId="4DE04866" w:rsidR="00D306BC" w:rsidRPr="004A08C6" w:rsidRDefault="00D306BC" w:rsidP="00D306BC">
      <w:pPr>
        <w:spacing w:line="360" w:lineRule="auto"/>
        <w:jc w:val="both"/>
        <w:rPr>
          <w:rFonts w:ascii="Georgia" w:hAnsi="Georgia"/>
          <w:b/>
          <w:bCs/>
        </w:rPr>
      </w:pPr>
      <w:r w:rsidRPr="004A08C6">
        <w:rPr>
          <w:rFonts w:ascii="Georgia" w:hAnsi="Georgia"/>
          <w:b/>
          <w:bCs/>
        </w:rPr>
        <w:t>Evaluation</w:t>
      </w:r>
    </w:p>
    <w:p w14:paraId="44DB6053" w14:textId="77777777" w:rsidR="004A08C6" w:rsidRPr="004A08C6" w:rsidRDefault="004A08C6" w:rsidP="004A08C6">
      <w:pPr>
        <w:spacing w:line="360" w:lineRule="auto"/>
        <w:jc w:val="both"/>
        <w:rPr>
          <w:rFonts w:ascii="Georgia" w:hAnsi="Georgia"/>
        </w:rPr>
      </w:pPr>
      <w:r w:rsidRPr="004A08C6">
        <w:rPr>
          <w:rFonts w:ascii="Georgia" w:hAnsi="Georgia"/>
        </w:rPr>
        <w:t>Classification model assessment involves metrics like accuracy, precision, recall, F1 score, and AUC-ROC. Precision targets accurate positive predictions, while recall gauges the model's ability to capture all actual positives. The F1 score combines both, offering balanced performance assessment.</w:t>
      </w:r>
    </w:p>
    <w:p w14:paraId="57D5C3C9" w14:textId="77777777" w:rsidR="004A08C6" w:rsidRPr="004A08C6" w:rsidRDefault="004A08C6" w:rsidP="004A08C6">
      <w:pPr>
        <w:spacing w:line="360" w:lineRule="auto"/>
        <w:jc w:val="both"/>
        <w:rPr>
          <w:rFonts w:ascii="Georgia" w:hAnsi="Georgia"/>
        </w:rPr>
      </w:pPr>
      <w:r w:rsidRPr="004A08C6">
        <w:rPr>
          <w:rFonts w:ascii="Georgia" w:hAnsi="Georgia"/>
        </w:rPr>
        <w:t>In credit scoring, precision minimizes false positives, reducing risks linked to granting credit to risky individuals. Recall ensures capturing most actual positive credit outcomes, avoiding the rejection of credit-worthy individuals.</w:t>
      </w:r>
    </w:p>
    <w:p w14:paraId="0A267CDE" w14:textId="32146697" w:rsidR="00D67859" w:rsidRDefault="004A08C6" w:rsidP="004A08C6">
      <w:pPr>
        <w:spacing w:line="360" w:lineRule="auto"/>
        <w:jc w:val="both"/>
        <w:rPr>
          <w:rFonts w:ascii="Georgia" w:hAnsi="Georgia"/>
        </w:rPr>
      </w:pPr>
      <w:r w:rsidRPr="004A08C6">
        <w:rPr>
          <w:rFonts w:ascii="Georgia" w:hAnsi="Georgia"/>
        </w:rPr>
        <w:t>The F1 score's balance between precision and recall is crucial. It allows high precision without overly restricting credit access, ensuring accuracy while maintaining credit availability.</w:t>
      </w:r>
      <w:r w:rsidR="0044456F">
        <w:rPr>
          <w:rFonts w:ascii="Georgia" w:hAnsi="Georgia"/>
        </w:rPr>
        <w:t xml:space="preserve"> </w:t>
      </w:r>
      <w:bookmarkStart w:id="0" w:name="_GoBack"/>
      <w:bookmarkEnd w:id="0"/>
      <w:r w:rsidRPr="004A08C6">
        <w:rPr>
          <w:rFonts w:ascii="Georgia" w:hAnsi="Georgia"/>
        </w:rPr>
        <w:t>For credit scoring, achieving balance between precision and recall, typically represented by the F1 score, is pivotal. This approach prioritizes accuracy while facilitating reasonable credit access.</w:t>
      </w:r>
    </w:p>
    <w:p w14:paraId="54FC744C" w14:textId="77777777" w:rsidR="004A08C6" w:rsidRDefault="004A08C6" w:rsidP="004A08C6">
      <w:pPr>
        <w:spacing w:line="360" w:lineRule="auto"/>
        <w:jc w:val="both"/>
        <w:rPr>
          <w:rFonts w:ascii="Georgia" w:hAnsi="Georgia"/>
          <w:b/>
          <w:bCs/>
        </w:rPr>
      </w:pPr>
      <w:r w:rsidRPr="004A08C6">
        <w:rPr>
          <w:rFonts w:ascii="Georgia" w:hAnsi="Georgia"/>
          <w:b/>
          <w:bCs/>
        </w:rPr>
        <w:t>Actionable Insights</w:t>
      </w:r>
    </w:p>
    <w:p w14:paraId="11738970" w14:textId="00122C73" w:rsidR="00D67859" w:rsidRPr="004A08C6" w:rsidRDefault="004A08C6" w:rsidP="008E2ACB">
      <w:pPr>
        <w:spacing w:line="360" w:lineRule="auto"/>
        <w:jc w:val="both"/>
        <w:rPr>
          <w:rFonts w:ascii="Georgia" w:hAnsi="Georgia"/>
          <w:b/>
          <w:bCs/>
        </w:rPr>
      </w:pPr>
      <w:r>
        <w:rPr>
          <w:rFonts w:ascii="Georgia" w:hAnsi="Georgia"/>
        </w:rPr>
        <w:t>F</w:t>
      </w:r>
      <w:r w:rsidRPr="004A08C6">
        <w:rPr>
          <w:rFonts w:ascii="Georgia" w:hAnsi="Georgia"/>
        </w:rPr>
        <w:t>rom the credit scoring model offer strategies for refined risk management and personalized customer segmentation. Identifying influential variables enables tailored risk policies, minimizing defaults by addressing specific customer profiles. Segmentation based on credit behavio</w:t>
      </w:r>
      <w:r w:rsidR="0044456F">
        <w:rPr>
          <w:rFonts w:ascii="Georgia" w:hAnsi="Georgia"/>
        </w:rPr>
        <w:t>u</w:t>
      </w:r>
      <w:r w:rsidRPr="004A08C6">
        <w:rPr>
          <w:rFonts w:ascii="Georgia" w:hAnsi="Georgia"/>
        </w:rPr>
        <w:t>rs allows personalized financial offerings, catering to diverse risk profiles. Prioritizing influential features aids focused resource allocation, refining strategies for better credit assessments. Continuous post-deployment monitoring ensures adaptability, empowering informed decisions in a dynamic financial landscape.</w:t>
      </w:r>
    </w:p>
    <w:sectPr w:rsidR="00D67859" w:rsidRPr="004A08C6" w:rsidSect="004A08C6">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5B"/>
    <w:rsid w:val="00091487"/>
    <w:rsid w:val="001F7B3A"/>
    <w:rsid w:val="0044456F"/>
    <w:rsid w:val="00484B41"/>
    <w:rsid w:val="004A08C6"/>
    <w:rsid w:val="005A3FF3"/>
    <w:rsid w:val="00787EF1"/>
    <w:rsid w:val="007B6ECC"/>
    <w:rsid w:val="00815DD9"/>
    <w:rsid w:val="008475A7"/>
    <w:rsid w:val="008E2ACB"/>
    <w:rsid w:val="00A54F5E"/>
    <w:rsid w:val="00AB56BE"/>
    <w:rsid w:val="00C02F5B"/>
    <w:rsid w:val="00D306BC"/>
    <w:rsid w:val="00D67859"/>
    <w:rsid w:val="00F6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EDED"/>
  <w15:chartTrackingRefBased/>
  <w15:docId w15:val="{2FD98A08-111F-4D65-B3E0-377E351E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9663">
      <w:bodyDiv w:val="1"/>
      <w:marLeft w:val="0"/>
      <w:marRight w:val="0"/>
      <w:marTop w:val="0"/>
      <w:marBottom w:val="0"/>
      <w:divBdr>
        <w:top w:val="none" w:sz="0" w:space="0" w:color="auto"/>
        <w:left w:val="none" w:sz="0" w:space="0" w:color="auto"/>
        <w:bottom w:val="none" w:sz="0" w:space="0" w:color="auto"/>
        <w:right w:val="none" w:sz="0" w:space="0" w:color="auto"/>
      </w:divBdr>
      <w:divsChild>
        <w:div w:id="1731424181">
          <w:marLeft w:val="0"/>
          <w:marRight w:val="0"/>
          <w:marTop w:val="0"/>
          <w:marBottom w:val="0"/>
          <w:divBdr>
            <w:top w:val="single" w:sz="2" w:space="0" w:color="D9D9E3"/>
            <w:left w:val="single" w:sz="2" w:space="0" w:color="D9D9E3"/>
            <w:bottom w:val="single" w:sz="2" w:space="0" w:color="D9D9E3"/>
            <w:right w:val="single" w:sz="2" w:space="0" w:color="D9D9E3"/>
          </w:divBdr>
          <w:divsChild>
            <w:div w:id="1935748379">
              <w:marLeft w:val="0"/>
              <w:marRight w:val="0"/>
              <w:marTop w:val="0"/>
              <w:marBottom w:val="0"/>
              <w:divBdr>
                <w:top w:val="single" w:sz="2" w:space="0" w:color="D9D9E3"/>
                <w:left w:val="single" w:sz="2" w:space="0" w:color="D9D9E3"/>
                <w:bottom w:val="single" w:sz="2" w:space="0" w:color="D9D9E3"/>
                <w:right w:val="single" w:sz="2" w:space="0" w:color="D9D9E3"/>
              </w:divBdr>
              <w:divsChild>
                <w:div w:id="1636637387">
                  <w:marLeft w:val="0"/>
                  <w:marRight w:val="0"/>
                  <w:marTop w:val="0"/>
                  <w:marBottom w:val="0"/>
                  <w:divBdr>
                    <w:top w:val="single" w:sz="2" w:space="0" w:color="D9D9E3"/>
                    <w:left w:val="single" w:sz="2" w:space="0" w:color="D9D9E3"/>
                    <w:bottom w:val="single" w:sz="2" w:space="0" w:color="D9D9E3"/>
                    <w:right w:val="single" w:sz="2" w:space="0" w:color="D9D9E3"/>
                  </w:divBdr>
                  <w:divsChild>
                    <w:div w:id="293877830">
                      <w:marLeft w:val="0"/>
                      <w:marRight w:val="0"/>
                      <w:marTop w:val="0"/>
                      <w:marBottom w:val="0"/>
                      <w:divBdr>
                        <w:top w:val="single" w:sz="2" w:space="0" w:color="D9D9E3"/>
                        <w:left w:val="single" w:sz="2" w:space="0" w:color="D9D9E3"/>
                        <w:bottom w:val="single" w:sz="2" w:space="0" w:color="D9D9E3"/>
                        <w:right w:val="single" w:sz="2" w:space="0" w:color="D9D9E3"/>
                      </w:divBdr>
                      <w:divsChild>
                        <w:div w:id="1185553087">
                          <w:marLeft w:val="0"/>
                          <w:marRight w:val="0"/>
                          <w:marTop w:val="0"/>
                          <w:marBottom w:val="0"/>
                          <w:divBdr>
                            <w:top w:val="single" w:sz="2" w:space="0" w:color="D9D9E3"/>
                            <w:left w:val="single" w:sz="2" w:space="0" w:color="D9D9E3"/>
                            <w:bottom w:val="single" w:sz="2" w:space="0" w:color="D9D9E3"/>
                            <w:right w:val="single" w:sz="2" w:space="0" w:color="D9D9E3"/>
                          </w:divBdr>
                          <w:divsChild>
                            <w:div w:id="110234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73714">
                                  <w:marLeft w:val="0"/>
                                  <w:marRight w:val="0"/>
                                  <w:marTop w:val="0"/>
                                  <w:marBottom w:val="0"/>
                                  <w:divBdr>
                                    <w:top w:val="single" w:sz="2" w:space="0" w:color="D9D9E3"/>
                                    <w:left w:val="single" w:sz="2" w:space="0" w:color="D9D9E3"/>
                                    <w:bottom w:val="single" w:sz="2" w:space="0" w:color="D9D9E3"/>
                                    <w:right w:val="single" w:sz="2" w:space="0" w:color="D9D9E3"/>
                                  </w:divBdr>
                                  <w:divsChild>
                                    <w:div w:id="20471306">
                                      <w:marLeft w:val="0"/>
                                      <w:marRight w:val="0"/>
                                      <w:marTop w:val="0"/>
                                      <w:marBottom w:val="0"/>
                                      <w:divBdr>
                                        <w:top w:val="single" w:sz="2" w:space="0" w:color="D9D9E3"/>
                                        <w:left w:val="single" w:sz="2" w:space="0" w:color="D9D9E3"/>
                                        <w:bottom w:val="single" w:sz="2" w:space="0" w:color="D9D9E3"/>
                                        <w:right w:val="single" w:sz="2" w:space="0" w:color="D9D9E3"/>
                                      </w:divBdr>
                                      <w:divsChild>
                                        <w:div w:id="188184911">
                                          <w:marLeft w:val="0"/>
                                          <w:marRight w:val="0"/>
                                          <w:marTop w:val="0"/>
                                          <w:marBottom w:val="0"/>
                                          <w:divBdr>
                                            <w:top w:val="single" w:sz="2" w:space="0" w:color="D9D9E3"/>
                                            <w:left w:val="single" w:sz="2" w:space="0" w:color="D9D9E3"/>
                                            <w:bottom w:val="single" w:sz="2" w:space="0" w:color="D9D9E3"/>
                                            <w:right w:val="single" w:sz="2" w:space="0" w:color="D9D9E3"/>
                                          </w:divBdr>
                                          <w:divsChild>
                                            <w:div w:id="862404759">
                                              <w:marLeft w:val="0"/>
                                              <w:marRight w:val="0"/>
                                              <w:marTop w:val="0"/>
                                              <w:marBottom w:val="0"/>
                                              <w:divBdr>
                                                <w:top w:val="single" w:sz="2" w:space="0" w:color="D9D9E3"/>
                                                <w:left w:val="single" w:sz="2" w:space="0" w:color="D9D9E3"/>
                                                <w:bottom w:val="single" w:sz="2" w:space="0" w:color="D9D9E3"/>
                                                <w:right w:val="single" w:sz="2" w:space="0" w:color="D9D9E3"/>
                                              </w:divBdr>
                                              <w:divsChild>
                                                <w:div w:id="1922062750">
                                                  <w:marLeft w:val="0"/>
                                                  <w:marRight w:val="0"/>
                                                  <w:marTop w:val="0"/>
                                                  <w:marBottom w:val="0"/>
                                                  <w:divBdr>
                                                    <w:top w:val="single" w:sz="2" w:space="0" w:color="D9D9E3"/>
                                                    <w:left w:val="single" w:sz="2" w:space="0" w:color="D9D9E3"/>
                                                    <w:bottom w:val="single" w:sz="2" w:space="0" w:color="D9D9E3"/>
                                                    <w:right w:val="single" w:sz="2" w:space="0" w:color="D9D9E3"/>
                                                  </w:divBdr>
                                                  <w:divsChild>
                                                    <w:div w:id="123713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9272353">
          <w:marLeft w:val="0"/>
          <w:marRight w:val="0"/>
          <w:marTop w:val="0"/>
          <w:marBottom w:val="0"/>
          <w:divBdr>
            <w:top w:val="none" w:sz="0" w:space="0" w:color="auto"/>
            <w:left w:val="none" w:sz="0" w:space="0" w:color="auto"/>
            <w:bottom w:val="none" w:sz="0" w:space="0" w:color="auto"/>
            <w:right w:val="none" w:sz="0" w:space="0" w:color="auto"/>
          </w:divBdr>
        </w:div>
      </w:divsChild>
    </w:div>
    <w:div w:id="332531871">
      <w:bodyDiv w:val="1"/>
      <w:marLeft w:val="0"/>
      <w:marRight w:val="0"/>
      <w:marTop w:val="0"/>
      <w:marBottom w:val="0"/>
      <w:divBdr>
        <w:top w:val="none" w:sz="0" w:space="0" w:color="auto"/>
        <w:left w:val="none" w:sz="0" w:space="0" w:color="auto"/>
        <w:bottom w:val="none" w:sz="0" w:space="0" w:color="auto"/>
        <w:right w:val="none" w:sz="0" w:space="0" w:color="auto"/>
      </w:divBdr>
    </w:div>
    <w:div w:id="334069362">
      <w:bodyDiv w:val="1"/>
      <w:marLeft w:val="0"/>
      <w:marRight w:val="0"/>
      <w:marTop w:val="0"/>
      <w:marBottom w:val="0"/>
      <w:divBdr>
        <w:top w:val="none" w:sz="0" w:space="0" w:color="auto"/>
        <w:left w:val="none" w:sz="0" w:space="0" w:color="auto"/>
        <w:bottom w:val="none" w:sz="0" w:space="0" w:color="auto"/>
        <w:right w:val="none" w:sz="0" w:space="0" w:color="auto"/>
      </w:divBdr>
    </w:div>
    <w:div w:id="354113955">
      <w:bodyDiv w:val="1"/>
      <w:marLeft w:val="0"/>
      <w:marRight w:val="0"/>
      <w:marTop w:val="0"/>
      <w:marBottom w:val="0"/>
      <w:divBdr>
        <w:top w:val="none" w:sz="0" w:space="0" w:color="auto"/>
        <w:left w:val="none" w:sz="0" w:space="0" w:color="auto"/>
        <w:bottom w:val="none" w:sz="0" w:space="0" w:color="auto"/>
        <w:right w:val="none" w:sz="0" w:space="0" w:color="auto"/>
      </w:divBdr>
    </w:div>
    <w:div w:id="383917949">
      <w:bodyDiv w:val="1"/>
      <w:marLeft w:val="0"/>
      <w:marRight w:val="0"/>
      <w:marTop w:val="0"/>
      <w:marBottom w:val="0"/>
      <w:divBdr>
        <w:top w:val="none" w:sz="0" w:space="0" w:color="auto"/>
        <w:left w:val="none" w:sz="0" w:space="0" w:color="auto"/>
        <w:bottom w:val="none" w:sz="0" w:space="0" w:color="auto"/>
        <w:right w:val="none" w:sz="0" w:space="0" w:color="auto"/>
      </w:divBdr>
    </w:div>
    <w:div w:id="423653921">
      <w:bodyDiv w:val="1"/>
      <w:marLeft w:val="0"/>
      <w:marRight w:val="0"/>
      <w:marTop w:val="0"/>
      <w:marBottom w:val="0"/>
      <w:divBdr>
        <w:top w:val="none" w:sz="0" w:space="0" w:color="auto"/>
        <w:left w:val="none" w:sz="0" w:space="0" w:color="auto"/>
        <w:bottom w:val="none" w:sz="0" w:space="0" w:color="auto"/>
        <w:right w:val="none" w:sz="0" w:space="0" w:color="auto"/>
      </w:divBdr>
    </w:div>
    <w:div w:id="1445728761">
      <w:bodyDiv w:val="1"/>
      <w:marLeft w:val="0"/>
      <w:marRight w:val="0"/>
      <w:marTop w:val="0"/>
      <w:marBottom w:val="0"/>
      <w:divBdr>
        <w:top w:val="none" w:sz="0" w:space="0" w:color="auto"/>
        <w:left w:val="none" w:sz="0" w:space="0" w:color="auto"/>
        <w:bottom w:val="none" w:sz="0" w:space="0" w:color="auto"/>
        <w:right w:val="none" w:sz="0" w:space="0" w:color="auto"/>
      </w:divBdr>
    </w:div>
    <w:div w:id="163336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3</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8</cp:revision>
  <dcterms:created xsi:type="dcterms:W3CDTF">2023-12-09T08:09:00Z</dcterms:created>
  <dcterms:modified xsi:type="dcterms:W3CDTF">2023-12-10T06:04:00Z</dcterms:modified>
</cp:coreProperties>
</file>