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spacing w:line="480" w:lineRule="auto"/>
      </w:pPr>
      <w:r w:rsidRPr="0014499F">
        <w:t>SECTION A: MEASLES OUTBREAK</w:t>
      </w:r>
    </w:p>
    <w:p w14:paraId="55C7B202" w14:textId="4596A5C6" w:rsidR="0014499F" w:rsidRDefault="00366EC9" w:rsidP="00366EC9">
      <w:pPr>
        <w:pStyle w:val="Heading2"/>
      </w:pPr>
      <w:r>
        <w:t>Q1:</w:t>
      </w:r>
      <w:r w:rsidR="004E3428" w:rsidRPr="004E3428">
        <w:t xml:space="preserve"> Measles Burden and Public Health Impacts in </w:t>
      </w:r>
      <w:r w:rsidR="004E26CE">
        <w:t>Nigeria</w:t>
      </w:r>
    </w:p>
    <w:p w14:paraId="09D1FA36" w14:textId="137CCDAE" w:rsidR="004E26CE" w:rsidRDefault="004E26CE" w:rsidP="004E26CE">
      <w:pPr>
        <w:spacing w:line="480" w:lineRule="auto"/>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spacing w:line="480" w:lineRule="auto"/>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143E9105" w:rsidR="00924678" w:rsidRDefault="004E26CE" w:rsidP="004E26CE">
      <w:pPr>
        <w:spacing w:line="480" w:lineRule="auto"/>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The age-specific data from Bayelsa State 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of measles admissions and complications in this age group, particularly among the unvaccinated </w:t>
      </w:r>
      <w:r>
        <w:lastRenderedPageBreak/>
        <w:t xml:space="preserve">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356D1592" w14:textId="684BD3C2" w:rsidR="007F4A15" w:rsidRDefault="007F4A15" w:rsidP="0031492D">
      <w:pPr>
        <w:pStyle w:val="Heading2"/>
      </w:pPr>
      <w:r>
        <w:t xml:space="preserve">Q2: </w:t>
      </w:r>
      <w:r w:rsidR="0031492D">
        <w:t>Immediate Public Health actions in response to Measles Outbreak in Smithtown, England</w:t>
      </w:r>
    </w:p>
    <w:p w14:paraId="215C63B1" w14:textId="04BB8C00" w:rsidR="0031492D" w:rsidRPr="0031492D" w:rsidRDefault="0031492D" w:rsidP="0031492D">
      <w:pPr>
        <w:spacing w:line="480" w:lineRule="auto"/>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spacing w:line="480" w:lineRule="auto"/>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spacing w:line="480" w:lineRule="auto"/>
        <w:jc w:val="both"/>
        <w:rPr>
          <w:lang w:val="en-US"/>
        </w:rPr>
      </w:pPr>
      <w:r w:rsidRPr="0031492D">
        <w:rPr>
          <w:lang w:val="en-US"/>
        </w:rPr>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xml:space="preserve">. Address concerns, correct misconceptions, and stress the significance of vaccination. Acknowledge the decline in MMR vaccine confidence, </w:t>
      </w:r>
      <w:r w:rsidRPr="0031492D">
        <w:rPr>
          <w:lang w:val="en-US"/>
        </w:rPr>
        <w:lastRenderedPageBreak/>
        <w:t>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7843EF86" w:rsidR="0031492D" w:rsidRDefault="00E804BC" w:rsidP="006F6F4C">
      <w:pPr>
        <w:pStyle w:val="Heading2"/>
      </w:pPr>
      <w:r>
        <w:t xml:space="preserve">Q3: </w:t>
      </w:r>
      <w:r w:rsidR="006F6F4C">
        <w:t>Transmission of Measles and Prevention</w:t>
      </w:r>
    </w:p>
    <w:p w14:paraId="21CBA85C" w14:textId="3647E5C6" w:rsidR="00874591" w:rsidRPr="00874591" w:rsidRDefault="00874591" w:rsidP="00874591">
      <w:pPr>
        <w:spacing w:line="480" w:lineRule="auto"/>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142547F6" w:rsidR="00874591" w:rsidRPr="00874591" w:rsidRDefault="00874591" w:rsidP="00874591">
      <w:pPr>
        <w:spacing w:line="480" w:lineRule="auto"/>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 xml:space="preserve">et </w:t>
      </w:r>
      <w:r w:rsidR="0030438D" w:rsidRPr="0030438D">
        <w:rPr>
          <w:rFonts w:cs="Times New Roman"/>
          <w:i/>
          <w:iCs/>
          <w:kern w:val="0"/>
        </w:rPr>
        <w:lastRenderedPageBreak/>
        <w:t>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0EEF86C3" w:rsidR="00874591" w:rsidRDefault="00874591" w:rsidP="00874591">
      <w:pPr>
        <w:spacing w:line="480" w:lineRule="auto"/>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16624831" w14:textId="2019F53C" w:rsidR="00B51920" w:rsidRDefault="00B51920" w:rsidP="00B51920">
      <w:pPr>
        <w:pStyle w:val="Heading2"/>
      </w:pPr>
      <w:r>
        <w:rPr>
          <w:lang w:val="en-US"/>
        </w:rPr>
        <w:t xml:space="preserve">Q4: </w:t>
      </w:r>
      <w:r w:rsidRPr="00B51920">
        <w:t>Outbreak management and roles/responsibilities</w:t>
      </w:r>
    </w:p>
    <w:p w14:paraId="7C14F580" w14:textId="23EEDE18" w:rsidR="00702790" w:rsidRDefault="00702790" w:rsidP="00702790">
      <w:pPr>
        <w:spacing w:line="480" w:lineRule="auto"/>
        <w:jc w:val="both"/>
      </w:pPr>
      <w:r>
        <w:t>The management of the measles outbreak in Smithtown necessitates a coordinated response involving healthcare professionals, public health agencies, schools, parents, and students</w:t>
      </w:r>
      <w:r w:rsidR="00C82919">
        <w:t xml:space="preserve"> as provided in </w:t>
      </w:r>
      <w:r w:rsidR="00C82919">
        <w:fldChar w:fldCharType="begin"/>
      </w:r>
      <w:r w:rsidR="00C82919">
        <w:instrText xml:space="preserve"> ADDIN ZOTERO_ITEM CSL_CITATION {"citationID":"5Bt5RQTd","properties":{"formattedCitation":"(Alves Graber {\\i{}et al.}, 2020)","plainCitation":"(Alves Graber et al., 2020)","noteIndex":0},"citationItems":[{"id":244,"uris":["http://zotero.org/users/local/90rMeuHC/items/R3P5J8S8"],"itemData":{"id":244,"type":"article-journal","abstract":"Background\nIt is vital for frontline emergency physicians to immediately recognize the signs and symptoms of measles to initiate appropriate therapy and prevent spread to the health care team and other patients.\nObjective\nThis review serves as a clinically practical updated reference for when the differential diagnosis includes measles.\nDiscussion\nMeasles is a highly contagious illness that classically presents with a rash, fever, cough, coryza, and conjunctivitis. Cases in the United States since 2000 have been attributed mainly to travelers who are infected abroad and then spread the illness to small, susceptible populations within the United States. Complications from measles are relatively common and can be associated with significant morbidity and mortality. Clinical suspicion should be confirmed with laboratory testing, which is most commonly a serum immunoglobulin M. The management of measles is mainly supportive. Patients that require more aggressive management include those who are pregnant, immunocompromised, or unvaccinated. Treatment may consist of the measles vaccine, intravenous immunoglobulin, vitamin A, and even ribavirin. Additionally, special precautions are required by hospital workers to help prevent the spread of the virus, which include N-95 masks and patient isolation in an airborne infection isolation room.\nConclusion\nEmergency physicians must be readily able to identify, contain patients with suspected measles, and determine who will need further medical management for this potentially life-threatening illness. As this public health crisis evolves, novel ways of screening for and reporting cases of measles is needed.","container-title":"The Journal of Emergency Medicine","DOI":"10.1016/j.jemermed.2020.02.007","ISSN":"0736-4679","issue":"4","journalAbbreviation":"The Journal of Emergency Medicine","page":"610-615","source":"ScienceDirect","title":"An Update and Review of Measles for Emergency Physicians","volume":"58","author":[{"family":"Alves Graber","given":"Elise M."},{"family":"Andrade","given":"Francisco J."},{"family":"Bost","given":"William"},{"family":"Gibbs","given":"Michael A."}],"issued":{"date-parts":[["2020",4,1]]}}}],"schema":"https://github.com/citation-style-language/schema/raw/master/csl-citation.json"} </w:instrText>
      </w:r>
      <w:r w:rsidR="00C82919">
        <w:fldChar w:fldCharType="separate"/>
      </w:r>
      <w:r w:rsidR="00C82919" w:rsidRPr="00C82919">
        <w:rPr>
          <w:rFonts w:cs="Times New Roman"/>
          <w:kern w:val="0"/>
        </w:rPr>
        <w:t xml:space="preserve">(Alves Graber </w:t>
      </w:r>
      <w:r w:rsidR="00C82919" w:rsidRPr="00C82919">
        <w:rPr>
          <w:rFonts w:cs="Times New Roman"/>
          <w:i/>
          <w:iCs/>
          <w:kern w:val="0"/>
        </w:rPr>
        <w:t>et al.</w:t>
      </w:r>
      <w:r w:rsidR="00C82919" w:rsidRPr="00C82919">
        <w:rPr>
          <w:rFonts w:cs="Times New Roman"/>
          <w:kern w:val="0"/>
        </w:rPr>
        <w:t>, 2020)</w:t>
      </w:r>
      <w:r w:rsidR="00C82919">
        <w:fldChar w:fldCharType="end"/>
      </w:r>
      <w:r>
        <w:t>. Swift case identification and isolation are paramount responsibilities of healthcare professionals and school staff</w:t>
      </w:r>
      <w:r w:rsidR="00C82919">
        <w:t xml:space="preserve"> </w:t>
      </w:r>
      <w:r w:rsidR="00C82919">
        <w:fldChar w:fldCharType="begin"/>
      </w:r>
      <w:r w:rsidR="00C82919">
        <w:instrText xml:space="preserve"> ADDIN ZOTERO_ITEM CSL_CITATION {"citationID":"ZLCGmCI6","properties":{"formattedCitation":"(Mulchandani {\\i{}et al.}, 2021)","plainCitation":"(Mulchandani et al., 2021)","noteIndex":0},"citationItems":[{"id":247,"uris":["http://zotero.org/users/local/90rMeuHC/items/ZIDXZA8V"],"itemData":{"id":247,"type":"article-journal","abstract":"In November 2017, eight confirmed measles cases were reported to Public Health England from a hospital in the West Midlands. A multidisciplinary Incident Management Team (IMT) was established to determine the extent of the problem and coordinate an outbreak response. Between 1 November 2017 and 4 June 2018, a total of 116 confirmed and 21 likely measles cases were linked to this outbreak; just under half (43%) were aged over 15 years of age. Fifty-five of the confirmed cases were hospitalised (48%) and no deaths were reported. At the start of the outbreak, cases were mostly individuals of Romanian origin; the outbreak subsequently spread to the wider population. Over the 8-month response, the IMT conducted the following control measures: extensive contact tracing, immediate provision of post-exposure prophylaxis, community engagement amongst specific high-risk groups, MMR awareness raising including catch-up campaigns and enhanced vaccination services at selected GP surgeries. Key challenges to the effective control measures included language difficulties limiting community engagement; delays in diagnosis, notification and appropriate isolation of cases; limited resources for contact tracing across multiple high-risk settings (including GPs and hospitals) and lack of timely data on vaccine coverage in sub-groups of the population to guide public health action.","container-title":"Epidemiology &amp; Infection","DOI":"10.1017/S0950268821000868","ISSN":"0950-2688, 1469-4409","language":"en","page":"e114","source":"Cambridge University Press","title":"A large outbreak of measles in the West Midlands, England, 2017–2018: descriptive epidemiology, control measures and lessons learnt","title-short":"A large outbreak of measles in the West Midlands, England, 2017–2018","volume":"149","author":[{"family":"Mulchandani","given":"R."},{"family":"Sibal","given":"B."},{"family":"Phillips","given":"A."},{"family":"Suleman","given":"S."},{"family":"Banerjee","given":"A."},{"family":"Teagle","given":"R."},{"family":"Foulkes","given":"S."},{"family":"Spence","given":"K."},{"family":"Edeghere","given":"O."}],"issued":{"date-parts":[["2021",1]]}}}],"schema":"https://github.com/citation-style-language/schema/raw/master/csl-citation.json"} </w:instrText>
      </w:r>
      <w:r w:rsidR="00C82919">
        <w:fldChar w:fldCharType="separate"/>
      </w:r>
      <w:r w:rsidR="00C82919" w:rsidRPr="00C82919">
        <w:rPr>
          <w:rFonts w:cs="Times New Roman"/>
          <w:kern w:val="0"/>
        </w:rPr>
        <w:t xml:space="preserve">(Mulchandani </w:t>
      </w:r>
      <w:r w:rsidR="00C82919" w:rsidRPr="00C82919">
        <w:rPr>
          <w:rFonts w:cs="Times New Roman"/>
          <w:i/>
          <w:iCs/>
          <w:kern w:val="0"/>
        </w:rPr>
        <w:t>et al.</w:t>
      </w:r>
      <w:r w:rsidR="00C82919" w:rsidRPr="00C82919">
        <w:rPr>
          <w:rFonts w:cs="Times New Roman"/>
          <w:kern w:val="0"/>
        </w:rPr>
        <w:t>, 2021)</w:t>
      </w:r>
      <w:r w:rsidR="00C82919">
        <w:fldChar w:fldCharType="end"/>
      </w:r>
      <w:r>
        <w:t>. Laboratory confirmation, contact tracing, and targeted vaccination campaigns led by public health agencies are essential to curb further transmission</w:t>
      </w:r>
      <w:r w:rsidR="00C82919">
        <w:t xml:space="preserve"> </w:t>
      </w:r>
      <w:r w:rsidR="00C82919">
        <w:fldChar w:fldCharType="begin"/>
      </w:r>
      <w:r w:rsidR="00C82919">
        <w:instrText xml:space="preserve"> ADDIN ZOTERO_ITEM CSL_CITATION {"citationID":"323ChxeK","properties":{"formattedCitation":"(Banerjee {\\i{}et al.}, 2020)","plainCitation":"(Banerjee et al., 2020)","noteIndex":0},"citationItems":[{"id":238,"uris":["http://zotero.org/users/local/90rMeuHC/items/WQIBLBMJ"],"itemData":{"id":238,"type":"webpage","title":"Containing a measles outbreak in Minnesota, 2017: methods and challenges - E Banerjee, J Griffith, C Kenyon, B Christianson, A Strain, K Martin, M McMahon, E Bagstad, E Laine, K Hardy, G Grilli, J Walters, D Dunn, M Roddy, K Ehresmann, 2020","URL":"https://journals.sagepub.com/doi/abs/10.1177/1757913919871072","author":[{"family":"Banerjee","given":"E"},{"family":"Griffith","given":"J"},{"family":"Kenyon","given":"C"},{"family":"Christianson","given":"B"},{"family":"Strain","given":"A"},{"family":"Martin","given":"K"},{"family":"McMahon","given":"M"},{"family":"Bagstad","given":"E"},{"family":"Laine","given":"E"},{"family":"Hardy","given":"K"}],"accessed":{"date-parts":[["2024",2,23]]},"issued":{"date-parts":[["2020"]]}}}],"schema":"https://github.com/citation-style-language/schema/raw/master/csl-citation.json"} </w:instrText>
      </w:r>
      <w:r w:rsidR="00C82919">
        <w:fldChar w:fldCharType="separate"/>
      </w:r>
      <w:r w:rsidR="00C82919" w:rsidRPr="00C82919">
        <w:rPr>
          <w:rFonts w:cs="Times New Roman"/>
          <w:kern w:val="0"/>
        </w:rPr>
        <w:t xml:space="preserve">(Banerjee </w:t>
      </w:r>
      <w:r w:rsidR="00C82919" w:rsidRPr="00C82919">
        <w:rPr>
          <w:rFonts w:cs="Times New Roman"/>
          <w:i/>
          <w:iCs/>
          <w:kern w:val="0"/>
        </w:rPr>
        <w:t>et al.</w:t>
      </w:r>
      <w:r w:rsidR="00C82919" w:rsidRPr="00C82919">
        <w:rPr>
          <w:rFonts w:cs="Times New Roman"/>
          <w:kern w:val="0"/>
        </w:rPr>
        <w:t>, 2020)</w:t>
      </w:r>
      <w:r w:rsidR="00C82919">
        <w:fldChar w:fldCharType="end"/>
      </w:r>
      <w:r>
        <w:t>.</w:t>
      </w:r>
      <w:r w:rsidR="00C82919">
        <w:t xml:space="preserve"> According to </w:t>
      </w:r>
      <w:r w:rsidR="00C82919">
        <w:fldChar w:fldCharType="begin"/>
      </w:r>
      <w:r w:rsidR="00C82919">
        <w:instrText xml:space="preserve"> ADDIN ZOTERO_ITEM CSL_CITATION {"citationID":"yx93Giux","properties":{"formattedCitation":"(Daniel {\\i{}et al.}, 2019)","plainCitation":"(Daniel et al., 2019)","noteIndex":0},"citationItems":[{"id":249,"uris":["http://zotero.org/users/local/90rMeuHC/items/Y6PUVF2L"],"itemData":{"id":249,"type":"webpage","abstract":"Explore millions of resources from scholarly journals, books, newspapers, videos and more, on the ProQuest Platform.","language":"en","title":"Lessons from a systemwide response to a measles outbreak, Canterbury, February–April 2019 - ProQuest","URL":"https://www.proquest.com/openview/b22841d9cb56823c8a317ad97cb029fe/1?pq-origsite=gscholar&amp;cbl=1056335","author":[{"family":"Daniel","given":"Williams"},{"family":"Meik","given":"Dilcher"},{"family":"Hongfang","given":"Dong"},{"family":"Bridget","given":"Lester"},{"family":"Kerry","given":"Marshal"},{"family":"Ramon","given":"Pink"},{"family":"Debbie","given":"Smith"},{"family":"Jimmy","given":"Wong"}],"accessed":{"date-parts":[["2024",2,23]]},"issued":{"date-parts":[["2019",4]]}}}],"schema":"https://github.com/citation-style-language/schema/raw/master/csl-citation.json"} </w:instrText>
      </w:r>
      <w:r w:rsidR="00C82919">
        <w:fldChar w:fldCharType="separate"/>
      </w:r>
      <w:r w:rsidR="00C82919" w:rsidRPr="00C82919">
        <w:rPr>
          <w:rFonts w:cs="Times New Roman"/>
          <w:kern w:val="0"/>
        </w:rPr>
        <w:t xml:space="preserve">(Daniel </w:t>
      </w:r>
      <w:r w:rsidR="00C82919" w:rsidRPr="00C82919">
        <w:rPr>
          <w:rFonts w:cs="Times New Roman"/>
          <w:i/>
          <w:iCs/>
          <w:kern w:val="0"/>
        </w:rPr>
        <w:t>et al.</w:t>
      </w:r>
      <w:r w:rsidR="00C82919" w:rsidRPr="00C82919">
        <w:rPr>
          <w:rFonts w:cs="Times New Roman"/>
          <w:kern w:val="0"/>
        </w:rPr>
        <w:t>, 2019)</w:t>
      </w:r>
      <w:r w:rsidR="00C82919">
        <w:fldChar w:fldCharType="end"/>
      </w:r>
      <w:r>
        <w:t xml:space="preserve"> Communication plays a pivotal role, with public health agencies and school authorities disseminating accurate information about the outbreak, symptoms, and vaccination importance to build community trust.</w:t>
      </w:r>
    </w:p>
    <w:p w14:paraId="6B48A1F3" w14:textId="2EC2E6F5" w:rsidR="00702790" w:rsidRDefault="00702790" w:rsidP="00702790">
      <w:pPr>
        <w:spacing w:line="480" w:lineRule="auto"/>
        <w:jc w:val="both"/>
      </w:pPr>
      <w:r>
        <w:lastRenderedPageBreak/>
        <w:t xml:space="preserve">In this context, the case definitions (laboratory confirmed, epidemiologically confirmed, likely) provide a standardized approach to identifying and confirming cases, aiding in effective outbreak management. Risk assessment factors, such as community membership and vaccination status, </w:t>
      </w:r>
      <w:r w:rsidR="00C82919">
        <w:t xml:space="preserve">also </w:t>
      </w:r>
      <w:r>
        <w:t>guide targeted interventions</w:t>
      </w:r>
      <w:r w:rsidR="00C82919">
        <w:t xml:space="preserve"> as suggested by </w:t>
      </w:r>
      <w:r w:rsidR="00C82919">
        <w:fldChar w:fldCharType="begin"/>
      </w:r>
      <w:r w:rsidR="00C82919">
        <w:instrText xml:space="preserve"> ADDIN ZOTERO_ITEM CSL_CITATION {"citationID":"IEJKzBV9","properties":{"formattedCitation":"(Lo Vecchio {\\i{}et al.}, 2020)","plainCitation":"(Lo Vecchio et al., 2020)","noteIndex":0},"citationItems":[{"id":250,"uris":["http://zotero.org/users/local/90rMeuHC/items/7MTD9L7Z"],"itemData":{"id":250,"type":"article-journal","abstract":"Measles is a highly communicable infection with potentially severe complications. It is rarely reported in high-income countries and the limited awareness and experience of pediatricians may result in misdiagnosis. The present study aimed at investigating physician’s ability and timing to reach diagnosis during a recent outbreak in Italy.The Italian Society for Pediatric Infectious Diseases conducted a retrospective, multicenter study in children hospitalized for measles between 1 January 2016 and 30 August 2017 in secondary and tertiary care hospitals. The appropriateness of diagnosis at admission, the time to reach clinical diagnosis, and serological confirmation of measles were recorded.At hospital admission, measles was misdiagnosed in 101 (40.5%) of the 249 children (median age, 14.5 months) enrolled. The appropriate diagnosis increased from 30% to 72.5% during the period of observation (P &amp;lt; .001). A greater chance of receiving an appropriate diagnosis was demonstrated in children who reported a contact with measles (odds ratio [OR], 5.2; 95% confidence interval [CI], 3.0–9.2) or in those seen in institutions that managed more cases (OR, 7.39; 95% CI, 3.22–16.9; P = .0001). In contrast, children with underlying chronic conditions had a higher risk of misdiagnosis (appropriate diagnosis OR, 0.19; 95% CI, 0.10–0.33). The mean time from the onset of symptoms to clinical diagnosis was 4.55 ± 2.2 days and to serological confirmation was 7.0 ± 3.4 days.Measles is frequently misdiagnosed in low-prevalence settings. Specific measures to increase pediatricians’ awareness about vaccine-preventable infections need to be implemented.","container-title":"Journal of the Pediatric Infectious Diseases Society","DOI":"10.1093/jpids/piz061","ISSN":"2048-7207","issue":"4","journalAbbreviation":"Journal of the Pediatric Infectious Diseases Society","page":"416-420","source":"Silverchair","title":"Measles Outbreak in a High-Income Country: Are Pediatricians Ready?","title-short":"Measles Outbreak in a High-Income Country","volume":"9","author":[{"family":"Lo Vecchio","given":"Andrea"},{"family":"Montagnani","given":"Carlotta"},{"family":"Krzysztofiak","given":"Andrzej"},{"family":"Valentini","given":"Piero"},{"family":"Rossi","given":"Nadia"},{"family":"Bozzola","given":"Elena"},{"family":"Castelli Gattinara","given":"Guido"},{"family":"Magurano","given":"Fabio"},{"family":"Guarino","given":"Alfredo"},{"family":"Galli","given":"Luisa"},{"literal":"Italian Society for Pediatric Infectious Diseases Measles Study Group"}],"issued":{"date-parts":[["2020",9,1]]}}}],"schema":"https://github.com/citation-style-language/schema/raw/master/csl-citation.json"} </w:instrText>
      </w:r>
      <w:r w:rsidR="00C82919">
        <w:fldChar w:fldCharType="separate"/>
      </w:r>
      <w:r w:rsidR="00C82919" w:rsidRPr="00C82919">
        <w:rPr>
          <w:rFonts w:cs="Times New Roman"/>
          <w:kern w:val="0"/>
        </w:rPr>
        <w:t xml:space="preserve">(Lo Vecchio </w:t>
      </w:r>
      <w:r w:rsidR="00C82919" w:rsidRPr="00C82919">
        <w:rPr>
          <w:rFonts w:cs="Times New Roman"/>
          <w:i/>
          <w:iCs/>
          <w:kern w:val="0"/>
        </w:rPr>
        <w:t>et al.</w:t>
      </w:r>
      <w:r w:rsidR="00C82919" w:rsidRPr="00C82919">
        <w:rPr>
          <w:rFonts w:cs="Times New Roman"/>
          <w:kern w:val="0"/>
        </w:rPr>
        <w:t>, 2020)</w:t>
      </w:r>
      <w:r w:rsidR="00C82919">
        <w:fldChar w:fldCharType="end"/>
      </w:r>
      <w:r>
        <w:t>. The critical roles of parents involve ensuring compliance with vaccination recommendations, promptly reporting symptoms, and cooperating with contact tracing efforts</w:t>
      </w:r>
      <w:r w:rsidR="00C82919">
        <w:t xml:space="preserve"> </w:t>
      </w:r>
      <w:r w:rsidR="00C82919">
        <w:fldChar w:fldCharType="begin"/>
      </w:r>
      <w:r w:rsidR="00C82919">
        <w:instrText xml:space="preserve"> ADDIN ZOTERO_ITEM CSL_CITATION {"citationID":"9Org9xre","properties":{"formattedCitation":"(Pegorie {\\i{}et al.}, 2014)","plainCitation":"(Pegorie et al., 2014)","noteIndex":0},"citationItems":[{"id":202,"uris":["http://zotero.org/users/local/90rMeuHC/items/2P4KMQMQ"],"itemData":{"id":202,"type":"article-journal","abstract":"Binary file ES_Abstracts_Final_ECDC.txt matches","container-title":"Eurosurveillance","DOI":"10.2807/1560-7917.ES2014.19.49.20982","ISSN":"1560-7917","issue":"49","language":"en","source":"Semantic Scholar","title":"Measles outbreak in Greater Manchester, England, October 2012 to September 2013: epidemiology and control","title-short":"Measles outbreak in Greater Manchester, England, October 2012 to September 2013","URL":"https://www.eurosurveillance.org/content/10.2807/1560-7917.ES2014.19.49.20982","volume":"19","author":[{"family":"Pegorie","given":"M"},{"family":"Shankar","given":"K"},{"family":"Welfare","given":"W S"},{"family":"Wilson","given":"R W"},{"family":"Khiroya","given":"C"},{"family":"Munslow","given":"G"},{"family":"Fiefield","given":"D"},{"family":"Bothra","given":"V"},{"family":"McCann","given":"R"}],"accessed":{"date-parts":[["2024",2,23]]},"issued":{"date-parts":[["2014",12,11]]}}}],"schema":"https://github.com/citation-style-language/schema/raw/master/csl-citation.json"} </w:instrText>
      </w:r>
      <w:r w:rsidR="00C82919">
        <w:fldChar w:fldCharType="separate"/>
      </w:r>
      <w:r w:rsidR="00C82919" w:rsidRPr="00C82919">
        <w:rPr>
          <w:rFonts w:cs="Times New Roman"/>
          <w:kern w:val="0"/>
        </w:rPr>
        <w:t xml:space="preserve">(Pegorie </w:t>
      </w:r>
      <w:r w:rsidR="00C82919" w:rsidRPr="00C82919">
        <w:rPr>
          <w:rFonts w:cs="Times New Roman"/>
          <w:i/>
          <w:iCs/>
          <w:kern w:val="0"/>
        </w:rPr>
        <w:t>et al.</w:t>
      </w:r>
      <w:r w:rsidR="00C82919" w:rsidRPr="00C82919">
        <w:rPr>
          <w:rFonts w:cs="Times New Roman"/>
          <w:kern w:val="0"/>
        </w:rPr>
        <w:t>, 2014)</w:t>
      </w:r>
      <w:r w:rsidR="00C82919">
        <w:fldChar w:fldCharType="end"/>
      </w:r>
      <w:r>
        <w:t>. Other students are urged to maintain good hygiene practices, report symptoms promptly, and cooperate with preventive measures implemented by schools and healthcare professionals.</w:t>
      </w:r>
    </w:p>
    <w:p w14:paraId="3E935117" w14:textId="0EAC16FB" w:rsidR="007916F2" w:rsidRDefault="00702790" w:rsidP="00702790">
      <w:pPr>
        <w:spacing w:line="480" w:lineRule="auto"/>
        <w:jc w:val="both"/>
      </w:pPr>
      <w:r>
        <w:t>To comprehensively address the outbreak in Smithtown, the public health team must conduct thorough case investigation, contact tracing, and vaccination clinics.</w:t>
      </w:r>
      <w:r w:rsidR="00DB0210">
        <w:t xml:space="preserve"> As argued by </w:t>
      </w:r>
      <w:r w:rsidR="00DB0210">
        <w:fldChar w:fldCharType="begin"/>
      </w:r>
      <w:r w:rsidR="00DB0210">
        <w:instrText xml:space="preserve"> ADDIN ZOTERO_ITEM CSL_CITATION {"citationID":"mjTAkDBa","properties":{"formattedCitation":"(Liu, Lu and Luor, 2019)","plainCitation":"(Liu, Lu and Luor, 2019)","noteIndex":0},"citationItems":[{"id":241,"uris":["http://zotero.org/users/local/90rMeuHC/items/JNKX4TE7"],"itemData":{"id":241,"type":"article-journal","abstract":"At the end of March 2018, a clustered outbreak of measles associated with health care workers occurred in northern Taiwan. Prior to this study, the policy for measles vaccination for physicians and nurses in MacKay Memorial Hospital, Taiwan was encouragement of vaccination in medical personnel working in the emergency room or other high risk divisions without prior testing for measles antibody, and vaccination coverage was only 85.3%. It was important to urgently formulate a new strategy to achieve zero tolerance for intra-hospital transmission and epidemic prevention. This study aimed to explore the effectiveness of a new strategy for the prevention of an outbreak of measles.","container-title":"BMC Infectious Diseases","DOI":"10.1186/s12879-019-4139-4","ISSN":"1471-2334","issue":"1","journalAbbreviation":"BMC Infectious Diseases","page":"551","source":"BioMed Central","title":"Observational study of a new strategy and management policy for measles prevention in medical personnel in a hospital setting","volume":"19","author":[{"family":"Liu","given":"Chang-Pan"},{"family":"Lu","given":"Hsi-Peng"},{"family":"Luor","given":"Tainyi"}],"issued":{"date-parts":[["2019",6,21]]}}}],"schema":"https://github.com/citation-style-language/schema/raw/master/csl-citation.json"} </w:instrText>
      </w:r>
      <w:r w:rsidR="00DB0210">
        <w:fldChar w:fldCharType="separate"/>
      </w:r>
      <w:r w:rsidR="00DB0210" w:rsidRPr="00DB0210">
        <w:rPr>
          <w:rFonts w:cs="Times New Roman"/>
        </w:rPr>
        <w:t>(Liu, Lu and Luor, 2019)</w:t>
      </w:r>
      <w:r w:rsidR="00DB0210">
        <w:fldChar w:fldCharType="end"/>
      </w:r>
      <w:r>
        <w:t xml:space="preserve"> Schools should enforce exclusion measures for confirmed and suspected cases, promote strict hygiene, and communicate transparently with parents. Parents play a crucial role in keeping symptomatic children at home, seeking medical attention promptly, ensuring vaccination, and openly communicating with relevant authorities</w:t>
      </w:r>
      <w:r w:rsidR="00DB0210">
        <w:t xml:space="preserve"> </w:t>
      </w:r>
      <w:r w:rsidR="00DB0210">
        <w:fldChar w:fldCharType="begin"/>
      </w:r>
      <w:r w:rsidR="00DB0210">
        <w:instrText xml:space="preserve"> ADDIN ZOTERO_ITEM CSL_CITATION {"citationID":"s6sqmKkt","properties":{"formattedCitation":"(Bianchi {\\i{}et al.}, 2020)","plainCitation":"(Bianchi et al., 2020)","noteIndex":0},"citationItems":[{"id":246,"uris":["http://zotero.org/users/local/90rMeuHC/items/UW2Q5ITS"],"itemData":{"id":246,"type":"article-journal","abstract":"The national and international guidelines recommend evaluating all healthcare workers (HCWs) for their measles immune status and possibly vaccinating those who are seronegative. We conducted a systematic review and meta-analysis in order to estimate the rate of measles susceptibility among HCWs in Italy and to explore possible options for the management of those found to be susceptible. Twenty-three studies were included in the meta-analysis. The prevalence of HCWs susceptible to measles was 11.5% (95%CI = 8.1–15.4%) and was higher in studies in which prevalence was evaluated by survey (16.7%; 95%CI = 8.9–26.3) than by the direct evaluation of blood specimens (9.1%; 95%CI = 6.2–12.5%). Occupational medicine examinations for measles screening with possible subsequent vaccination of seronegatives and the exclusion of susceptible HCWs from high-risk settings were common management strategies. HCWs susceptible to measles are an important epidemiological concern in Italy, and efforts to identify and actively offer the vaccine to this population should be increased.","container-title":"Expert Review of Vaccines","DOI":"10.1080/14760584.2020.1791091","ISSN":"1476-0584","issue":"7","note":"publisher: Taylor &amp; Francis\n_eprint: https://doi.org/10.1080/14760584.2020.1791091\nPMID: 32608272","page":"611-620","source":"Taylor and Francis+NEJM","title":"Prevalence and management of measles susceptibility in healthcare workers in Italy: a systematic review and meta-analysis","title-short":"Prevalence and management of measles susceptibility in healthcare workers in Italy","volume":"19","author":[{"family":"Bianchi","given":"Francesco Paolo"},{"family":"Mascipinto","given":"Simona"},{"family":"Stefanizzi","given":"Pasquale"},{"family":"Nitto","given":"Sara","non-dropping-particle":"de"},{"family":"Germinario","given":"Cinzia Annatea"},{"family":"Lopalco","given":"Pierluigi"},{"family":"Tafuri","given":"Silvio"}],"issued":{"date-parts":[["2020",7,2]]}}}],"schema":"https://github.com/citation-style-language/schema/raw/master/csl-citation.json"} </w:instrText>
      </w:r>
      <w:r w:rsidR="00DB0210">
        <w:fldChar w:fldCharType="separate"/>
      </w:r>
      <w:r w:rsidR="00DB0210" w:rsidRPr="00DB0210">
        <w:rPr>
          <w:rFonts w:cs="Times New Roman"/>
          <w:kern w:val="0"/>
        </w:rPr>
        <w:t xml:space="preserve">(Bianchi </w:t>
      </w:r>
      <w:r w:rsidR="00DB0210" w:rsidRPr="00DB0210">
        <w:rPr>
          <w:rFonts w:cs="Times New Roman"/>
          <w:i/>
          <w:iCs/>
          <w:kern w:val="0"/>
        </w:rPr>
        <w:t>et al.</w:t>
      </w:r>
      <w:r w:rsidR="00DB0210" w:rsidRPr="00DB0210">
        <w:rPr>
          <w:rFonts w:cs="Times New Roman"/>
          <w:kern w:val="0"/>
        </w:rPr>
        <w:t>, 2020)</w:t>
      </w:r>
      <w:r w:rsidR="00DB0210">
        <w:fldChar w:fldCharType="end"/>
      </w:r>
      <w:r>
        <w:t>. It is imperative to underscore the importance of early identification, vaccination, effective communication, and collaborative efforts among all stakeholders to control the outbreak</w:t>
      </w:r>
      <w:r w:rsidR="00DB0210">
        <w:t xml:space="preserve"> </w:t>
      </w:r>
      <w:r w:rsidR="00DB0210">
        <w:fldChar w:fldCharType="begin"/>
      </w:r>
      <w:r w:rsidR="00DB0210">
        <w:instrText xml:space="preserve"> ADDIN ZOTERO_ITEM CSL_CITATION {"citationID":"kNABTCRX","properties":{"formattedCitation":"(Gasta\\uc0\\u241{}aduy {\\i{}et al.}, 2018)","plainCitation":"(Gastañaduy et al., 2018)","noteIndex":0},"citationItems":[{"id":232,"uris":["http://zotero.org/users/local/90rMeuHC/items/XKFKV9NT"],"itemData":{"id":232,"type":"article-journal","abstract":"In late September 2016, the Americas became the first region in the world to have eliminated endemic transmission of measles virus. Several other countries have also verified measles elimination, and countries in all six World Health Organization regions have adopted measles elimination goals. The public health strategies used to respond to measles outbreaks in elimination settings are thus becoming relevant to more countries. This review highlights the strategies used to limit measles spread in elimination settings: (1) assembly of an outbreak control committee; (2) isolation of measles cases while infectious; (3) exclusion and quarantining of individuals without evidence of immunity; (4) vaccination of susceptible individuals; (5) use of immunoglobulin to prevent measles in exposed susceptible high-risk persons; (6) and maintaining laboratory proficiency for confirmation of measles. Deciding on the extent of containment efforts should be based on the expected benefit of reactive interventions, balanced against the logistical challenges in implementing them.","container-title":"Human Vaccines &amp; Immunotherapeutics","DOI":"10.1080/21645515.2018.1474310","ISSN":"2164-5515","issue":"9","note":"publisher: Taylor &amp; Francis\n_eprint: https://doi.org/10.1080/21645515.2018.1474310\nPMID: 29932850","page":"2222-2238","source":"Taylor and Francis+NEJM","title":"Public health responses during measles outbreaks in elimination settings: Strategies and challenges","title-short":"Public health responses during measles outbreaks in elimination settings","volume":"14","author":[{"family":"Gastañaduy","given":"Paul A."},{"family":"Banerjee","given":"Emily"},{"family":"DeBolt","given":"Chas"},{"family":"Bravo-Alcántara","given":"Pamela"},{"family":"Samad","given":"Samia A."},{"family":"Pastor","given":"Desiree"},{"family":"Rota","given":"Paul A."},{"family":"Patel","given":"Manisha"},{"family":"Crowcroft","given":"Natasha S."},{"family":"Durrheim","given":"David N."}],"issued":{"date-parts":[["2018",9,2]]}}}],"schema":"https://github.com/citation-style-language/schema/raw/master/csl-citation.json"} </w:instrText>
      </w:r>
      <w:r w:rsidR="00DB0210">
        <w:fldChar w:fldCharType="separate"/>
      </w:r>
      <w:r w:rsidR="00DB0210" w:rsidRPr="00DB0210">
        <w:rPr>
          <w:rFonts w:cs="Times New Roman"/>
          <w:kern w:val="0"/>
        </w:rPr>
        <w:t xml:space="preserve">(Gastañaduy </w:t>
      </w:r>
      <w:r w:rsidR="00DB0210" w:rsidRPr="00DB0210">
        <w:rPr>
          <w:rFonts w:cs="Times New Roman"/>
          <w:i/>
          <w:iCs/>
          <w:kern w:val="0"/>
        </w:rPr>
        <w:t>et al.</w:t>
      </w:r>
      <w:r w:rsidR="00DB0210" w:rsidRPr="00DB0210">
        <w:rPr>
          <w:rFonts w:cs="Times New Roman"/>
          <w:kern w:val="0"/>
        </w:rPr>
        <w:t>, 2018)</w:t>
      </w:r>
      <w:r w:rsidR="00DB0210">
        <w:fldChar w:fldCharType="end"/>
      </w:r>
      <w:r>
        <w:t>. Addressing vaccine hesitancy, providing psychological support, offering financial assistance, and maintaining long-term follow-up are additional considerations for a holistic and sustainable response</w:t>
      </w:r>
      <w:r w:rsidR="00DB0210">
        <w:t xml:space="preserve"> </w:t>
      </w:r>
      <w:r w:rsidR="00DB0210">
        <w:fldChar w:fldCharType="begin"/>
      </w:r>
      <w:r w:rsidR="00DB0210">
        <w:instrText xml:space="preserve"> ADDIN ZOTERO_ITEM CSL_CITATION {"citationID":"CxQpBxDL","properties":{"formattedCitation":"(Jamison {\\i{}et al.}, 2021)","plainCitation":"(Jamison et al., 2021)","noteIndex":0},"citationItems":[{"id":237,"uris":["http://zotero.org/users/local/90rMeuHC/items/UC4MWJZM"],"itemData":{"id":237,"type":"webpage","title":"Societal Costs of a Measles Outbreak | Pediatrics | American Academy of Pediatrics","URL":"https://publications.aap.org/pediatrics/article/147/4/e2020027037/180774/Societal-Costs-of-a-Measles-Outbreak?autologincheck=redirected","author":[{"family":"Jamison","given":"Pike"},{"family":"Alan","given":"Melnick"},{"family":"Paul","given":"Gastanaduy"},{"family":"Meagan","given":"Kay"},{"family":"Jeff","given":"Harbison"},{"family":"Andrew","given":"Leidner"},{"family":"Samantha","given":"Rice"},{"family":"Kennly","given":"Asato"},{"family":"Linda","given":"Schwartz"},{"family":"Chas","given":"DeBolt"}],"accessed":{"date-parts":[["2024",2,23]]},"issued":{"date-parts":[["2021",4]]}}}],"schema":"https://github.com/citation-style-language/schema/raw/master/csl-citation.json"} </w:instrText>
      </w:r>
      <w:r w:rsidR="00DB0210">
        <w:fldChar w:fldCharType="separate"/>
      </w:r>
      <w:r w:rsidR="00DB0210" w:rsidRPr="00DB0210">
        <w:rPr>
          <w:rFonts w:cs="Times New Roman"/>
          <w:kern w:val="0"/>
        </w:rPr>
        <w:t xml:space="preserve">(Jamison </w:t>
      </w:r>
      <w:r w:rsidR="00DB0210" w:rsidRPr="00DB0210">
        <w:rPr>
          <w:rFonts w:cs="Times New Roman"/>
          <w:i/>
          <w:iCs/>
          <w:kern w:val="0"/>
        </w:rPr>
        <w:t>et al.</w:t>
      </w:r>
      <w:r w:rsidR="00DB0210" w:rsidRPr="00DB0210">
        <w:rPr>
          <w:rFonts w:cs="Times New Roman"/>
          <w:kern w:val="0"/>
        </w:rPr>
        <w:t>, 2021)</w:t>
      </w:r>
      <w:r w:rsidR="00DB0210">
        <w:fldChar w:fldCharType="end"/>
      </w:r>
      <w:r w:rsidR="00DB0210">
        <w:t>.</w:t>
      </w:r>
    </w:p>
    <w:p w14:paraId="43F42BF4" w14:textId="77777777" w:rsidR="0062505D" w:rsidRDefault="0062505D" w:rsidP="00702790">
      <w:pPr>
        <w:spacing w:line="480" w:lineRule="auto"/>
        <w:jc w:val="both"/>
      </w:pPr>
    </w:p>
    <w:p w14:paraId="07574D6F" w14:textId="77777777" w:rsidR="0062505D" w:rsidRDefault="0062505D" w:rsidP="00702790">
      <w:pPr>
        <w:spacing w:line="480" w:lineRule="auto"/>
        <w:jc w:val="both"/>
      </w:pPr>
    </w:p>
    <w:p w14:paraId="7A7F7883" w14:textId="77777777" w:rsidR="0062505D" w:rsidRDefault="0062505D" w:rsidP="00702790">
      <w:pPr>
        <w:spacing w:line="480" w:lineRule="auto"/>
        <w:jc w:val="both"/>
      </w:pPr>
    </w:p>
    <w:p w14:paraId="54CA5EA1" w14:textId="77777777" w:rsidR="006456B5" w:rsidRDefault="00557720" w:rsidP="006456B5">
      <w:pPr>
        <w:pStyle w:val="Heading2"/>
      </w:pPr>
      <w:r>
        <w:lastRenderedPageBreak/>
        <w:t xml:space="preserve">Q5: </w:t>
      </w:r>
      <w:r w:rsidR="006456B5"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3CD7E268" w14:textId="6ED2AED7" w:rsidR="0062505D" w:rsidRPr="0062505D" w:rsidRDefault="0062505D"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spacing w:line="480" w:lineRule="auto"/>
        <w:jc w:val="both"/>
        <w:rPr>
          <w:lang w:val="en-US"/>
        </w:rPr>
      </w:pPr>
      <w:r w:rsidRPr="0062505D">
        <w:rPr>
          <w:lang w:val="en-US"/>
        </w:rPr>
        <w:t>Dear Parents and Guardians,</w:t>
      </w:r>
    </w:p>
    <w:p w14:paraId="1F399070" w14:textId="77777777" w:rsidR="0062505D" w:rsidRPr="0062505D" w:rsidRDefault="0062505D" w:rsidP="0062505D">
      <w:pPr>
        <w:spacing w:line="480" w:lineRule="auto"/>
        <w:jc w:val="both"/>
        <w:rPr>
          <w:lang w:val="en-US"/>
        </w:rPr>
      </w:pPr>
      <w:r w:rsidRPr="0062505D">
        <w:rPr>
          <w:lang w:val="en-US"/>
        </w:rPr>
        <w:t>I hope this letter finds you in good health. I am writing to address concerns that have been raised regarding recent developments concerning measles at our school. We understand the importance of your child's well-being, and we want to assure you that we are taking all necessary steps to address the situation effectively.</w:t>
      </w:r>
    </w:p>
    <w:p w14:paraId="7E66D407" w14:textId="77777777" w:rsidR="0062505D" w:rsidRPr="0062505D" w:rsidRDefault="0062505D" w:rsidP="0062505D">
      <w:pPr>
        <w:spacing w:line="480" w:lineRule="auto"/>
        <w:jc w:val="both"/>
        <w:rPr>
          <w:lang w:val="en-US"/>
        </w:rPr>
      </w:pPr>
      <w:r w:rsidRPr="0062505D">
        <w:rPr>
          <w:lang w:val="en-US"/>
        </w:rPr>
        <w:t>Measles is indeed a contagious viral infection, and occasional outbreaks occur globally, including in the United Kingdom. Despite our collective efforts to maintain high vaccination coverage, challenges in preventing occasional outbreaks persist. We have been made aware of a recent measles outbreak in our community, and we are working closely with health authorities to manage the situation.</w:t>
      </w:r>
    </w:p>
    <w:p w14:paraId="49E10B5A" w14:textId="77777777" w:rsidR="0062505D" w:rsidRPr="0062505D" w:rsidRDefault="0062505D" w:rsidP="0062505D">
      <w:pPr>
        <w:spacing w:line="480" w:lineRule="auto"/>
        <w:jc w:val="both"/>
        <w:rPr>
          <w:lang w:val="en-US"/>
        </w:rPr>
      </w:pPr>
      <w:r w:rsidRPr="0062505D">
        <w:rPr>
          <w:lang w:val="en-US"/>
        </w:rPr>
        <w:t>It's important to recognize the clinical features of measles, including fever, a characteristic rash, conjunctivitis, cough, and coryza. While the symptoms can be severe, especially in unvaccinated individuals, it's equally important to remain calm. Factors such as age, vaccination status, and exposure risk play a role in the likelihood of infection.</w:t>
      </w:r>
    </w:p>
    <w:p w14:paraId="597D4A72" w14:textId="77777777" w:rsidR="0062505D" w:rsidRPr="0062505D" w:rsidRDefault="0062505D" w:rsidP="0062505D">
      <w:pPr>
        <w:spacing w:line="480" w:lineRule="auto"/>
        <w:jc w:val="both"/>
        <w:rPr>
          <w:lang w:val="en-US"/>
        </w:rPr>
      </w:pPr>
      <w:r w:rsidRPr="0062505D">
        <w:rPr>
          <w:lang w:val="en-US"/>
        </w:rPr>
        <w:lastRenderedPageBreak/>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Vaccination:</w:t>
      </w:r>
      <w:r w:rsidRPr="0062505D">
        <w:rPr>
          <w:lang w:val="en-US"/>
        </w:rPr>
        <w:t xml:space="preserve"> Ensure your child's vaccinations are </w:t>
      </w:r>
      <w:r w:rsidRPr="0062505D">
        <w:rPr>
          <w:lang w:val="en-US"/>
        </w:rPr>
        <w:t>up to date</w:t>
      </w:r>
      <w:r w:rsidRPr="0062505D">
        <w:rPr>
          <w:lang w:val="en-US"/>
        </w:rPr>
        <w:t>.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spacing w:line="480" w:lineRule="auto"/>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spacing w:line="480" w:lineRule="auto"/>
        <w:jc w:val="both"/>
        <w:rPr>
          <w:lang w:val="en-US"/>
        </w:rPr>
      </w:pPr>
      <w:r w:rsidRPr="0062505D">
        <w:rPr>
          <w:lang w:val="en-US"/>
        </w:rPr>
        <w:t>In response to recent queries, here is an update on the situation:</w:t>
      </w:r>
    </w:p>
    <w:p w14:paraId="2F0D8007" w14:textId="77777777" w:rsidR="0062505D" w:rsidRPr="0062505D" w:rsidRDefault="0062505D" w:rsidP="0062505D">
      <w:pPr>
        <w:spacing w:line="480" w:lineRule="auto"/>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77777777" w:rsidR="0062505D" w:rsidRPr="0062505D" w:rsidRDefault="0062505D" w:rsidP="0062505D">
      <w:pPr>
        <w:spacing w:line="480" w:lineRule="auto"/>
        <w:jc w:val="both"/>
        <w:rPr>
          <w:lang w:val="en-US"/>
        </w:rPr>
      </w:pPr>
      <w:r w:rsidRPr="0062505D">
        <w:rPr>
          <w:b/>
          <w:bCs/>
          <w:lang w:val="en-US"/>
        </w:rPr>
        <w:t>Important Facts:</w:t>
      </w:r>
      <w:r w:rsidRPr="0062505D">
        <w:rPr>
          <w:lang w:val="en-US"/>
        </w:rPr>
        <w:t xml:space="preserve"> Measles is a highly contagious disease, but it is preventable. Most children in the UK are vaccinated against measles, and this vaccine is very effective in preventing serious illness. The risk of transmission to other students and staff is low, and public health officials are taking swift action to identify and manage potential exposures.</w:t>
      </w:r>
    </w:p>
    <w:p w14:paraId="64AB3A35" w14:textId="77777777" w:rsidR="0062505D" w:rsidRPr="0062505D" w:rsidRDefault="0062505D" w:rsidP="0062505D">
      <w:pPr>
        <w:spacing w:line="480" w:lineRule="auto"/>
        <w:jc w:val="both"/>
        <w:rPr>
          <w:lang w:val="en-US"/>
        </w:rPr>
      </w:pPr>
      <w:r w:rsidRPr="0062505D">
        <w:rPr>
          <w:b/>
          <w:bCs/>
          <w:lang w:val="en-US"/>
        </w:rPr>
        <w:lastRenderedPageBreak/>
        <w:t>What You Can Do:</w:t>
      </w:r>
    </w:p>
    <w:p w14:paraId="17E4F61F" w14:textId="77777777" w:rsidR="0062505D" w:rsidRPr="0062505D" w:rsidRDefault="0062505D" w:rsidP="0062505D">
      <w:pPr>
        <w:numPr>
          <w:ilvl w:val="0"/>
          <w:numId w:val="1"/>
        </w:numPr>
        <w:spacing w:line="480" w:lineRule="auto"/>
        <w:jc w:val="both"/>
        <w:rPr>
          <w:lang w:val="en-US"/>
        </w:rPr>
      </w:pPr>
      <w:r w:rsidRPr="0062505D">
        <w:rPr>
          <w:lang w:val="en-US"/>
        </w:rPr>
        <w:t>Stay calm and informed. We will continue to update you with the latest information through our school website and emails.</w:t>
      </w:r>
    </w:p>
    <w:p w14:paraId="45C2C832" w14:textId="77777777" w:rsidR="0062505D" w:rsidRPr="0062505D" w:rsidRDefault="0062505D" w:rsidP="0062505D">
      <w:pPr>
        <w:numPr>
          <w:ilvl w:val="0"/>
          <w:numId w:val="1"/>
        </w:numPr>
        <w:spacing w:line="480" w:lineRule="auto"/>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spacing w:line="480" w:lineRule="auto"/>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spacing w:line="480" w:lineRule="auto"/>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77777777" w:rsidR="0062505D" w:rsidRPr="0062505D" w:rsidRDefault="0062505D" w:rsidP="0062505D">
      <w:pPr>
        <w:spacing w:line="480" w:lineRule="auto"/>
        <w:jc w:val="both"/>
        <w:rPr>
          <w:lang w:val="en-US"/>
        </w:rPr>
      </w:pPr>
      <w:r w:rsidRPr="0062505D">
        <w:rPr>
          <w:lang w:val="en-US"/>
        </w:rPr>
        <w:t>Together, we can prevent the spread of measles and keep our school community healthy. Please do not hesitate to contact the school or Public Health England if you have any questions or concerns.</w:t>
      </w:r>
    </w:p>
    <w:p w14:paraId="62558EF9" w14:textId="77777777" w:rsidR="0062505D" w:rsidRPr="0062505D" w:rsidRDefault="0062505D" w:rsidP="0062505D">
      <w:pPr>
        <w:spacing w:line="480" w:lineRule="auto"/>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spacing w:line="480" w:lineRule="auto"/>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345A0E14" w:rsidR="006456B5" w:rsidRDefault="006456B5" w:rsidP="006456B5">
      <w:pPr>
        <w:spacing w:line="276" w:lineRule="auto"/>
        <w:jc w:val="both"/>
        <w:rPr>
          <w:lang w:val="en-US"/>
        </w:rPr>
      </w:pPr>
      <w:r>
        <w:rPr>
          <w:lang w:val="en-US"/>
        </w:rPr>
        <w:t>Smithtown, UK</w:t>
      </w:r>
    </w:p>
    <w:p w14:paraId="4CD2D6E3" w14:textId="77777777" w:rsidR="0062505D" w:rsidRPr="007916F2" w:rsidRDefault="0062505D" w:rsidP="00702790">
      <w:pPr>
        <w:spacing w:line="480" w:lineRule="auto"/>
        <w:jc w:val="both"/>
      </w:pPr>
    </w:p>
    <w:p w14:paraId="35338F06" w14:textId="77777777" w:rsidR="00B51920" w:rsidRPr="00B51920" w:rsidRDefault="00B51920" w:rsidP="00B51920"/>
    <w:p w14:paraId="1B302A2B" w14:textId="77777777" w:rsidR="006F6F4C" w:rsidRPr="006F6F4C" w:rsidRDefault="006F6F4C" w:rsidP="006F6F4C"/>
    <w:p w14:paraId="7E7591E1" w14:textId="5FFCF7D8" w:rsidR="00924678" w:rsidRDefault="007537DC">
      <w:r>
        <w:br w:type="page"/>
      </w:r>
    </w:p>
    <w:p w14:paraId="1A22F8E0" w14:textId="591264DC" w:rsidR="004E26CE" w:rsidRDefault="00924678" w:rsidP="00924678">
      <w:pPr>
        <w:spacing w:line="480" w:lineRule="auto"/>
        <w:jc w:val="center"/>
        <w:rPr>
          <w:b/>
          <w:bCs/>
        </w:rPr>
      </w:pPr>
      <w:r w:rsidRPr="00924678">
        <w:rPr>
          <w:b/>
          <w:bCs/>
        </w:rPr>
        <w:lastRenderedPageBreak/>
        <w:t>REFERENCES</w:t>
      </w:r>
    </w:p>
    <w:p w14:paraId="32537E22" w14:textId="77777777" w:rsidR="00DB0210" w:rsidRPr="00DB0210" w:rsidRDefault="00924678" w:rsidP="00DB0210">
      <w:pPr>
        <w:pStyle w:val="Bibliography"/>
        <w:rPr>
          <w:rFonts w:cs="Times New Roman"/>
        </w:rPr>
      </w:pPr>
      <w:r>
        <w:rPr>
          <w:b/>
          <w:bCs/>
        </w:rPr>
        <w:fldChar w:fldCharType="begin"/>
      </w:r>
      <w:r w:rsidR="0030438D">
        <w:rPr>
          <w:b/>
          <w:bCs/>
        </w:rPr>
        <w:instrText xml:space="preserve"> ADDIN ZOTERO_BIBL {"uncited":[],"omitted":[],"custom":[]} CSL_BIBLIOGRAPHY </w:instrText>
      </w:r>
      <w:r>
        <w:rPr>
          <w:b/>
          <w:bCs/>
        </w:rPr>
        <w:fldChar w:fldCharType="separate"/>
      </w:r>
      <w:r w:rsidR="00DB0210" w:rsidRPr="00DB0210">
        <w:rPr>
          <w:rFonts w:cs="Times New Roman"/>
        </w:rPr>
        <w:t xml:space="preserve">Abdullah, A. </w:t>
      </w:r>
      <w:r w:rsidR="00DB0210" w:rsidRPr="00DB0210">
        <w:rPr>
          <w:rFonts w:cs="Times New Roman"/>
          <w:i/>
          <w:iCs/>
        </w:rPr>
        <w:t>et al.</w:t>
      </w:r>
      <w:r w:rsidR="00DB0210" w:rsidRPr="00DB0210">
        <w:rPr>
          <w:rFonts w:cs="Times New Roman"/>
        </w:rPr>
        <w:t xml:space="preserve"> (2022) </w:t>
      </w:r>
      <w:r w:rsidR="00DB0210" w:rsidRPr="00DB0210">
        <w:rPr>
          <w:rFonts w:cs="Times New Roman"/>
          <w:i/>
          <w:iCs/>
        </w:rPr>
        <w:t>IJERPH | Free Full-Text | Early Impacts of the COVID-19 Pandemic on the United States Construction Industry</w:t>
      </w:r>
      <w:r w:rsidR="00DB0210" w:rsidRPr="00DB0210">
        <w:rPr>
          <w:rFonts w:cs="Times New Roman"/>
        </w:rPr>
        <w:t>. Available at: https://www.mdpi.com/1660-4601/18/4/1559 (Accessed: 23 February 2024).</w:t>
      </w:r>
    </w:p>
    <w:p w14:paraId="481ABD36" w14:textId="77777777" w:rsidR="00DB0210" w:rsidRPr="00DB0210" w:rsidRDefault="00DB0210" w:rsidP="00DB0210">
      <w:pPr>
        <w:pStyle w:val="Bibliography"/>
        <w:rPr>
          <w:rFonts w:cs="Times New Roman"/>
        </w:rPr>
      </w:pPr>
      <w:r w:rsidRPr="00DB0210">
        <w:rPr>
          <w:rFonts w:cs="Times New Roman"/>
        </w:rPr>
        <w:t xml:space="preserve">Adeyanju, O., Tubeuf, S. and Ensor, T. (2017) ‘Socio-economic inequalities in access to maternal and child healthcare in Nigeria: changes over time and decomposition analysis’, </w:t>
      </w:r>
      <w:r w:rsidRPr="00DB0210">
        <w:rPr>
          <w:rFonts w:cs="Times New Roman"/>
          <w:i/>
          <w:iCs/>
        </w:rPr>
        <w:t xml:space="preserve">Health </w:t>
      </w:r>
      <w:proofErr w:type="gramStart"/>
      <w:r w:rsidRPr="00DB0210">
        <w:rPr>
          <w:rFonts w:cs="Times New Roman"/>
          <w:i/>
          <w:iCs/>
        </w:rPr>
        <w:t>Policy</w:t>
      </w:r>
      <w:proofErr w:type="gramEnd"/>
      <w:r w:rsidRPr="00DB0210">
        <w:rPr>
          <w:rFonts w:cs="Times New Roman"/>
          <w:i/>
          <w:iCs/>
        </w:rPr>
        <w:t xml:space="preserve"> and Planning</w:t>
      </w:r>
      <w:r w:rsidRPr="00DB0210">
        <w:rPr>
          <w:rFonts w:cs="Times New Roman"/>
        </w:rPr>
        <w:t>, 32(8), pp. 1111–1118. Available at: https://doi.org/10.1093/heapol/czx049.</w:t>
      </w:r>
    </w:p>
    <w:p w14:paraId="44D998CF" w14:textId="77777777" w:rsidR="00DB0210" w:rsidRPr="00DB0210" w:rsidRDefault="00DB0210" w:rsidP="00DB0210">
      <w:pPr>
        <w:pStyle w:val="Bibliography"/>
        <w:rPr>
          <w:rFonts w:cs="Times New Roman"/>
        </w:rPr>
      </w:pPr>
      <w:r w:rsidRPr="00DB0210">
        <w:rPr>
          <w:rFonts w:cs="Times New Roman"/>
        </w:rPr>
        <w:t xml:space="preserve">Alves Graber, E.M. </w:t>
      </w:r>
      <w:r w:rsidRPr="00DB0210">
        <w:rPr>
          <w:rFonts w:cs="Times New Roman"/>
          <w:i/>
          <w:iCs/>
        </w:rPr>
        <w:t>et al.</w:t>
      </w:r>
      <w:r w:rsidRPr="00DB0210">
        <w:rPr>
          <w:rFonts w:cs="Times New Roman"/>
        </w:rPr>
        <w:t xml:space="preserve"> (2020) ‘An Update and Review of Measles for Emergency Physicians’, </w:t>
      </w:r>
      <w:r w:rsidRPr="00DB0210">
        <w:rPr>
          <w:rFonts w:cs="Times New Roman"/>
          <w:i/>
          <w:iCs/>
        </w:rPr>
        <w:t>The Journal of Emergency Medicine</w:t>
      </w:r>
      <w:r w:rsidRPr="00DB0210">
        <w:rPr>
          <w:rFonts w:cs="Times New Roman"/>
        </w:rPr>
        <w:t>, 58(4), pp. 610–615. Available at: https://doi.org/10.1016/j.jemermed.2020.02.007.</w:t>
      </w:r>
    </w:p>
    <w:p w14:paraId="6AC80F05" w14:textId="77777777" w:rsidR="00DB0210" w:rsidRPr="00DB0210" w:rsidRDefault="00DB0210" w:rsidP="00DB0210">
      <w:pPr>
        <w:pStyle w:val="Bibliography"/>
        <w:rPr>
          <w:rFonts w:cs="Times New Roman"/>
        </w:rPr>
      </w:pPr>
      <w:r w:rsidRPr="00DB0210">
        <w:rPr>
          <w:rFonts w:cs="Times New Roman"/>
        </w:rPr>
        <w:t xml:space="preserve">Amanda, S. (2018) </w:t>
      </w:r>
      <w:r w:rsidRPr="00DB0210">
        <w:rPr>
          <w:rFonts w:cs="Times New Roman"/>
          <w:i/>
          <w:iCs/>
        </w:rPr>
        <w:t>Measles vaccinations rate at lowest point since 2008, study finds | CNN</w:t>
      </w:r>
      <w:r w:rsidRPr="00DB0210">
        <w:rPr>
          <w:rFonts w:cs="Times New Roman"/>
        </w:rPr>
        <w:t>. Available at: https://edition.cnn.com/2022/11/23/health/measles-vaccination-rates-lowest-since-2008/index.html (Accessed: 23 February 2024).</w:t>
      </w:r>
    </w:p>
    <w:p w14:paraId="17F51A25" w14:textId="77777777" w:rsidR="00DB0210" w:rsidRPr="00DB0210" w:rsidRDefault="00DB0210" w:rsidP="00DB0210">
      <w:pPr>
        <w:pStyle w:val="Bibliography"/>
        <w:rPr>
          <w:rFonts w:cs="Times New Roman"/>
        </w:rPr>
      </w:pPr>
      <w:r w:rsidRPr="00DB0210">
        <w:rPr>
          <w:rFonts w:cs="Times New Roman"/>
        </w:rPr>
        <w:t xml:space="preserve">Aworabhi-Oki, N. </w:t>
      </w:r>
      <w:r w:rsidRPr="00DB0210">
        <w:rPr>
          <w:rFonts w:cs="Times New Roman"/>
          <w:i/>
          <w:iCs/>
        </w:rPr>
        <w:t>et al.</w:t>
      </w:r>
      <w:r w:rsidRPr="00DB0210">
        <w:rPr>
          <w:rFonts w:cs="Times New Roman"/>
        </w:rPr>
        <w:t xml:space="preserve"> (2020) ‘Trends in measles cases in Bayelsa state, Nigeria: a five-year review of case-based surveillance data (2014–2018)’, </w:t>
      </w:r>
      <w:r w:rsidRPr="00DB0210">
        <w:rPr>
          <w:rFonts w:cs="Times New Roman"/>
          <w:i/>
          <w:iCs/>
        </w:rPr>
        <w:t>BMC Public Health</w:t>
      </w:r>
      <w:r w:rsidRPr="00DB0210">
        <w:rPr>
          <w:rFonts w:cs="Times New Roman"/>
        </w:rPr>
        <w:t>, 20(1), p. 938. Available at: https://doi.org/10.1186/s12889-020-09070-0.</w:t>
      </w:r>
    </w:p>
    <w:p w14:paraId="30F8C380" w14:textId="77777777" w:rsidR="00DB0210" w:rsidRPr="00DB0210" w:rsidRDefault="00DB0210" w:rsidP="00DB0210">
      <w:pPr>
        <w:pStyle w:val="Bibliography"/>
        <w:rPr>
          <w:rFonts w:cs="Times New Roman"/>
        </w:rPr>
      </w:pPr>
      <w:r w:rsidRPr="00DB0210">
        <w:rPr>
          <w:rFonts w:cs="Times New Roman"/>
        </w:rPr>
        <w:t xml:space="preserve">Banerjee, E. </w:t>
      </w:r>
      <w:r w:rsidRPr="00DB0210">
        <w:rPr>
          <w:rFonts w:cs="Times New Roman"/>
          <w:i/>
          <w:iCs/>
        </w:rPr>
        <w:t>et al.</w:t>
      </w:r>
      <w:r w:rsidRPr="00DB0210">
        <w:rPr>
          <w:rFonts w:cs="Times New Roman"/>
        </w:rPr>
        <w:t xml:space="preserve"> (2020) </w:t>
      </w:r>
      <w:r w:rsidRPr="00DB0210">
        <w:rPr>
          <w:rFonts w:cs="Times New Roman"/>
          <w:i/>
          <w:iCs/>
        </w:rPr>
        <w:t>Containing a measles outbreak in Minnesota, 2017: methods and challenges - E Banerjee, J Griffith, C Kenyon, B Christianson, A Strain, K Martin, M McMahon, E Bagstad, E Laine, K Hardy, G Grilli, J Walters, D Dunn, M Roddy, K Ehresmann, 2020</w:t>
      </w:r>
      <w:r w:rsidRPr="00DB0210">
        <w:rPr>
          <w:rFonts w:cs="Times New Roman"/>
        </w:rPr>
        <w:t>. Available at: https://journals.sagepub.com/doi/abs/10.1177/1757913919871072 (Accessed: 23 February 2024).</w:t>
      </w:r>
    </w:p>
    <w:p w14:paraId="5270D8F8" w14:textId="77777777" w:rsidR="00DB0210" w:rsidRPr="00DB0210" w:rsidRDefault="00DB0210" w:rsidP="00DB0210">
      <w:pPr>
        <w:pStyle w:val="Bibliography"/>
        <w:rPr>
          <w:rFonts w:cs="Times New Roman"/>
        </w:rPr>
      </w:pPr>
      <w:r w:rsidRPr="00DB0210">
        <w:rPr>
          <w:rFonts w:cs="Times New Roman"/>
        </w:rPr>
        <w:t xml:space="preserve">Bianchi, F.P. </w:t>
      </w:r>
      <w:r w:rsidRPr="00DB0210">
        <w:rPr>
          <w:rFonts w:cs="Times New Roman"/>
          <w:i/>
          <w:iCs/>
        </w:rPr>
        <w:t>et al.</w:t>
      </w:r>
      <w:r w:rsidRPr="00DB0210">
        <w:rPr>
          <w:rFonts w:cs="Times New Roman"/>
        </w:rPr>
        <w:t xml:space="preserve"> (2020) ‘Prevalence and management of measles susceptibility in healthcare workers in Italy: a systematic review and meta-analysis’, </w:t>
      </w:r>
      <w:r w:rsidRPr="00DB0210">
        <w:rPr>
          <w:rFonts w:cs="Times New Roman"/>
          <w:i/>
          <w:iCs/>
        </w:rPr>
        <w:t>Expert Review of Vaccines</w:t>
      </w:r>
      <w:r w:rsidRPr="00DB0210">
        <w:rPr>
          <w:rFonts w:cs="Times New Roman"/>
        </w:rPr>
        <w:t>, 19(7), pp. 611–620. Available at: https://doi.org/10.1080/14760584.2020.1791091.</w:t>
      </w:r>
    </w:p>
    <w:p w14:paraId="4E408945" w14:textId="77777777" w:rsidR="00DB0210" w:rsidRPr="00DB0210" w:rsidRDefault="00DB0210" w:rsidP="00DB0210">
      <w:pPr>
        <w:pStyle w:val="Bibliography"/>
        <w:rPr>
          <w:rFonts w:cs="Times New Roman"/>
        </w:rPr>
      </w:pPr>
      <w:r w:rsidRPr="00DB0210">
        <w:rPr>
          <w:rFonts w:cs="Times New Roman"/>
        </w:rPr>
        <w:t xml:space="preserve">Brigitta, L. </w:t>
      </w:r>
      <w:r w:rsidRPr="00DB0210">
        <w:rPr>
          <w:rFonts w:cs="Times New Roman"/>
          <w:i/>
          <w:iCs/>
        </w:rPr>
        <w:t>et al.</w:t>
      </w:r>
      <w:r w:rsidRPr="00DB0210">
        <w:rPr>
          <w:rFonts w:cs="Times New Roman"/>
        </w:rPr>
        <w:t xml:space="preserve"> (2017) </w:t>
      </w:r>
      <w:r w:rsidRPr="00DB0210">
        <w:rPr>
          <w:rFonts w:cs="Times New Roman"/>
          <w:i/>
          <w:iCs/>
        </w:rPr>
        <w:t>Viruses | Free Full-Text | Measles Virus Host Invasion and Pathogenesis</w:t>
      </w:r>
      <w:r w:rsidRPr="00DB0210">
        <w:rPr>
          <w:rFonts w:cs="Times New Roman"/>
        </w:rPr>
        <w:t>. Available at: https://www.mdpi.com/1999-4915/8/8/210 (Accessed: 23 February 2024).</w:t>
      </w:r>
    </w:p>
    <w:p w14:paraId="1CDEFA7B" w14:textId="77777777" w:rsidR="00DB0210" w:rsidRPr="00DB0210" w:rsidRDefault="00DB0210" w:rsidP="00DB0210">
      <w:pPr>
        <w:pStyle w:val="Bibliography"/>
        <w:rPr>
          <w:rFonts w:cs="Times New Roman"/>
        </w:rPr>
      </w:pPr>
      <w:r w:rsidRPr="00DB0210">
        <w:rPr>
          <w:rFonts w:cs="Times New Roman"/>
        </w:rPr>
        <w:t xml:space="preserve">CDC (2020) </w:t>
      </w:r>
      <w:r w:rsidRPr="00DB0210">
        <w:rPr>
          <w:rFonts w:cs="Times New Roman"/>
          <w:i/>
          <w:iCs/>
        </w:rPr>
        <w:t>Measles is Easily Transmitted</w:t>
      </w:r>
      <w:r w:rsidRPr="00DB0210">
        <w:rPr>
          <w:rFonts w:cs="Times New Roman"/>
        </w:rPr>
        <w:t xml:space="preserve">, </w:t>
      </w:r>
      <w:r w:rsidRPr="00DB0210">
        <w:rPr>
          <w:rFonts w:cs="Times New Roman"/>
          <w:i/>
          <w:iCs/>
        </w:rPr>
        <w:t>Centers for Disease Control and Prevention</w:t>
      </w:r>
      <w:r w:rsidRPr="00DB0210">
        <w:rPr>
          <w:rFonts w:cs="Times New Roman"/>
        </w:rPr>
        <w:t>. Available at: https://www.cdc.gov/measles/transmission.html (Accessed: 23 February 2024).</w:t>
      </w:r>
    </w:p>
    <w:p w14:paraId="313BEF11" w14:textId="77777777" w:rsidR="00DB0210" w:rsidRPr="00DB0210" w:rsidRDefault="00DB0210" w:rsidP="00DB0210">
      <w:pPr>
        <w:pStyle w:val="Bibliography"/>
        <w:rPr>
          <w:rFonts w:cs="Times New Roman"/>
        </w:rPr>
      </w:pPr>
      <w:r w:rsidRPr="00DB0210">
        <w:rPr>
          <w:rFonts w:cs="Times New Roman"/>
        </w:rPr>
        <w:t xml:space="preserve">Daniel, W. </w:t>
      </w:r>
      <w:r w:rsidRPr="00DB0210">
        <w:rPr>
          <w:rFonts w:cs="Times New Roman"/>
          <w:i/>
          <w:iCs/>
        </w:rPr>
        <w:t>et al.</w:t>
      </w:r>
      <w:r w:rsidRPr="00DB0210">
        <w:rPr>
          <w:rFonts w:cs="Times New Roman"/>
        </w:rPr>
        <w:t xml:space="preserve"> (2019) </w:t>
      </w:r>
      <w:r w:rsidRPr="00DB0210">
        <w:rPr>
          <w:rFonts w:cs="Times New Roman"/>
          <w:i/>
          <w:iCs/>
        </w:rPr>
        <w:t>Lessons from a systemwide response to a measles outbreak, Canterbury, February–April 2019 - ProQuest</w:t>
      </w:r>
      <w:r w:rsidRPr="00DB0210">
        <w:rPr>
          <w:rFonts w:cs="Times New Roman"/>
        </w:rPr>
        <w:t>. Available at: https://www.proquest.com/openview/b22841d9cb56823c8a317ad97cb029fe/1?pq-origsite=gscholar&amp;cbl=1056335 (Accessed: 23 February 2024).</w:t>
      </w:r>
    </w:p>
    <w:p w14:paraId="634F235C" w14:textId="77777777" w:rsidR="00DB0210" w:rsidRPr="00DB0210" w:rsidRDefault="00DB0210" w:rsidP="00DB0210">
      <w:pPr>
        <w:pStyle w:val="Bibliography"/>
        <w:rPr>
          <w:rFonts w:cs="Times New Roman"/>
        </w:rPr>
      </w:pPr>
      <w:r w:rsidRPr="00DB0210">
        <w:rPr>
          <w:rFonts w:cs="Times New Roman"/>
        </w:rPr>
        <w:t xml:space="preserve">Faruk, A.S. </w:t>
      </w:r>
      <w:r w:rsidRPr="00DB0210">
        <w:rPr>
          <w:rFonts w:cs="Times New Roman"/>
          <w:i/>
          <w:iCs/>
        </w:rPr>
        <w:t>et al.</w:t>
      </w:r>
      <w:r w:rsidRPr="00DB0210">
        <w:rPr>
          <w:rFonts w:cs="Times New Roman"/>
        </w:rPr>
        <w:t xml:space="preserve"> (2020) ‘Temporal trend of measles cases and impact of vaccination on mortality in Jigawa State, Nigeria, 2013-2017: a secondary data analysis’, </w:t>
      </w:r>
      <w:r w:rsidRPr="00DB0210">
        <w:rPr>
          <w:rFonts w:cs="Times New Roman"/>
          <w:i/>
          <w:iCs/>
        </w:rPr>
        <w:t xml:space="preserve">The Pan African </w:t>
      </w:r>
      <w:r w:rsidRPr="00DB0210">
        <w:rPr>
          <w:rFonts w:cs="Times New Roman"/>
          <w:i/>
          <w:iCs/>
        </w:rPr>
        <w:lastRenderedPageBreak/>
        <w:t>Medical Journal</w:t>
      </w:r>
      <w:r w:rsidRPr="00DB0210">
        <w:rPr>
          <w:rFonts w:cs="Times New Roman"/>
        </w:rPr>
        <w:t>, 35(Suppl 1), p. 13. Available at: https://doi.org/10.11604/pamj.supp.2020.35.1.19780.</w:t>
      </w:r>
    </w:p>
    <w:p w14:paraId="6E0C657F" w14:textId="77777777" w:rsidR="00DB0210" w:rsidRPr="00DB0210" w:rsidRDefault="00DB0210" w:rsidP="00DB0210">
      <w:pPr>
        <w:pStyle w:val="Bibliography"/>
        <w:rPr>
          <w:rFonts w:cs="Times New Roman"/>
        </w:rPr>
      </w:pPr>
      <w:r w:rsidRPr="00DB0210">
        <w:rPr>
          <w:rFonts w:cs="Times New Roman"/>
        </w:rPr>
        <w:t xml:space="preserve">Garba, F.M. </w:t>
      </w:r>
      <w:r w:rsidRPr="00DB0210">
        <w:rPr>
          <w:rFonts w:cs="Times New Roman"/>
          <w:i/>
          <w:iCs/>
        </w:rPr>
        <w:t>et al.</w:t>
      </w:r>
      <w:r w:rsidRPr="00DB0210">
        <w:rPr>
          <w:rFonts w:cs="Times New Roman"/>
        </w:rPr>
        <w:t xml:space="preserve"> (2022) ‘Descriptive Epidemiology of Measles Cases in Zamfara State—Nigeria, 2012-2018’, </w:t>
      </w:r>
      <w:r w:rsidRPr="00DB0210">
        <w:rPr>
          <w:rFonts w:cs="Times New Roman"/>
          <w:i/>
          <w:iCs/>
        </w:rPr>
        <w:t>Journal of Interventional Epidemiology and Public Health</w:t>
      </w:r>
      <w:r w:rsidRPr="00DB0210">
        <w:rPr>
          <w:rFonts w:cs="Times New Roman"/>
        </w:rPr>
        <w:t>, 5(4). Available at: https://doi.org/10.37432/jieph.2022.5.4.69.</w:t>
      </w:r>
    </w:p>
    <w:p w14:paraId="6C9EBA9C" w14:textId="77777777" w:rsidR="00DB0210" w:rsidRPr="00DB0210" w:rsidRDefault="00DB0210" w:rsidP="00DB0210">
      <w:pPr>
        <w:pStyle w:val="Bibliography"/>
        <w:rPr>
          <w:rFonts w:cs="Times New Roman"/>
        </w:rPr>
      </w:pPr>
      <w:r w:rsidRPr="00DB0210">
        <w:rPr>
          <w:rFonts w:cs="Times New Roman"/>
        </w:rPr>
        <w:t xml:space="preserve">Gastañaduy, P.A. </w:t>
      </w:r>
      <w:r w:rsidRPr="00DB0210">
        <w:rPr>
          <w:rFonts w:cs="Times New Roman"/>
          <w:i/>
          <w:iCs/>
        </w:rPr>
        <w:t>et al.</w:t>
      </w:r>
      <w:r w:rsidRPr="00DB0210">
        <w:rPr>
          <w:rFonts w:cs="Times New Roman"/>
        </w:rPr>
        <w:t xml:space="preserve"> (2018) ‘Public health responses during measles outbreaks in elimination settings: Strategies and challenges’, </w:t>
      </w:r>
      <w:r w:rsidRPr="00DB0210">
        <w:rPr>
          <w:rFonts w:cs="Times New Roman"/>
          <w:i/>
          <w:iCs/>
        </w:rPr>
        <w:t>Human Vaccines &amp; Immunotherapeutics</w:t>
      </w:r>
      <w:r w:rsidRPr="00DB0210">
        <w:rPr>
          <w:rFonts w:cs="Times New Roman"/>
        </w:rPr>
        <w:t>, 14(9), pp. 2222–2238. Available at: https://doi.org/10.1080/21645515.2018.1474310.</w:t>
      </w:r>
    </w:p>
    <w:p w14:paraId="2069EE15"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(2019a)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1ADF5567"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(2019b)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04DC059F" w14:textId="77777777" w:rsidR="00DB0210" w:rsidRPr="00DB0210" w:rsidRDefault="00DB0210" w:rsidP="00DB0210">
      <w:pPr>
        <w:pStyle w:val="Bibliography"/>
        <w:rPr>
          <w:rFonts w:cs="Times New Roman"/>
        </w:rPr>
      </w:pPr>
      <w:r w:rsidRPr="00DB0210">
        <w:rPr>
          <w:rFonts w:cs="Times New Roman"/>
        </w:rPr>
        <w:t xml:space="preserve">Jamison, P. </w:t>
      </w:r>
      <w:r w:rsidRPr="00DB0210">
        <w:rPr>
          <w:rFonts w:cs="Times New Roman"/>
          <w:i/>
          <w:iCs/>
        </w:rPr>
        <w:t>et al.</w:t>
      </w:r>
      <w:r w:rsidRPr="00DB0210">
        <w:rPr>
          <w:rFonts w:cs="Times New Roman"/>
        </w:rPr>
        <w:t xml:space="preserve"> (2021) </w:t>
      </w:r>
      <w:r w:rsidRPr="00DB0210">
        <w:rPr>
          <w:rFonts w:cs="Times New Roman"/>
          <w:i/>
          <w:iCs/>
        </w:rPr>
        <w:t xml:space="preserve">Societal Costs of a Measles Outbreak | </w:t>
      </w:r>
      <w:proofErr w:type="spellStart"/>
      <w:r w:rsidRPr="00DB0210">
        <w:rPr>
          <w:rFonts w:cs="Times New Roman"/>
          <w:i/>
          <w:iCs/>
        </w:rPr>
        <w:t>Pediatrics</w:t>
      </w:r>
      <w:proofErr w:type="spellEnd"/>
      <w:r w:rsidRPr="00DB0210">
        <w:rPr>
          <w:rFonts w:cs="Times New Roman"/>
          <w:i/>
          <w:iCs/>
        </w:rPr>
        <w:t xml:space="preserve"> | American Academy of </w:t>
      </w:r>
      <w:proofErr w:type="spellStart"/>
      <w:r w:rsidRPr="00DB0210">
        <w:rPr>
          <w:rFonts w:cs="Times New Roman"/>
          <w:i/>
          <w:iCs/>
        </w:rPr>
        <w:t>Pediatrics</w:t>
      </w:r>
      <w:proofErr w:type="spellEnd"/>
      <w:r w:rsidRPr="00DB0210">
        <w:rPr>
          <w:rFonts w:cs="Times New Roman"/>
        </w:rPr>
        <w:t>. Available at: https://publications.aap.org/pediatrics/article/147/4/e2020027037/180774/Societal-Costs-of-a-Measles-Outbreak?autologincheck=redirected (Accessed: 23 February 2024).</w:t>
      </w:r>
    </w:p>
    <w:p w14:paraId="07D056E4" w14:textId="77777777" w:rsidR="00DB0210" w:rsidRPr="00DB0210" w:rsidRDefault="00DB0210" w:rsidP="00DB0210">
      <w:pPr>
        <w:pStyle w:val="Bibliography"/>
        <w:rPr>
          <w:rFonts w:cs="Times New Roman"/>
        </w:rPr>
      </w:pPr>
      <w:r w:rsidRPr="00DB0210">
        <w:rPr>
          <w:rFonts w:cs="Times New Roman"/>
        </w:rPr>
        <w:t xml:space="preserve">Jean Baptiste, A.E. </w:t>
      </w:r>
      <w:r w:rsidRPr="00DB0210">
        <w:rPr>
          <w:rFonts w:cs="Times New Roman"/>
          <w:i/>
          <w:iCs/>
        </w:rPr>
        <w:t>et al.</w:t>
      </w:r>
      <w:r w:rsidRPr="00DB0210">
        <w:rPr>
          <w:rFonts w:cs="Times New Roman"/>
        </w:rPr>
        <w:t xml:space="preserve"> (2021) ‘Trends in measles incidence and measles vaccination coverage in Nigeria, 2008–2018’, </w:t>
      </w:r>
      <w:r w:rsidRPr="00DB0210">
        <w:rPr>
          <w:rFonts w:cs="Times New Roman"/>
          <w:i/>
          <w:iCs/>
        </w:rPr>
        <w:t>Vaccine</w:t>
      </w:r>
      <w:r w:rsidRPr="00DB0210">
        <w:rPr>
          <w:rFonts w:cs="Times New Roman"/>
        </w:rPr>
        <w:t>, 39, pp. C89–C95. Available at: https://doi.org/10.1016/j.vaccine.2021.03.095.</w:t>
      </w:r>
    </w:p>
    <w:p w14:paraId="5EA23029" w14:textId="77777777" w:rsidR="00DB0210" w:rsidRPr="00DB0210" w:rsidRDefault="00DB0210" w:rsidP="00DB0210">
      <w:pPr>
        <w:pStyle w:val="Bibliography"/>
        <w:rPr>
          <w:rFonts w:cs="Times New Roman"/>
        </w:rPr>
      </w:pPr>
      <w:r w:rsidRPr="00DB0210">
        <w:rPr>
          <w:rFonts w:cs="Times New Roman"/>
        </w:rPr>
        <w:t>Jefferson, Y. (2024) ‘Mouth breathing: Adverse effects on facial growth, health, academics, and behavior’.</w:t>
      </w:r>
    </w:p>
    <w:p w14:paraId="0F1E6BBD" w14:textId="77777777" w:rsidR="00DB0210" w:rsidRPr="00DB0210" w:rsidRDefault="00DB0210" w:rsidP="00DB0210">
      <w:pPr>
        <w:pStyle w:val="Bibliography"/>
        <w:rPr>
          <w:rFonts w:cs="Times New Roman"/>
        </w:rPr>
      </w:pPr>
      <w:r w:rsidRPr="00DB0210">
        <w:rPr>
          <w:rFonts w:cs="Times New Roman"/>
        </w:rPr>
        <w:t xml:space="preserve">John, G. </w:t>
      </w:r>
      <w:r w:rsidRPr="00DB0210">
        <w:rPr>
          <w:rFonts w:cs="Times New Roman"/>
          <w:i/>
          <w:iCs/>
        </w:rPr>
        <w:t>et al.</w:t>
      </w:r>
      <w:r w:rsidRPr="00DB0210">
        <w:rPr>
          <w:rFonts w:cs="Times New Roman"/>
        </w:rPr>
        <w:t xml:space="preserve"> (2016) </w:t>
      </w:r>
      <w:r w:rsidRPr="00DB0210">
        <w:rPr>
          <w:rFonts w:cs="Times New Roman"/>
          <w:i/>
          <w:iCs/>
        </w:rPr>
        <w:t>The effect of heterogeneity in uptake of the measles, mumps, and rubella vaccine on the potential for outbreaks of measles: a modelling study - The Lancet Infectious Diseases</w:t>
      </w:r>
      <w:r w:rsidRPr="00DB0210">
        <w:rPr>
          <w:rFonts w:cs="Times New Roman"/>
        </w:rPr>
        <w:t>. Available at: https://www.thelancet.com/journals/laninf/article/PIIS1473-3099(16)00004-9/abstract (Accessed: 23 February 2024).</w:t>
      </w:r>
    </w:p>
    <w:p w14:paraId="1D17F925" w14:textId="77777777" w:rsidR="00DB0210" w:rsidRPr="00DB0210" w:rsidRDefault="00DB0210" w:rsidP="00DB0210">
      <w:pPr>
        <w:pStyle w:val="Bibliography"/>
        <w:rPr>
          <w:rFonts w:cs="Times New Roman"/>
        </w:rPr>
      </w:pPr>
      <w:r w:rsidRPr="00DB0210">
        <w:rPr>
          <w:rFonts w:cs="Times New Roman"/>
        </w:rPr>
        <w:t xml:space="preserve">Liu, C.-P., Lu, H.-P. and Luor, T. (2019) ‘Observational study of a new strategy and management policy for measles prevention in medical personnel in a hospital setting’, </w:t>
      </w:r>
      <w:r w:rsidRPr="00DB0210">
        <w:rPr>
          <w:rFonts w:cs="Times New Roman"/>
          <w:i/>
          <w:iCs/>
        </w:rPr>
        <w:t>BMC Infectious Diseases</w:t>
      </w:r>
      <w:r w:rsidRPr="00DB0210">
        <w:rPr>
          <w:rFonts w:cs="Times New Roman"/>
        </w:rPr>
        <w:t>, 19(1), p. 551. Available at: https://doi.org/10.1186/s12879-019-4139-4.</w:t>
      </w:r>
    </w:p>
    <w:p w14:paraId="3BBDBEDB" w14:textId="77777777" w:rsidR="00DB0210" w:rsidRPr="00DB0210" w:rsidRDefault="00DB0210" w:rsidP="00DB0210">
      <w:pPr>
        <w:pStyle w:val="Bibliography"/>
        <w:rPr>
          <w:rFonts w:cs="Times New Roman"/>
        </w:rPr>
      </w:pPr>
      <w:r w:rsidRPr="00DB0210">
        <w:rPr>
          <w:rFonts w:cs="Times New Roman"/>
        </w:rPr>
        <w:t xml:space="preserve">Lo Vecchio, A. </w:t>
      </w:r>
      <w:r w:rsidRPr="00DB0210">
        <w:rPr>
          <w:rFonts w:cs="Times New Roman"/>
          <w:i/>
          <w:iCs/>
        </w:rPr>
        <w:t>et al.</w:t>
      </w:r>
      <w:r w:rsidRPr="00DB0210">
        <w:rPr>
          <w:rFonts w:cs="Times New Roman"/>
        </w:rPr>
        <w:t xml:space="preserve"> (2020) ‘Measles Outbreak in a High-Income Country: Are Pediatricians Ready?’, </w:t>
      </w:r>
      <w:r w:rsidRPr="00DB0210">
        <w:rPr>
          <w:rFonts w:cs="Times New Roman"/>
          <w:i/>
          <w:iCs/>
        </w:rPr>
        <w:t>Journal of the Pediatric Infectious Diseases Society</w:t>
      </w:r>
      <w:r w:rsidRPr="00DB0210">
        <w:rPr>
          <w:rFonts w:cs="Times New Roman"/>
        </w:rPr>
        <w:t>, 9(4), pp. 416–420. Available at: https://doi.org/10.1093/jpids/piz061.</w:t>
      </w:r>
    </w:p>
    <w:p w14:paraId="794FBD28" w14:textId="77777777" w:rsidR="00DB0210" w:rsidRPr="00DB0210" w:rsidRDefault="00DB0210" w:rsidP="00DB0210">
      <w:pPr>
        <w:pStyle w:val="Bibliography"/>
        <w:rPr>
          <w:rFonts w:cs="Times New Roman"/>
        </w:rPr>
      </w:pPr>
      <w:r w:rsidRPr="00DB0210">
        <w:rPr>
          <w:rFonts w:cs="Times New Roman"/>
        </w:rPr>
        <w:t xml:space="preserve">McHale, P., Keenan, A. and Ghebreehewet, S. (2016) </w:t>
      </w:r>
      <w:r w:rsidRPr="00DB0210">
        <w:rPr>
          <w:rFonts w:cs="Times New Roman"/>
          <w:i/>
          <w:iCs/>
        </w:rPr>
        <w:t>Reasons for measles cases not being vaccinated with MMR: investigation into parents’ and carers’ views following a large measles outbreak | Epidemiology &amp; Infection | Cambridge Core</w:t>
      </w:r>
      <w:r w:rsidRPr="00DB0210">
        <w:rPr>
          <w:rFonts w:cs="Times New Roman"/>
        </w:rPr>
        <w:t>. Available at: https://www.cambridge.org/core/journals/epidemiology-and-infection/article/reasons-for-</w:t>
      </w:r>
      <w:r w:rsidRPr="00DB0210">
        <w:rPr>
          <w:rFonts w:cs="Times New Roman"/>
        </w:rPr>
        <w:lastRenderedPageBreak/>
        <w:t>measles-cases-not-being-vaccinated-with-mmr-investigation-into-parents-and-carers-views-following-a-large-measles-outbreak/7733C02FC9351402B17B221D7A26DF17 (Accessed: 23 February 2024).</w:t>
      </w:r>
    </w:p>
    <w:p w14:paraId="0318B36D" w14:textId="77777777" w:rsidR="00DB0210" w:rsidRPr="00DB0210" w:rsidRDefault="00DB0210" w:rsidP="00DB0210">
      <w:pPr>
        <w:pStyle w:val="Bibliography"/>
        <w:rPr>
          <w:rFonts w:cs="Times New Roman"/>
        </w:rPr>
      </w:pPr>
      <w:r w:rsidRPr="00DB0210">
        <w:rPr>
          <w:rFonts w:cs="Times New Roman"/>
        </w:rPr>
        <w:t xml:space="preserve">Meuser, T.M. and Robnett, R.H. (2019) ‘DO PERSONALITY TRAITS INFLUENCE PERCEPTIONS OF COGNITIVE CHANGE IN COMMUNITY DWELLING OLDER ADULTS?’, </w:t>
      </w:r>
      <w:r w:rsidRPr="00DB0210">
        <w:rPr>
          <w:rFonts w:cs="Times New Roman"/>
          <w:i/>
          <w:iCs/>
        </w:rPr>
        <w:t>Innovation in Aging</w:t>
      </w:r>
      <w:r w:rsidRPr="00DB0210">
        <w:rPr>
          <w:rFonts w:cs="Times New Roman"/>
        </w:rPr>
        <w:t>, 3(Supplement_1), pp. S893–S894. Available at: https://doi.org/10.1093/geroni/igz038.3267.</w:t>
      </w:r>
    </w:p>
    <w:p w14:paraId="65A814DE" w14:textId="77777777" w:rsidR="00DB0210" w:rsidRPr="00DB0210" w:rsidRDefault="00DB0210" w:rsidP="00DB0210">
      <w:pPr>
        <w:pStyle w:val="Bibliography"/>
        <w:rPr>
          <w:rFonts w:cs="Times New Roman"/>
        </w:rPr>
      </w:pPr>
      <w:r w:rsidRPr="00DB0210">
        <w:rPr>
          <w:rFonts w:cs="Times New Roman"/>
        </w:rPr>
        <w:t xml:space="preserve">Mulchandani, R. </w:t>
      </w:r>
      <w:r w:rsidRPr="00DB0210">
        <w:rPr>
          <w:rFonts w:cs="Times New Roman"/>
          <w:i/>
          <w:iCs/>
        </w:rPr>
        <w:t>et al.</w:t>
      </w:r>
      <w:r w:rsidRPr="00DB0210">
        <w:rPr>
          <w:rFonts w:cs="Times New Roman"/>
        </w:rPr>
        <w:t xml:space="preserve"> (2021) ‘A large outbreak of measles in the West Midlands, England, 2017–2018: descriptive epidemiology, control measures and lessons learnt’, </w:t>
      </w:r>
      <w:r w:rsidRPr="00DB0210">
        <w:rPr>
          <w:rFonts w:cs="Times New Roman"/>
          <w:i/>
          <w:iCs/>
        </w:rPr>
        <w:t>Epidemiology &amp; Infection</w:t>
      </w:r>
      <w:r w:rsidRPr="00DB0210">
        <w:rPr>
          <w:rFonts w:cs="Times New Roman"/>
        </w:rPr>
        <w:t>, 149, p. e114. Available at: https://doi.org/10.1017/S0950268821000868.</w:t>
      </w:r>
    </w:p>
    <w:p w14:paraId="7C35724C" w14:textId="77777777" w:rsidR="00DB0210" w:rsidRPr="00DB0210" w:rsidRDefault="00DB0210" w:rsidP="00DB0210">
      <w:pPr>
        <w:pStyle w:val="Bibliography"/>
        <w:rPr>
          <w:rFonts w:cs="Times New Roman"/>
        </w:rPr>
      </w:pPr>
      <w:r w:rsidRPr="00DB0210">
        <w:rPr>
          <w:rFonts w:cs="Times New Roman"/>
        </w:rPr>
        <w:t xml:space="preserve">Ori, P.U. </w:t>
      </w:r>
      <w:r w:rsidRPr="00DB0210">
        <w:rPr>
          <w:rFonts w:cs="Times New Roman"/>
          <w:i/>
          <w:iCs/>
        </w:rPr>
        <w:t>et al.</w:t>
      </w:r>
      <w:r w:rsidRPr="00DB0210">
        <w:rPr>
          <w:rFonts w:cs="Times New Roman"/>
        </w:rPr>
        <w:t xml:space="preserve"> (2021) ‘Descriptive epidemiology of measles cases in Bauchi State, 2013–2018’, </w:t>
      </w:r>
      <w:r w:rsidRPr="00DB0210">
        <w:rPr>
          <w:rFonts w:cs="Times New Roman"/>
          <w:i/>
          <w:iCs/>
        </w:rPr>
        <w:t>BMC Public Health</w:t>
      </w:r>
      <w:r w:rsidRPr="00DB0210">
        <w:rPr>
          <w:rFonts w:cs="Times New Roman"/>
        </w:rPr>
        <w:t>, 21(1), p. 1311. Available at: https://doi.org/10.1186/s12889-021-11063-6.</w:t>
      </w:r>
    </w:p>
    <w:p w14:paraId="296EC2CD" w14:textId="77777777" w:rsidR="00DB0210" w:rsidRPr="00DB0210" w:rsidRDefault="00DB0210" w:rsidP="00DB0210">
      <w:pPr>
        <w:pStyle w:val="Bibliography"/>
        <w:rPr>
          <w:rFonts w:cs="Times New Roman"/>
        </w:rPr>
      </w:pPr>
      <w:r w:rsidRPr="00DB0210">
        <w:rPr>
          <w:rFonts w:cs="Times New Roman"/>
        </w:rPr>
        <w:t xml:space="preserve">Pegorie, M. </w:t>
      </w:r>
      <w:r w:rsidRPr="00DB0210">
        <w:rPr>
          <w:rFonts w:cs="Times New Roman"/>
          <w:i/>
          <w:iCs/>
        </w:rPr>
        <w:t>et al.</w:t>
      </w:r>
      <w:r w:rsidRPr="00DB0210">
        <w:rPr>
          <w:rFonts w:cs="Times New Roman"/>
        </w:rPr>
        <w:t xml:space="preserve"> (2014) ‘Measles outbreak in Greater Manchester, England, October 2012 to September 2013: epidemiology and control’, </w:t>
      </w:r>
      <w:r w:rsidRPr="00DB0210">
        <w:rPr>
          <w:rFonts w:cs="Times New Roman"/>
          <w:i/>
          <w:iCs/>
        </w:rPr>
        <w:t>Eurosurveillance</w:t>
      </w:r>
      <w:r w:rsidRPr="00DB0210">
        <w:rPr>
          <w:rFonts w:cs="Times New Roman"/>
        </w:rPr>
        <w:t>, 19(49). Available at: https://doi.org/10.2807/1560-7917.ES2014.19.49.20982.</w:t>
      </w:r>
    </w:p>
    <w:p w14:paraId="1933E93F" w14:textId="77777777" w:rsidR="00DB0210" w:rsidRPr="00DB0210" w:rsidRDefault="00DB0210" w:rsidP="00DB0210">
      <w:pPr>
        <w:pStyle w:val="Bibliography"/>
        <w:rPr>
          <w:rFonts w:cs="Times New Roman"/>
        </w:rPr>
      </w:pPr>
      <w:r w:rsidRPr="00DB0210">
        <w:rPr>
          <w:rFonts w:cs="Times New Roman"/>
        </w:rPr>
        <w:t xml:space="preserve">Peter, G., Athol, W. and Gisli, J. (2020) </w:t>
      </w:r>
      <w:r w:rsidRPr="00DB0210">
        <w:rPr>
          <w:rFonts w:cs="Times New Roman"/>
          <w:i/>
          <w:iCs/>
        </w:rPr>
        <w:t>Pulmonary fibrosis and COVID-19: the potential role for antifibrotic therapy - The Lancet Respiratory Medicine</w:t>
      </w:r>
      <w:r w:rsidRPr="00DB0210">
        <w:rPr>
          <w:rFonts w:cs="Times New Roman"/>
        </w:rPr>
        <w:t>. Available at: https://www.thelancet.com/journals/lanres/article/PIIS2213-2600(20)30225-3/fulltext (Accessed: 23 February 2024).</w:t>
      </w:r>
    </w:p>
    <w:p w14:paraId="7787E741" w14:textId="77777777" w:rsidR="00DB0210" w:rsidRPr="00DB0210" w:rsidRDefault="00DB0210" w:rsidP="00DB0210">
      <w:pPr>
        <w:pStyle w:val="Bibliography"/>
        <w:rPr>
          <w:rFonts w:cs="Times New Roman"/>
        </w:rPr>
      </w:pPr>
      <w:r w:rsidRPr="00DB0210">
        <w:rPr>
          <w:rFonts w:cs="Times New Roman"/>
          <w:i/>
          <w:iCs/>
        </w:rPr>
        <w:t>Public Health England</w:t>
      </w:r>
      <w:r w:rsidRPr="00DB0210">
        <w:rPr>
          <w:rFonts w:cs="Times New Roman"/>
        </w:rPr>
        <w:t xml:space="preserve"> (2021) </w:t>
      </w:r>
      <w:r w:rsidRPr="00DB0210">
        <w:rPr>
          <w:rFonts w:cs="Times New Roman"/>
          <w:i/>
          <w:iCs/>
        </w:rPr>
        <w:t>GOV.UK</w:t>
      </w:r>
      <w:r w:rsidRPr="00DB0210">
        <w:rPr>
          <w:rFonts w:cs="Times New Roman"/>
        </w:rPr>
        <w:t>. Available at: https://www.gov.uk/government/organisations/public-health-england (Accessed: 22 February 2024).</w:t>
      </w:r>
    </w:p>
    <w:p w14:paraId="33BFB2DB" w14:textId="77777777" w:rsidR="00DB0210" w:rsidRPr="00DB0210" w:rsidRDefault="00DB0210" w:rsidP="00DB0210">
      <w:pPr>
        <w:pStyle w:val="Bibliography"/>
        <w:rPr>
          <w:rFonts w:cs="Times New Roman"/>
        </w:rPr>
      </w:pPr>
      <w:r w:rsidRPr="00DB0210">
        <w:rPr>
          <w:rFonts w:cs="Times New Roman"/>
        </w:rPr>
        <w:t xml:space="preserve">Sato, R. </w:t>
      </w:r>
      <w:r w:rsidRPr="00DB0210">
        <w:rPr>
          <w:rFonts w:cs="Times New Roman"/>
          <w:i/>
          <w:iCs/>
        </w:rPr>
        <w:t>et al.</w:t>
      </w:r>
      <w:r w:rsidRPr="00DB0210">
        <w:rPr>
          <w:rFonts w:cs="Times New Roman"/>
        </w:rPr>
        <w:t xml:space="preserve"> (2022) ‘Geographical and time trends of measles incidence and measles vaccination coverage and their correlation in Nigeria’, </w:t>
      </w:r>
      <w:r w:rsidRPr="00DB0210">
        <w:rPr>
          <w:rFonts w:cs="Times New Roman"/>
          <w:i/>
          <w:iCs/>
        </w:rPr>
        <w:t>Human Vaccines &amp; Immunotherapeutics</w:t>
      </w:r>
      <w:r w:rsidRPr="00DB0210">
        <w:rPr>
          <w:rFonts w:cs="Times New Roman"/>
        </w:rPr>
        <w:t>, 18(6), p. 2114697. Available at: https://doi.org/10.1080/21645515.2022.2114697.</w:t>
      </w:r>
    </w:p>
    <w:p w14:paraId="5C3D5A57" w14:textId="77777777" w:rsidR="00DB0210" w:rsidRPr="00DB0210" w:rsidRDefault="00DB0210" w:rsidP="00DB0210">
      <w:pPr>
        <w:pStyle w:val="Bibliography"/>
        <w:rPr>
          <w:rFonts w:cs="Times New Roman"/>
        </w:rPr>
      </w:pPr>
      <w:r w:rsidRPr="00DB0210">
        <w:rPr>
          <w:rFonts w:cs="Times New Roman"/>
        </w:rPr>
        <w:t xml:space="preserve">Tannous, L.K., Barlow, </w:t>
      </w:r>
      <w:proofErr w:type="gramStart"/>
      <w:r w:rsidRPr="00DB0210">
        <w:rPr>
          <w:rFonts w:cs="Times New Roman"/>
        </w:rPr>
        <w:t>G.</w:t>
      </w:r>
      <w:proofErr w:type="gramEnd"/>
      <w:r w:rsidRPr="00DB0210">
        <w:rPr>
          <w:rFonts w:cs="Times New Roman"/>
        </w:rPr>
        <w:t xml:space="preserve"> and Metcalfe, N.H. (2014) ‘A short clinical review of vaccination against measles’, </w:t>
      </w:r>
      <w:r w:rsidRPr="00DB0210">
        <w:rPr>
          <w:rFonts w:cs="Times New Roman"/>
          <w:i/>
          <w:iCs/>
        </w:rPr>
        <w:t>JRSM Open</w:t>
      </w:r>
      <w:r w:rsidRPr="00DB0210">
        <w:rPr>
          <w:rFonts w:cs="Times New Roman"/>
        </w:rPr>
        <w:t>, 5(4), p. 205427041452340. Available at: https://doi.org/10.1177/2054270414523408.</w:t>
      </w:r>
    </w:p>
    <w:p w14:paraId="38BFB331" w14:textId="77777777" w:rsidR="00DB0210" w:rsidRPr="00DB0210" w:rsidRDefault="00DB0210" w:rsidP="00DB0210">
      <w:pPr>
        <w:pStyle w:val="Bibliography"/>
        <w:rPr>
          <w:rFonts w:cs="Times New Roman"/>
        </w:rPr>
      </w:pPr>
      <w:r w:rsidRPr="00DB0210">
        <w:rPr>
          <w:rFonts w:cs="Times New Roman"/>
        </w:rPr>
        <w:t xml:space="preserve">Thomas, E. </w:t>
      </w:r>
      <w:r w:rsidRPr="00DB0210">
        <w:rPr>
          <w:rFonts w:cs="Times New Roman"/>
          <w:i/>
          <w:iCs/>
        </w:rPr>
        <w:t>et al.</w:t>
      </w:r>
      <w:r w:rsidRPr="00DB0210">
        <w:rPr>
          <w:rFonts w:cs="Times New Roman"/>
        </w:rPr>
        <w:t xml:space="preserve"> (2011) ‘Swift mobilization of infection control, employee health, clinicians, engineering, laboratory and public health averted secondary cases following a large measles exposure at the British Columbia Children’s Hospital, Vancouver, BC, Canada’, </w:t>
      </w:r>
      <w:r w:rsidRPr="00DB0210">
        <w:rPr>
          <w:rFonts w:cs="Times New Roman"/>
          <w:i/>
          <w:iCs/>
        </w:rPr>
        <w:t>BMC Proceedings</w:t>
      </w:r>
      <w:r w:rsidRPr="00DB0210">
        <w:rPr>
          <w:rFonts w:cs="Times New Roman"/>
        </w:rPr>
        <w:t>, 5(S6), p. O79. Available at: https://doi.org/10.1186/1753-6561-5-S6-O79.</w:t>
      </w:r>
    </w:p>
    <w:p w14:paraId="2D4A34BF" w14:textId="77777777" w:rsidR="00DB0210" w:rsidRPr="00DB0210" w:rsidRDefault="00DB0210" w:rsidP="00DB0210">
      <w:pPr>
        <w:pStyle w:val="Bibliography"/>
        <w:rPr>
          <w:rFonts w:cs="Times New Roman"/>
        </w:rPr>
      </w:pPr>
      <w:r w:rsidRPr="00DB0210">
        <w:rPr>
          <w:rFonts w:cs="Times New Roman"/>
        </w:rPr>
        <w:t xml:space="preserve">Uzochukwu, B.S. </w:t>
      </w:r>
      <w:r w:rsidRPr="00DB0210">
        <w:rPr>
          <w:rFonts w:cs="Times New Roman"/>
          <w:i/>
          <w:iCs/>
        </w:rPr>
        <w:t>et al.</w:t>
      </w:r>
      <w:r w:rsidRPr="00DB0210">
        <w:rPr>
          <w:rFonts w:cs="Times New Roman"/>
        </w:rPr>
        <w:t xml:space="preserve"> (2017) ‘Inequity in access to childhood immunization in Enugu urban, Southeast Nigeria’, </w:t>
      </w:r>
      <w:r w:rsidRPr="00DB0210">
        <w:rPr>
          <w:rFonts w:cs="Times New Roman"/>
          <w:i/>
          <w:iCs/>
        </w:rPr>
        <w:t>Nigerian Journal of Clinical Practice</w:t>
      </w:r>
      <w:r w:rsidRPr="00DB0210">
        <w:rPr>
          <w:rFonts w:cs="Times New Roman"/>
        </w:rPr>
        <w:t>, 20(8), pp. 971–977.</w:t>
      </w:r>
    </w:p>
    <w:p w14:paraId="12D643FA" w14:textId="77777777" w:rsidR="00DB0210" w:rsidRPr="00DB0210" w:rsidRDefault="00DB0210" w:rsidP="00DB0210">
      <w:pPr>
        <w:pStyle w:val="Bibliography"/>
        <w:rPr>
          <w:rFonts w:cs="Times New Roman"/>
        </w:rPr>
      </w:pPr>
      <w:r w:rsidRPr="00DB0210">
        <w:rPr>
          <w:rFonts w:cs="Times New Roman"/>
        </w:rPr>
        <w:t xml:space="preserve">Vincent, R. (2020) </w:t>
      </w:r>
      <w:r w:rsidRPr="00DB0210">
        <w:rPr>
          <w:rFonts w:cs="Times New Roman"/>
          <w:i/>
          <w:iCs/>
        </w:rPr>
        <w:t>An Exit Strategy for Measles Virus | Science</w:t>
      </w:r>
      <w:r w:rsidRPr="00DB0210">
        <w:rPr>
          <w:rFonts w:cs="Times New Roman"/>
        </w:rPr>
        <w:t>. Available at: https://www.science.org/doi/abs/10.1126/science.1217378 (Accessed: 23 February 2024).</w:t>
      </w:r>
    </w:p>
    <w:p w14:paraId="40FA9753" w14:textId="77777777" w:rsidR="00DB0210" w:rsidRPr="00DB0210" w:rsidRDefault="00DB0210" w:rsidP="00DB0210">
      <w:pPr>
        <w:pStyle w:val="Bibliography"/>
        <w:rPr>
          <w:rFonts w:cs="Times New Roman"/>
        </w:rPr>
      </w:pPr>
      <w:r w:rsidRPr="00DB0210">
        <w:rPr>
          <w:rFonts w:cs="Times New Roman"/>
        </w:rPr>
        <w:lastRenderedPageBreak/>
        <w:t xml:space="preserve">Wang, X.-Y. </w:t>
      </w:r>
      <w:r w:rsidRPr="00DB0210">
        <w:rPr>
          <w:rFonts w:cs="Times New Roman"/>
          <w:i/>
          <w:iCs/>
        </w:rPr>
        <w:t>et al.</w:t>
      </w:r>
      <w:r w:rsidRPr="00DB0210">
        <w:rPr>
          <w:rFonts w:cs="Times New Roman"/>
        </w:rPr>
        <w:t xml:space="preserve"> (2023) ‘Epidemiological and Clinical Characteristics of Measles in Jinan, Shandong Province, China, from 1991 to 2022’, </w:t>
      </w:r>
      <w:r w:rsidRPr="00DB0210">
        <w:rPr>
          <w:rFonts w:cs="Times New Roman"/>
          <w:i/>
          <w:iCs/>
        </w:rPr>
        <w:t>International Journal of General Medicine</w:t>
      </w:r>
      <w:r w:rsidRPr="00DB0210">
        <w:rPr>
          <w:rFonts w:cs="Times New Roman"/>
        </w:rPr>
        <w:t>, 16, pp. 2305–2312. Available at: https://doi.org/10.2147/IJGM.S407121.</w:t>
      </w:r>
    </w:p>
    <w:p w14:paraId="6675A2E2" w14:textId="3B5D3DB3" w:rsidR="00924678" w:rsidRPr="00924678" w:rsidRDefault="00924678" w:rsidP="00924678">
      <w:pPr>
        <w:spacing w:line="480" w:lineRule="auto"/>
        <w:rPr>
          <w:b/>
          <w:bCs/>
        </w:rPr>
      </w:pPr>
      <w:r>
        <w:rPr>
          <w:b/>
          <w:bCs/>
        </w:rPr>
        <w:fldChar w:fldCharType="end"/>
      </w:r>
    </w:p>
    <w:p w14:paraId="74B53910" w14:textId="77777777" w:rsidR="00366EC9" w:rsidRPr="00366EC9" w:rsidRDefault="00366EC9" w:rsidP="00366EC9">
      <w:pPr>
        <w:spacing w:line="480" w:lineRule="auto"/>
      </w:pPr>
    </w:p>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A67C" w14:textId="77777777" w:rsidR="005E13F4" w:rsidRDefault="005E13F4" w:rsidP="00CF6BCE">
      <w:pPr>
        <w:spacing w:after="0" w:line="240" w:lineRule="auto"/>
      </w:pPr>
      <w:r>
        <w:separator/>
      </w:r>
    </w:p>
  </w:endnote>
  <w:endnote w:type="continuationSeparator" w:id="0">
    <w:p w14:paraId="2E961E00" w14:textId="77777777" w:rsidR="005E13F4" w:rsidRDefault="005E13F4"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ABD7" w14:textId="77777777" w:rsidR="005E13F4" w:rsidRDefault="005E13F4" w:rsidP="00CF6BCE">
      <w:pPr>
        <w:spacing w:after="0" w:line="240" w:lineRule="auto"/>
      </w:pPr>
      <w:r>
        <w:separator/>
      </w:r>
    </w:p>
  </w:footnote>
  <w:footnote w:type="continuationSeparator" w:id="0">
    <w:p w14:paraId="79F2C1B4" w14:textId="77777777" w:rsidR="005E13F4" w:rsidRDefault="005E13F4"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21046">
    <w:abstractNumId w:val="1"/>
  </w:num>
  <w:num w:numId="2" w16cid:durableId="65896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14499F"/>
    <w:rsid w:val="0030438D"/>
    <w:rsid w:val="0031492D"/>
    <w:rsid w:val="00366EC9"/>
    <w:rsid w:val="0046089D"/>
    <w:rsid w:val="004E26CE"/>
    <w:rsid w:val="004E3428"/>
    <w:rsid w:val="00557720"/>
    <w:rsid w:val="005A3FF3"/>
    <w:rsid w:val="005E13F4"/>
    <w:rsid w:val="0062505D"/>
    <w:rsid w:val="00630E11"/>
    <w:rsid w:val="006456B5"/>
    <w:rsid w:val="006F6F4C"/>
    <w:rsid w:val="00702790"/>
    <w:rsid w:val="007537DC"/>
    <w:rsid w:val="007916F2"/>
    <w:rsid w:val="007F4A15"/>
    <w:rsid w:val="00874591"/>
    <w:rsid w:val="00884545"/>
    <w:rsid w:val="008E261E"/>
    <w:rsid w:val="00924678"/>
    <w:rsid w:val="00A132D5"/>
    <w:rsid w:val="00B51920"/>
    <w:rsid w:val="00C31924"/>
    <w:rsid w:val="00C82919"/>
    <w:rsid w:val="00CF6BCE"/>
    <w:rsid w:val="00DB0210"/>
    <w:rsid w:val="00E76E08"/>
    <w:rsid w:val="00E804BC"/>
    <w:rsid w:val="00EF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B5"/>
    <w:rPr>
      <w:rFonts w:ascii="Times New Roman" w:hAnsi="Times New Roman"/>
      <w:sz w:val="24"/>
      <w:lang w:val="en-GB"/>
    </w:rPr>
  </w:style>
  <w:style w:type="paragraph" w:styleId="Heading1">
    <w:name w:val="heading 1"/>
    <w:basedOn w:val="Normal"/>
    <w:next w:val="Normal"/>
    <w:link w:val="Heading1Char"/>
    <w:uiPriority w:val="9"/>
    <w:qFormat/>
    <w:rsid w:val="0014499F"/>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02790"/>
    <w:pPr>
      <w:keepNext/>
      <w:keepLines/>
      <w:spacing w:before="160" w:after="80" w:line="480" w:lineRule="auto"/>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9F"/>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702790"/>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12</Pages>
  <Words>15391</Words>
  <Characters>87729</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12</cp:revision>
  <dcterms:created xsi:type="dcterms:W3CDTF">2024-02-22T15:53:00Z</dcterms:created>
  <dcterms:modified xsi:type="dcterms:W3CDTF">2024-02-23T08:25:00Z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id="M9TMVyUw"/&gt;&lt;style id="http://www.zotero.org/styles/harvard-cite-them-right" hasBibliography="1" bibliographyStyleHasBeenSet="1"/&gt;&lt;prefs&gt;&lt;pref name="fieldType" value="Field"/&gt;&lt;/prefs&gt;&lt;/data&gt;</vt:lpwstr>
  </property>
</Properties>
</file>