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8A55" w14:textId="25EEE794" w:rsidR="00274FBD" w:rsidRDefault="00274FBD" w:rsidP="00330483">
      <w:pPr>
        <w:rPr>
          <w:b/>
          <w:bCs/>
          <w:lang w:val="en-US"/>
        </w:rPr>
      </w:pPr>
      <w:r>
        <w:rPr>
          <w:b/>
          <w:bCs/>
          <w:lang w:val="en-US"/>
        </w:rPr>
        <w:t xml:space="preserve">Q2: </w:t>
      </w:r>
      <w:r w:rsidRPr="00693567">
        <w:t>Developing A Local Plan To Address Air Pollution In Sunford</w:t>
      </w:r>
      <w:r>
        <w:t>, UK</w:t>
      </w:r>
    </w:p>
    <w:p w14:paraId="68A90250" w14:textId="50C7A137" w:rsidR="00330483" w:rsidRPr="00330483" w:rsidRDefault="00330483" w:rsidP="00330483">
      <w:pPr>
        <w:rPr>
          <w:lang w:val="en-US"/>
        </w:rPr>
      </w:pPr>
      <w:r w:rsidRPr="00330483">
        <w:rPr>
          <w:b/>
          <w:bCs/>
          <w:lang w:val="en-US"/>
        </w:rPr>
        <w:t>Step 1: Understand the Local Context and Data</w:t>
      </w:r>
    </w:p>
    <w:p w14:paraId="36CA98EB" w14:textId="2B84A9B8" w:rsidR="00330483" w:rsidRDefault="00330483" w:rsidP="00330483">
      <w:pPr>
        <w:numPr>
          <w:ilvl w:val="0"/>
          <w:numId w:val="41"/>
        </w:numPr>
        <w:rPr>
          <w:lang w:val="en-US"/>
        </w:rPr>
      </w:pPr>
      <w:r w:rsidRPr="00330483">
        <w:rPr>
          <w:lang w:val="en-US"/>
        </w:rPr>
        <w:t>Research and gather data specific to Sunford, England. Identify the major sources of air pollution, such as industrial emissions and traffic. Obtain relevant statistics on the prevalence of respiratory diseases and associated deaths over the past 5 years. Look for data on pollution levels in different neighborhoods, especially those around primary schools.</w:t>
      </w:r>
    </w:p>
    <w:p w14:paraId="6B8127D2" w14:textId="77777777" w:rsidR="00337789" w:rsidRDefault="00330483" w:rsidP="00330483">
      <w:pPr>
        <w:jc w:val="both"/>
        <w:rPr>
          <w:lang w:val="en-US"/>
        </w:rPr>
      </w:pPr>
      <w:r w:rsidRPr="00330483">
        <w:rPr>
          <w:lang w:val="en-US"/>
        </w:rPr>
        <w:t>Air pollution in Sunford, England is primarily caused by industrial emissions and traffic. Industrial processes, including manufacturing and energy production, release pollutants into the atmosphere, contributing to air pollution in the area. Additionally, vehicular emissions from traffic on the roads also play a significant role in air pollution in Sunford. Motor vehicles emit pollutants such as nitrogen oxides (NOx), sulfur dioxide (SO2), carbon monoxide (CO), and particulate matter (PM), which can have detrimental effects on air quality. The combination of industrial emissions and traffic in Sunford leads to the presence of pollutants such as fine particulate matter (PM2.5, PM10), nitrogen oxides (NO, NO2, NOx), sulfur dioxide (SO2), carbon monoxide (CO), and volatile organic compounds (VOCs) in the air. These sources of air pollution need to be addressed through measures such as upgrading industrial processes, improving energy efficiency, and implementing emission controls for vehicles to improve air quality in Sunford.</w:t>
      </w:r>
      <w:r w:rsidRPr="00330483">
        <w:rPr>
          <w:lang w:val="en-US"/>
        </w:rPr>
        <w:t xml:space="preserve"> </w:t>
      </w:r>
    </w:p>
    <w:p w14:paraId="04B34E84" w14:textId="77777777" w:rsidR="00D254AF" w:rsidRDefault="00337789" w:rsidP="00330483">
      <w:pPr>
        <w:jc w:val="both"/>
      </w:pPr>
      <w:r w:rsidRPr="00337789">
        <w:t>The prevalence of respiratory diseases and associated deaths in Sunford, England over the past 5 years is not mentioned in the provided abstracts. However, the abstracts do provide information on geographical variations in respiratory diseases in Great Britain </w:t>
      </w:r>
      <w:r w:rsidRPr="00337789">
        <w:rPr>
          <w:vertAlign w:val="superscript"/>
        </w:rPr>
        <w:t>[1]</w:t>
      </w:r>
      <w:r w:rsidRPr="00337789">
        <w:t>. They also discuss the long-term health impact of air pollution and its association with respiratory hospital admissions </w:t>
      </w:r>
      <w:r w:rsidRPr="00337789">
        <w:rPr>
          <w:vertAlign w:val="superscript"/>
        </w:rPr>
        <w:t>[2]</w:t>
      </w:r>
      <w:r w:rsidRPr="00337789">
        <w:t xml:space="preserve">. </w:t>
      </w:r>
      <w:r w:rsidRPr="00337789">
        <w:lastRenderedPageBreak/>
        <w:t>Additionally, there is evidence linking long-term exposure to outdoor particulate air pollution to increased all-cause mortality, particularly respiratory deaths </w:t>
      </w:r>
      <w:r w:rsidRPr="00337789">
        <w:rPr>
          <w:vertAlign w:val="superscript"/>
        </w:rPr>
        <w:t>[3]</w:t>
      </w:r>
      <w:r w:rsidRPr="00337789">
        <w:t>. The abstracts also mention the association between the incidence of respiratory diseases and numbers of registered deaths in England and Wales </w:t>
      </w:r>
      <w:r w:rsidRPr="00337789">
        <w:rPr>
          <w:vertAlign w:val="superscript"/>
        </w:rPr>
        <w:t>[4]</w:t>
      </w:r>
      <w:r w:rsidRPr="00337789">
        <w:t xml:space="preserve">. While there is no specific data on pollution levels in different </w:t>
      </w:r>
      <w:r w:rsidRPr="00337789">
        <w:t>neighbourhoods</w:t>
      </w:r>
      <w:r w:rsidRPr="00337789">
        <w:t xml:space="preserve"> around primary schools in Sunford, England, the abstracts highlight the association between air pollution and respiratory health problems, including asthma </w:t>
      </w:r>
      <w:r w:rsidRPr="00337789">
        <w:rPr>
          <w:vertAlign w:val="superscript"/>
        </w:rPr>
        <w:t>[5]</w:t>
      </w:r>
      <w:r w:rsidRPr="00337789">
        <w:t>.</w:t>
      </w:r>
    </w:p>
    <w:p w14:paraId="06AF482C" w14:textId="77777777" w:rsidR="00D254AF" w:rsidRDefault="00D254AF" w:rsidP="00330483">
      <w:pPr>
        <w:rPr>
          <w:lang w:val="en-US"/>
        </w:rPr>
      </w:pPr>
      <w:r w:rsidRPr="00D254AF">
        <w:rPr>
          <w:lang w:val="en-US"/>
        </w:rPr>
        <w:t>Research in Sunford, England has identified road traffic as a major source of air pollution, particularly from goods vehicles and car journeys over 8 km (Peace, 2004). This is consistent with findings in industrial areas, where traffic emissions have been found to be a significant contributor to air pollution (Almeida, 2014). Furthermore, studies have shown that there are clear inequalities in exposure to traffic-related pollutants, with young children, adults, and households in poverty being more likely to suffer from the effects of traffic pollution (Barnes, 2016).</w:t>
      </w:r>
      <w:r w:rsidRPr="00D254AF">
        <w:rPr>
          <w:lang w:val="en-US"/>
        </w:rPr>
        <w:t xml:space="preserve"> </w:t>
      </w:r>
    </w:p>
    <w:p w14:paraId="745A924A" w14:textId="3989AEDD" w:rsidR="00CA0FAE" w:rsidRDefault="00CA0FAE" w:rsidP="00330483">
      <w:pPr>
        <w:rPr>
          <w:lang w:val="en-US"/>
        </w:rPr>
      </w:pPr>
      <w:r w:rsidRPr="00CA0FAE">
        <w:t>Research on the prevalence of respiratory diseases and associated deaths over the past 5 years has shown a significant impact of air pollution on these conditions. Studies in England and Scotland found no evidence of harmful effects of pollution on children's health (Melia, 1981), while a study in the Netherlands reported a higher prevalence of respiratory symptoms in children living in high-pollution areas (</w:t>
      </w:r>
      <w:proofErr w:type="spellStart"/>
      <w:r w:rsidRPr="00CA0FAE">
        <w:t>Kerrebijn</w:t>
      </w:r>
      <w:proofErr w:type="spellEnd"/>
      <w:r w:rsidRPr="00CA0FAE">
        <w:t>, 1975). In China, a positive association was found between children's respiratory morbidity and outdoor levels of particulate matter and gaseous pollutants (Zhang, 2002). In England, nitrogen dioxide was found to have the largest association with respiratory hospital admissions, with projected future reductions in emissions (Pannullo, 2017). These findings suggest a complex relationship between pollution and respiratory health, with further research needed to understand the specific impact on different populations.</w:t>
      </w:r>
    </w:p>
    <w:p w14:paraId="30D8E735" w14:textId="77777777" w:rsidR="00D254AF" w:rsidRDefault="00D254AF">
      <w:pPr>
        <w:spacing w:line="259" w:lineRule="auto"/>
        <w:rPr>
          <w:lang w:val="en-US"/>
        </w:rPr>
      </w:pPr>
      <w:r>
        <w:rPr>
          <w:lang w:val="en-US"/>
        </w:rPr>
        <w:lastRenderedPageBreak/>
        <w:br w:type="page"/>
      </w:r>
    </w:p>
    <w:p w14:paraId="155951C1" w14:textId="0D708632" w:rsidR="00330483" w:rsidRPr="00330483" w:rsidRDefault="00330483" w:rsidP="00330483">
      <w:pPr>
        <w:rPr>
          <w:lang w:val="en-US"/>
        </w:rPr>
      </w:pPr>
      <w:r w:rsidRPr="00330483">
        <w:rPr>
          <w:b/>
          <w:bCs/>
          <w:lang w:val="en-US"/>
        </w:rPr>
        <w:lastRenderedPageBreak/>
        <w:t>Step 2: Review Existing Policies and Guidelines</w:t>
      </w:r>
    </w:p>
    <w:p w14:paraId="1EA21F8C" w14:textId="65556C71" w:rsidR="00330483" w:rsidRDefault="00330483" w:rsidP="00330483">
      <w:pPr>
        <w:numPr>
          <w:ilvl w:val="0"/>
          <w:numId w:val="42"/>
        </w:numPr>
        <w:rPr>
          <w:lang w:val="en-US"/>
        </w:rPr>
      </w:pPr>
      <w:r w:rsidRPr="00330483">
        <w:rPr>
          <w:lang w:val="en-US"/>
        </w:rPr>
        <w:t>Examine national and local policies related to air quality and pollution control. Understand the current regulations in place and their effectiveness. Identify any gaps or areas where policies may need reinforcement. Consider guidelines from organizations like the World Health Organization (WHO) and national environmental agencies.</w:t>
      </w:r>
    </w:p>
    <w:p w14:paraId="41AA561D" w14:textId="28EA9D85" w:rsidR="00536235" w:rsidRPr="00536235" w:rsidRDefault="00536235" w:rsidP="00536235">
      <w:pPr>
        <w:rPr>
          <w:b/>
          <w:bCs/>
          <w:lang w:val="en-US"/>
        </w:rPr>
      </w:pPr>
      <w:r w:rsidRPr="00536235">
        <w:rPr>
          <w:b/>
          <w:bCs/>
          <w:lang w:val="en-US"/>
        </w:rPr>
        <w:t>UK National and Local Policies for Air Quality and Pollution Control:</w:t>
      </w:r>
    </w:p>
    <w:p w14:paraId="3EB65BD8" w14:textId="77777777" w:rsidR="00536235" w:rsidRPr="00536235" w:rsidRDefault="00536235" w:rsidP="00536235">
      <w:pPr>
        <w:rPr>
          <w:lang w:val="en-US"/>
        </w:rPr>
      </w:pPr>
      <w:r w:rsidRPr="00536235">
        <w:rPr>
          <w:lang w:val="en-US"/>
        </w:rPr>
        <w:t>The UK tackles air pollution through a combination of national and local policies, focusing on reducing emissions and improving air quality to protect public health. Here's an overview:</w:t>
      </w:r>
    </w:p>
    <w:p w14:paraId="74EE47FB" w14:textId="77777777" w:rsidR="00536235" w:rsidRPr="00536235" w:rsidRDefault="00536235" w:rsidP="00536235">
      <w:pPr>
        <w:rPr>
          <w:lang w:val="en-US"/>
        </w:rPr>
      </w:pPr>
      <w:r w:rsidRPr="00536235">
        <w:rPr>
          <w:b/>
          <w:bCs/>
          <w:lang w:val="en-US"/>
        </w:rPr>
        <w:t>National Level:</w:t>
      </w:r>
    </w:p>
    <w:p w14:paraId="744C5234" w14:textId="77777777" w:rsidR="00536235" w:rsidRPr="00536235" w:rsidRDefault="00536235" w:rsidP="00536235">
      <w:pPr>
        <w:numPr>
          <w:ilvl w:val="0"/>
          <w:numId w:val="45"/>
        </w:numPr>
        <w:rPr>
          <w:lang w:val="en-US"/>
        </w:rPr>
      </w:pPr>
      <w:r w:rsidRPr="00536235">
        <w:rPr>
          <w:b/>
          <w:bCs/>
          <w:lang w:val="en-US"/>
        </w:rPr>
        <w:t>Environment Act 2021:</w:t>
      </w:r>
      <w:r w:rsidRPr="00536235">
        <w:rPr>
          <w:lang w:val="en-US"/>
        </w:rPr>
        <w:t> Sets a legally binding target to reduce fine particulate matter (PM2.5) by 20% by 2030 and establishes a framework for setting further long-term targets on air quality.</w:t>
      </w:r>
    </w:p>
    <w:p w14:paraId="2EFA95FE" w14:textId="77777777" w:rsidR="00536235" w:rsidRPr="00536235" w:rsidRDefault="00536235" w:rsidP="00536235">
      <w:pPr>
        <w:numPr>
          <w:ilvl w:val="0"/>
          <w:numId w:val="45"/>
        </w:numPr>
        <w:rPr>
          <w:lang w:val="en-US"/>
        </w:rPr>
      </w:pPr>
      <w:r w:rsidRPr="00536235">
        <w:rPr>
          <w:b/>
          <w:bCs/>
          <w:lang w:val="en-US"/>
        </w:rPr>
        <w:t>Clean Air Strategy 2019:</w:t>
      </w:r>
      <w:r w:rsidRPr="00536235">
        <w:rPr>
          <w:lang w:val="en-US"/>
        </w:rPr>
        <w:t> Outlines a national plan to reduce air pollution, focusing on reducing emissions from transport, industry, agriculture, and domestic sources. This strategy includes:</w:t>
      </w:r>
    </w:p>
    <w:p w14:paraId="5E5909E9" w14:textId="77777777" w:rsidR="00536235" w:rsidRPr="00536235" w:rsidRDefault="00536235" w:rsidP="00536235">
      <w:pPr>
        <w:numPr>
          <w:ilvl w:val="1"/>
          <w:numId w:val="45"/>
        </w:numPr>
        <w:rPr>
          <w:lang w:val="en-US"/>
        </w:rPr>
      </w:pPr>
      <w:r w:rsidRPr="00536235">
        <w:rPr>
          <w:b/>
          <w:bCs/>
          <w:lang w:val="en-US"/>
        </w:rPr>
        <w:t>Clean Air Zones:</w:t>
      </w:r>
      <w:r w:rsidRPr="00536235">
        <w:rPr>
          <w:lang w:val="en-US"/>
        </w:rPr>
        <w:t> Charging zones implemented in several cities to deter the most polluting vehicles.</w:t>
      </w:r>
    </w:p>
    <w:p w14:paraId="18DE2B47" w14:textId="77777777" w:rsidR="00536235" w:rsidRPr="00536235" w:rsidRDefault="00536235" w:rsidP="00536235">
      <w:pPr>
        <w:numPr>
          <w:ilvl w:val="1"/>
          <w:numId w:val="45"/>
        </w:numPr>
        <w:rPr>
          <w:lang w:val="en-US"/>
        </w:rPr>
      </w:pPr>
      <w:r w:rsidRPr="00536235">
        <w:rPr>
          <w:b/>
          <w:bCs/>
          <w:lang w:val="en-US"/>
        </w:rPr>
        <w:t>Ultra Low Emission Zones (ULEZs):</w:t>
      </w:r>
      <w:r w:rsidRPr="00536235">
        <w:rPr>
          <w:lang w:val="en-US"/>
        </w:rPr>
        <w:t> Stricter zones with even lower emission standards than Clean Air Zones.</w:t>
      </w:r>
    </w:p>
    <w:p w14:paraId="1E2F1165" w14:textId="77777777" w:rsidR="00536235" w:rsidRPr="00536235" w:rsidRDefault="00536235" w:rsidP="00536235">
      <w:pPr>
        <w:numPr>
          <w:ilvl w:val="1"/>
          <w:numId w:val="45"/>
        </w:numPr>
        <w:rPr>
          <w:lang w:val="en-US"/>
        </w:rPr>
      </w:pPr>
      <w:r w:rsidRPr="00536235">
        <w:rPr>
          <w:b/>
          <w:bCs/>
          <w:lang w:val="en-US"/>
        </w:rPr>
        <w:t>Fuel efficiency standards for vehicles.</w:t>
      </w:r>
    </w:p>
    <w:p w14:paraId="0EBB17ED" w14:textId="77777777" w:rsidR="00536235" w:rsidRPr="00536235" w:rsidRDefault="00536235" w:rsidP="00536235">
      <w:pPr>
        <w:numPr>
          <w:ilvl w:val="1"/>
          <w:numId w:val="45"/>
        </w:numPr>
        <w:rPr>
          <w:lang w:val="en-US"/>
        </w:rPr>
      </w:pPr>
      <w:r w:rsidRPr="00536235">
        <w:rPr>
          <w:b/>
          <w:bCs/>
          <w:lang w:val="en-US"/>
        </w:rPr>
        <w:t>Investments in renewable energy and low-emission transport.</w:t>
      </w:r>
    </w:p>
    <w:p w14:paraId="3A919678" w14:textId="77777777" w:rsidR="00536235" w:rsidRPr="00536235" w:rsidRDefault="00536235" w:rsidP="00536235">
      <w:pPr>
        <w:numPr>
          <w:ilvl w:val="0"/>
          <w:numId w:val="45"/>
        </w:numPr>
        <w:rPr>
          <w:lang w:val="en-US"/>
        </w:rPr>
      </w:pPr>
      <w:r w:rsidRPr="00536235">
        <w:rPr>
          <w:b/>
          <w:bCs/>
          <w:lang w:val="en-US"/>
        </w:rPr>
        <w:lastRenderedPageBreak/>
        <w:t>Revised National Air Pollution Control Programme (NAPCP):</w:t>
      </w:r>
      <w:r w:rsidRPr="00536235">
        <w:rPr>
          <w:lang w:val="en-US"/>
        </w:rPr>
        <w:t> Sets national emission ceilings for various pollutants and outlines actions to achieve them.</w:t>
      </w:r>
    </w:p>
    <w:p w14:paraId="7E465C59" w14:textId="77777777" w:rsidR="00536235" w:rsidRPr="00536235" w:rsidRDefault="00536235" w:rsidP="00536235">
      <w:pPr>
        <w:numPr>
          <w:ilvl w:val="0"/>
          <w:numId w:val="45"/>
        </w:numPr>
        <w:rPr>
          <w:lang w:val="en-US"/>
        </w:rPr>
      </w:pPr>
      <w:r w:rsidRPr="00536235">
        <w:rPr>
          <w:b/>
          <w:bCs/>
          <w:lang w:val="en-US"/>
        </w:rPr>
        <w:t>Air Quality Regulations:</w:t>
      </w:r>
      <w:r w:rsidRPr="00536235">
        <w:rPr>
          <w:lang w:val="en-US"/>
        </w:rPr>
        <w:t> Set limit values for various air pollutants to protect public health.</w:t>
      </w:r>
    </w:p>
    <w:p w14:paraId="6C51AB9B" w14:textId="77777777" w:rsidR="00536235" w:rsidRPr="00536235" w:rsidRDefault="00536235" w:rsidP="00536235">
      <w:pPr>
        <w:rPr>
          <w:lang w:val="en-US"/>
        </w:rPr>
      </w:pPr>
      <w:r w:rsidRPr="00536235">
        <w:rPr>
          <w:b/>
          <w:bCs/>
          <w:lang w:val="en-US"/>
        </w:rPr>
        <w:t>Local Level:</w:t>
      </w:r>
    </w:p>
    <w:p w14:paraId="14313B18" w14:textId="77777777" w:rsidR="00536235" w:rsidRPr="00536235" w:rsidRDefault="00536235" w:rsidP="00536235">
      <w:pPr>
        <w:numPr>
          <w:ilvl w:val="0"/>
          <w:numId w:val="46"/>
        </w:numPr>
        <w:rPr>
          <w:lang w:val="en-US"/>
        </w:rPr>
      </w:pPr>
      <w:r w:rsidRPr="00536235">
        <w:rPr>
          <w:b/>
          <w:bCs/>
          <w:lang w:val="en-US"/>
        </w:rPr>
        <w:t>Local Air Quality Management Plans (LAQMs):</w:t>
      </w:r>
      <w:r w:rsidRPr="00536235">
        <w:rPr>
          <w:lang w:val="en-US"/>
        </w:rPr>
        <w:t> Prepared by local authorities, these plans outline the local air quality situation, identify areas exceeding limit values, and propose measures to improve air quality.</w:t>
      </w:r>
    </w:p>
    <w:p w14:paraId="3FB4BCD8" w14:textId="77777777" w:rsidR="00536235" w:rsidRPr="00536235" w:rsidRDefault="00536235" w:rsidP="00536235">
      <w:pPr>
        <w:numPr>
          <w:ilvl w:val="0"/>
          <w:numId w:val="46"/>
        </w:numPr>
        <w:rPr>
          <w:lang w:val="en-US"/>
        </w:rPr>
      </w:pPr>
      <w:r w:rsidRPr="00536235">
        <w:rPr>
          <w:b/>
          <w:bCs/>
          <w:lang w:val="en-US"/>
        </w:rPr>
        <w:t>Supplementary Measures:</w:t>
      </w:r>
      <w:r w:rsidRPr="00536235">
        <w:rPr>
          <w:lang w:val="en-US"/>
        </w:rPr>
        <w:t> Local authorities can implement additional measures beyond national policies, such as:</w:t>
      </w:r>
    </w:p>
    <w:p w14:paraId="13BD7BFE" w14:textId="77777777" w:rsidR="00536235" w:rsidRPr="00536235" w:rsidRDefault="00536235" w:rsidP="00536235">
      <w:pPr>
        <w:numPr>
          <w:ilvl w:val="1"/>
          <w:numId w:val="46"/>
        </w:numPr>
        <w:rPr>
          <w:lang w:val="en-US"/>
        </w:rPr>
      </w:pPr>
      <w:r w:rsidRPr="00536235">
        <w:rPr>
          <w:b/>
          <w:bCs/>
          <w:lang w:val="en-US"/>
        </w:rPr>
        <w:t>Low-traffic neighbourhoods (LTNs):</w:t>
      </w:r>
      <w:r w:rsidRPr="00536235">
        <w:rPr>
          <w:lang w:val="en-US"/>
        </w:rPr>
        <w:t> Areas with restricted vehicle access to improve air quality and encourage walking and cycling.</w:t>
      </w:r>
    </w:p>
    <w:p w14:paraId="674A8AB9" w14:textId="77777777" w:rsidR="00536235" w:rsidRPr="00536235" w:rsidRDefault="00536235" w:rsidP="00536235">
      <w:pPr>
        <w:numPr>
          <w:ilvl w:val="1"/>
          <w:numId w:val="46"/>
        </w:numPr>
        <w:rPr>
          <w:lang w:val="en-US"/>
        </w:rPr>
      </w:pPr>
      <w:r w:rsidRPr="00536235">
        <w:rPr>
          <w:b/>
          <w:bCs/>
          <w:lang w:val="en-US"/>
        </w:rPr>
        <w:t>Public transport improvements:</w:t>
      </w:r>
      <w:r w:rsidRPr="00536235">
        <w:rPr>
          <w:lang w:val="en-US"/>
        </w:rPr>
        <w:t> Expanding and improving public transport options to reduce reliance on private vehicles.</w:t>
      </w:r>
    </w:p>
    <w:p w14:paraId="31B8D80A" w14:textId="77777777" w:rsidR="00536235" w:rsidRPr="00536235" w:rsidRDefault="00536235" w:rsidP="00536235">
      <w:pPr>
        <w:numPr>
          <w:ilvl w:val="1"/>
          <w:numId w:val="46"/>
        </w:numPr>
        <w:rPr>
          <w:lang w:val="en-US"/>
        </w:rPr>
      </w:pPr>
      <w:r w:rsidRPr="00536235">
        <w:rPr>
          <w:b/>
          <w:bCs/>
          <w:lang w:val="en-US"/>
        </w:rPr>
        <w:t>Tree planting schemes:</w:t>
      </w:r>
      <w:r w:rsidRPr="00536235">
        <w:rPr>
          <w:lang w:val="en-US"/>
        </w:rPr>
        <w:t> Trees can help to capture air pollutants and improve air quality.</w:t>
      </w:r>
    </w:p>
    <w:p w14:paraId="1B44C2A3" w14:textId="77777777" w:rsidR="00536235" w:rsidRPr="00536235" w:rsidRDefault="00536235" w:rsidP="00536235">
      <w:pPr>
        <w:rPr>
          <w:lang w:val="en-US"/>
        </w:rPr>
      </w:pPr>
      <w:r w:rsidRPr="00536235">
        <w:rPr>
          <w:b/>
          <w:bCs/>
          <w:lang w:val="en-US"/>
        </w:rPr>
        <w:t>Challenges and Future Directions:</w:t>
      </w:r>
    </w:p>
    <w:p w14:paraId="37EBBA3C" w14:textId="77777777" w:rsidR="00536235" w:rsidRPr="00536235" w:rsidRDefault="00536235" w:rsidP="00536235">
      <w:pPr>
        <w:numPr>
          <w:ilvl w:val="0"/>
          <w:numId w:val="47"/>
        </w:numPr>
        <w:rPr>
          <w:lang w:val="en-US"/>
        </w:rPr>
      </w:pPr>
      <w:r w:rsidRPr="00536235">
        <w:rPr>
          <w:b/>
          <w:bCs/>
          <w:lang w:val="en-US"/>
        </w:rPr>
        <w:t>Achieving emission reduction targets:</w:t>
      </w:r>
      <w:r w:rsidRPr="00536235">
        <w:rPr>
          <w:lang w:val="en-US"/>
        </w:rPr>
        <w:t> Meeting ambitious targets requires ongoing commitment and investment in cleaner technologies and infrastructure.</w:t>
      </w:r>
    </w:p>
    <w:p w14:paraId="69547386" w14:textId="77777777" w:rsidR="00536235" w:rsidRPr="00536235" w:rsidRDefault="00536235" w:rsidP="00536235">
      <w:pPr>
        <w:numPr>
          <w:ilvl w:val="0"/>
          <w:numId w:val="47"/>
        </w:numPr>
        <w:rPr>
          <w:lang w:val="en-US"/>
        </w:rPr>
      </w:pPr>
      <w:r w:rsidRPr="00536235">
        <w:rPr>
          <w:b/>
          <w:bCs/>
          <w:lang w:val="en-US"/>
        </w:rPr>
        <w:t>Addressing inequalities:</w:t>
      </w:r>
      <w:r w:rsidRPr="00536235">
        <w:rPr>
          <w:lang w:val="en-US"/>
        </w:rPr>
        <w:t> Air pollution impacts different communities disproportionately. Policies need to address these inequalities and ensure everyone benefits from cleaner air.</w:t>
      </w:r>
    </w:p>
    <w:p w14:paraId="67E0D2D0" w14:textId="77777777" w:rsidR="00536235" w:rsidRPr="00536235" w:rsidRDefault="00536235" w:rsidP="00536235">
      <w:pPr>
        <w:numPr>
          <w:ilvl w:val="0"/>
          <w:numId w:val="47"/>
        </w:numPr>
        <w:rPr>
          <w:lang w:val="en-US"/>
        </w:rPr>
      </w:pPr>
      <w:r w:rsidRPr="00536235">
        <w:rPr>
          <w:b/>
          <w:bCs/>
          <w:lang w:val="en-US"/>
        </w:rPr>
        <w:lastRenderedPageBreak/>
        <w:t>Data gaps:</w:t>
      </w:r>
      <w:r w:rsidRPr="00536235">
        <w:rPr>
          <w:lang w:val="en-US"/>
        </w:rPr>
        <w:t> Improving air quality monitoring and data collection is crucial for understanding the effectiveness of policies and targeting interventions effectively.</w:t>
      </w:r>
    </w:p>
    <w:p w14:paraId="10C9B188" w14:textId="77777777" w:rsidR="005A4D3A" w:rsidRDefault="00536235" w:rsidP="00536235">
      <w:pPr>
        <w:jc w:val="both"/>
        <w:rPr>
          <w:lang w:val="en-US"/>
        </w:rPr>
      </w:pPr>
      <w:r w:rsidRPr="00536235">
        <w:rPr>
          <w:lang w:val="en-US"/>
        </w:rPr>
        <w:t>National and local policies related to air quality and pollution control play a crucial role in addressing the issue. Embedding ambient air quality standards (AAQS) in legislation is important for effective air quality governance. However, there is no common legal framework for AAQS globally. To support clean air action plans, representative emissions and pollution data are needed. Various policies and strategies have been implemented worldwide, with a focus on the transportation sector</w:t>
      </w:r>
      <w:r>
        <w:rPr>
          <w:lang w:val="en-US"/>
        </w:rPr>
        <w:t>.</w:t>
      </w:r>
      <w:r w:rsidRPr="00536235">
        <w:rPr>
          <w:lang w:val="en-US"/>
        </w:rPr>
        <w:t xml:space="preserve"> Incentive, supportive, and punitive policies are commonly used, along with the adoption of renewable energy and low-pollution vehicles. Engaging with communities is essential for identifying concerns and solutions, leading to increased awareness and changes in organizational policy and practice. However, there is a need for longer-term projects and further exploration of the impact of community engagement on improving air quality and health. Guidelines from organizations like the World Health Organization (WHO) and national environmental agencies provide valuable guidance for developing and reinforcing air quality policies.</w:t>
      </w:r>
    </w:p>
    <w:p w14:paraId="0553A1C5" w14:textId="77777777" w:rsidR="00035E46" w:rsidRDefault="00035E46" w:rsidP="00536235">
      <w:pPr>
        <w:jc w:val="both"/>
      </w:pPr>
      <w:r w:rsidRPr="00035E46">
        <w:t xml:space="preserve">The UK has made significant strides in air quality management, with the introduction of the Environment Act in 1995 and the subsequent National Air Quality Strategy. This has led to the establishment of Air Quality Management Areas (AQMAs) and the implementation of remedial measures by local authorities (Elsom, 1970). However, there are still challenges in the integration and effectiveness of these policies, particularly in identifying and prioritizing problems at the local level (Longhurst, 1970). The UK can learn from the USA's institutional arrangements for air pollution control, particularly in addressing vehicle emissions and vulnerable populations (Walton, 2001). These insights can help strengthen the current policies in </w:t>
      </w:r>
      <w:r w:rsidRPr="00035E46">
        <w:lastRenderedPageBreak/>
        <w:t>Sunford, England, and ensure they align with international guidelines from organizations like the WHO.</w:t>
      </w:r>
    </w:p>
    <w:p w14:paraId="3D684CC1" w14:textId="6C8D571B" w:rsidR="00330483" w:rsidRPr="00330483" w:rsidRDefault="00330483" w:rsidP="00536235">
      <w:pPr>
        <w:jc w:val="both"/>
        <w:rPr>
          <w:lang w:val="en-US"/>
        </w:rPr>
      </w:pPr>
      <w:r>
        <w:rPr>
          <w:lang w:val="en-US"/>
        </w:rPr>
        <w:br w:type="page"/>
      </w:r>
    </w:p>
    <w:p w14:paraId="4CA10DCF" w14:textId="77777777" w:rsidR="00330483" w:rsidRPr="00330483" w:rsidRDefault="00330483" w:rsidP="00330483">
      <w:pPr>
        <w:rPr>
          <w:lang w:val="en-US"/>
        </w:rPr>
      </w:pPr>
      <w:r w:rsidRPr="00330483">
        <w:rPr>
          <w:b/>
          <w:bCs/>
          <w:lang w:val="en-US"/>
        </w:rPr>
        <w:lastRenderedPageBreak/>
        <w:t>Step 3: Explore Evidence-Based Interventions</w:t>
      </w:r>
    </w:p>
    <w:p w14:paraId="599B90C5" w14:textId="011B6AE0" w:rsidR="00330483" w:rsidRDefault="00330483" w:rsidP="00330483">
      <w:pPr>
        <w:numPr>
          <w:ilvl w:val="0"/>
          <w:numId w:val="43"/>
        </w:numPr>
        <w:rPr>
          <w:lang w:val="en-US"/>
        </w:rPr>
      </w:pPr>
      <w:r w:rsidRPr="00330483">
        <w:rPr>
          <w:lang w:val="en-US"/>
        </w:rPr>
        <w:t>Investigate scientific literature and studies on effective interventions to reduce harm from ambient air pollution, especially in industrial, low-income cities. Look for evidence on interventions that have successfully improved air quality and reduced the incidence of respiratory diseases. Consider measures such as traffic management, green spaces, and pollution-free zones.</w:t>
      </w:r>
    </w:p>
    <w:p w14:paraId="70C6E782" w14:textId="02D253CB" w:rsidR="00C03429" w:rsidRDefault="00035E46" w:rsidP="00035E46">
      <w:pPr>
        <w:jc w:val="both"/>
        <w:rPr>
          <w:lang w:val="en-US"/>
        </w:rPr>
      </w:pPr>
      <w:r w:rsidRPr="00035E46">
        <w:rPr>
          <w:lang w:val="en-US"/>
        </w:rPr>
        <w:t>Effective interventions to reduce harm from ambient air pollution in industrial, low-income cities include traffic management, green spaces, and pollution-free zones. These interventions have been shown to improve air quality and reduce the incidence of respiratory diseases. Traffic rationing systems, diesel emission control policies, and industrial reforms have been effective community-level interventions in reducing air pollution and its health impacts. The creation of urban green spaces, including trees and shrubs, has been found to significantly improve air quality by reducing artificially produced pollutants. Additionally, the use of low-cost air filtration, such as MERV 14 filters, in combination with natural ventilation has been shown to increase the potential for space cooling while protecting occupants from harmful exposure to air pollution. These interventions provide both health benefits and energy efficiency, making them viable solutions for reducing air pollution in low-income cities.</w:t>
      </w:r>
    </w:p>
    <w:p w14:paraId="6DE83A8F" w14:textId="03EBA980" w:rsidR="00330483" w:rsidRPr="00330483" w:rsidRDefault="00C03429" w:rsidP="00035E46">
      <w:pPr>
        <w:jc w:val="both"/>
        <w:rPr>
          <w:lang w:val="en-US"/>
        </w:rPr>
      </w:pPr>
      <w:r w:rsidRPr="00C03429">
        <w:rPr>
          <w:lang w:val="en-US"/>
        </w:rPr>
        <w:t xml:space="preserve">A range of studies have explored interventions to reduce harm from ambient air pollution, particularly in industrial, low-income cities. Saleh (2020) and Burns (2019) both found that individual household-level interventions have limited benefits for respiratory health, and that the effectiveness of broader interventions is difficult to determine due to methodological challenges. However, Henschel (2012) and Abramson (1991) provide more positive perspectives, with Henschel (2012) reporting consistent evidence of health benefits from interventions that improve </w:t>
      </w:r>
      <w:r w:rsidRPr="00C03429">
        <w:rPr>
          <w:lang w:val="en-US"/>
        </w:rPr>
        <w:lastRenderedPageBreak/>
        <w:t>air quality, and Abramson (1991) discussing the link between air pollution and respiratory disease. These findings suggest that while individual interventions may have limited impact, broader measures to improve air quality can be effective in reducing the incidence of respiratory diseases.</w:t>
      </w:r>
      <w:r w:rsidR="00330483">
        <w:rPr>
          <w:lang w:val="en-US"/>
        </w:rPr>
        <w:br w:type="page"/>
      </w:r>
    </w:p>
    <w:p w14:paraId="400DB5D9" w14:textId="77777777" w:rsidR="00330483" w:rsidRPr="00330483" w:rsidRDefault="00330483" w:rsidP="00330483">
      <w:pPr>
        <w:rPr>
          <w:lang w:val="en-US"/>
        </w:rPr>
      </w:pPr>
      <w:r w:rsidRPr="00330483">
        <w:rPr>
          <w:b/>
          <w:bCs/>
          <w:lang w:val="en-US"/>
        </w:rPr>
        <w:lastRenderedPageBreak/>
        <w:t>Step 4: Formulate Recommendations for a Local Plan</w:t>
      </w:r>
    </w:p>
    <w:p w14:paraId="69062F54" w14:textId="77777777" w:rsidR="00330483" w:rsidRPr="00330483" w:rsidRDefault="00330483" w:rsidP="00330483">
      <w:pPr>
        <w:numPr>
          <w:ilvl w:val="0"/>
          <w:numId w:val="44"/>
        </w:numPr>
        <w:rPr>
          <w:lang w:val="en-US"/>
        </w:rPr>
      </w:pPr>
      <w:r w:rsidRPr="00330483">
        <w:rPr>
          <w:lang w:val="en-US"/>
        </w:rPr>
        <w:t>Based on the gathered data and evidence, formulate practical recommendations for a local plan in Sunford. Tailor interventions to the specific challenges and characteristics of the city. Prioritize actions that address the concerns raised by the respiratory doctors and the local campaign group. Ensure that the plan is feasible, sustainable, and aligns with existing policies.</w:t>
      </w:r>
    </w:p>
    <w:p w14:paraId="2F15B82C" w14:textId="7A86B9F5" w:rsidR="00AF5508" w:rsidRPr="0050419B" w:rsidRDefault="00AF5508" w:rsidP="0050419B"/>
    <w:sectPr w:rsidR="00AF5508" w:rsidRPr="0050419B" w:rsidSect="00F91495">
      <w:pgSz w:w="12240" w:h="15840"/>
      <w:pgMar w:top="1134"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ECA"/>
    <w:multiLevelType w:val="hybridMultilevel"/>
    <w:tmpl w:val="115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94F6A"/>
    <w:multiLevelType w:val="hybridMultilevel"/>
    <w:tmpl w:val="BC3A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E6DC1"/>
    <w:multiLevelType w:val="multilevel"/>
    <w:tmpl w:val="AAF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B00B2"/>
    <w:multiLevelType w:val="multilevel"/>
    <w:tmpl w:val="959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64FD7"/>
    <w:multiLevelType w:val="hybridMultilevel"/>
    <w:tmpl w:val="4650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82E7F"/>
    <w:multiLevelType w:val="multilevel"/>
    <w:tmpl w:val="0CAE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00C66"/>
    <w:multiLevelType w:val="multilevel"/>
    <w:tmpl w:val="D0CA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622D9"/>
    <w:multiLevelType w:val="multilevel"/>
    <w:tmpl w:val="441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92A59"/>
    <w:multiLevelType w:val="multilevel"/>
    <w:tmpl w:val="895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80965"/>
    <w:multiLevelType w:val="multilevel"/>
    <w:tmpl w:val="18246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73D8B"/>
    <w:multiLevelType w:val="hybridMultilevel"/>
    <w:tmpl w:val="9632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7F2897"/>
    <w:multiLevelType w:val="multilevel"/>
    <w:tmpl w:val="A270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C6418"/>
    <w:multiLevelType w:val="multilevel"/>
    <w:tmpl w:val="97A2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333EE"/>
    <w:multiLevelType w:val="hybridMultilevel"/>
    <w:tmpl w:val="C592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0D3F1D"/>
    <w:multiLevelType w:val="hybridMultilevel"/>
    <w:tmpl w:val="E388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93EE2"/>
    <w:multiLevelType w:val="hybridMultilevel"/>
    <w:tmpl w:val="3C60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E1040"/>
    <w:multiLevelType w:val="multilevel"/>
    <w:tmpl w:val="2D0C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B184D"/>
    <w:multiLevelType w:val="multilevel"/>
    <w:tmpl w:val="DC74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B2301"/>
    <w:multiLevelType w:val="multilevel"/>
    <w:tmpl w:val="1F1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56D26"/>
    <w:multiLevelType w:val="multilevel"/>
    <w:tmpl w:val="159A2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CD648E"/>
    <w:multiLevelType w:val="hybridMultilevel"/>
    <w:tmpl w:val="7B48F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AB1B15"/>
    <w:multiLevelType w:val="multilevel"/>
    <w:tmpl w:val="38A2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CD4844"/>
    <w:multiLevelType w:val="multilevel"/>
    <w:tmpl w:val="400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81054"/>
    <w:multiLevelType w:val="multilevel"/>
    <w:tmpl w:val="280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893D34"/>
    <w:multiLevelType w:val="multilevel"/>
    <w:tmpl w:val="892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7E595E"/>
    <w:multiLevelType w:val="multilevel"/>
    <w:tmpl w:val="4BE2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522949"/>
    <w:multiLevelType w:val="multilevel"/>
    <w:tmpl w:val="3678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5473FA"/>
    <w:multiLevelType w:val="multilevel"/>
    <w:tmpl w:val="10B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7390F"/>
    <w:multiLevelType w:val="multilevel"/>
    <w:tmpl w:val="5400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9B6955"/>
    <w:multiLevelType w:val="multilevel"/>
    <w:tmpl w:val="7C1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C80CA9"/>
    <w:multiLevelType w:val="multilevel"/>
    <w:tmpl w:val="A0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A36026"/>
    <w:multiLevelType w:val="multilevel"/>
    <w:tmpl w:val="CCFC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957522"/>
    <w:multiLevelType w:val="multilevel"/>
    <w:tmpl w:val="B554F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0F5269"/>
    <w:multiLevelType w:val="multilevel"/>
    <w:tmpl w:val="77DEE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4242D"/>
    <w:multiLevelType w:val="multilevel"/>
    <w:tmpl w:val="094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E7F17"/>
    <w:multiLevelType w:val="multilevel"/>
    <w:tmpl w:val="EE5A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B57144"/>
    <w:multiLevelType w:val="multilevel"/>
    <w:tmpl w:val="018C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5B114C"/>
    <w:multiLevelType w:val="hybridMultilevel"/>
    <w:tmpl w:val="9A0E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6F425C"/>
    <w:multiLevelType w:val="multilevel"/>
    <w:tmpl w:val="2F48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6679D2"/>
    <w:multiLevelType w:val="multilevel"/>
    <w:tmpl w:val="6FD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320FDB"/>
    <w:multiLevelType w:val="hybridMultilevel"/>
    <w:tmpl w:val="D35E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657F66"/>
    <w:multiLevelType w:val="multilevel"/>
    <w:tmpl w:val="876A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85002"/>
    <w:multiLevelType w:val="multilevel"/>
    <w:tmpl w:val="2BE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5D1143"/>
    <w:multiLevelType w:val="multilevel"/>
    <w:tmpl w:val="E02C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17F5B"/>
    <w:multiLevelType w:val="multilevel"/>
    <w:tmpl w:val="4BC0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82BB5"/>
    <w:multiLevelType w:val="multilevel"/>
    <w:tmpl w:val="DBFE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232663"/>
    <w:multiLevelType w:val="multilevel"/>
    <w:tmpl w:val="CE7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029574">
    <w:abstractNumId w:val="1"/>
  </w:num>
  <w:num w:numId="2" w16cid:durableId="1534032983">
    <w:abstractNumId w:val="37"/>
  </w:num>
  <w:num w:numId="3" w16cid:durableId="522474938">
    <w:abstractNumId w:val="10"/>
  </w:num>
  <w:num w:numId="4" w16cid:durableId="226259912">
    <w:abstractNumId w:val="4"/>
  </w:num>
  <w:num w:numId="5" w16cid:durableId="994188399">
    <w:abstractNumId w:val="12"/>
  </w:num>
  <w:num w:numId="6" w16cid:durableId="1062555754">
    <w:abstractNumId w:val="3"/>
  </w:num>
  <w:num w:numId="7" w16cid:durableId="1110973070">
    <w:abstractNumId w:val="22"/>
  </w:num>
  <w:num w:numId="8" w16cid:durableId="1824082534">
    <w:abstractNumId w:val="41"/>
  </w:num>
  <w:num w:numId="9" w16cid:durableId="316685726">
    <w:abstractNumId w:val="38"/>
  </w:num>
  <w:num w:numId="10" w16cid:durableId="293827381">
    <w:abstractNumId w:val="17"/>
  </w:num>
  <w:num w:numId="11" w16cid:durableId="1818255970">
    <w:abstractNumId w:val="13"/>
  </w:num>
  <w:num w:numId="12" w16cid:durableId="373777772">
    <w:abstractNumId w:val="15"/>
  </w:num>
  <w:num w:numId="13" w16cid:durableId="1554728656">
    <w:abstractNumId w:val="9"/>
  </w:num>
  <w:num w:numId="14" w16cid:durableId="1781029922">
    <w:abstractNumId w:val="32"/>
  </w:num>
  <w:num w:numId="15" w16cid:durableId="2083407789">
    <w:abstractNumId w:val="14"/>
  </w:num>
  <w:num w:numId="16" w16cid:durableId="327444778">
    <w:abstractNumId w:val="20"/>
  </w:num>
  <w:num w:numId="17" w16cid:durableId="1105078322">
    <w:abstractNumId w:val="19"/>
  </w:num>
  <w:num w:numId="18" w16cid:durableId="1921403853">
    <w:abstractNumId w:val="30"/>
  </w:num>
  <w:num w:numId="19" w16cid:durableId="2004815556">
    <w:abstractNumId w:val="29"/>
  </w:num>
  <w:num w:numId="20" w16cid:durableId="102530579">
    <w:abstractNumId w:val="24"/>
  </w:num>
  <w:num w:numId="21" w16cid:durableId="302588070">
    <w:abstractNumId w:val="45"/>
  </w:num>
  <w:num w:numId="22" w16cid:durableId="1521510882">
    <w:abstractNumId w:val="27"/>
  </w:num>
  <w:num w:numId="23" w16cid:durableId="2006661683">
    <w:abstractNumId w:val="35"/>
  </w:num>
  <w:num w:numId="24" w16cid:durableId="2135365573">
    <w:abstractNumId w:val="39"/>
  </w:num>
  <w:num w:numId="25" w16cid:durableId="418908467">
    <w:abstractNumId w:val="18"/>
  </w:num>
  <w:num w:numId="26" w16cid:durableId="722145177">
    <w:abstractNumId w:val="0"/>
  </w:num>
  <w:num w:numId="27" w16cid:durableId="1295598495">
    <w:abstractNumId w:val="40"/>
  </w:num>
  <w:num w:numId="28" w16cid:durableId="1766925141">
    <w:abstractNumId w:val="21"/>
  </w:num>
  <w:num w:numId="29" w16cid:durableId="1435131237">
    <w:abstractNumId w:val="26"/>
  </w:num>
  <w:num w:numId="30" w16cid:durableId="477693170">
    <w:abstractNumId w:val="25"/>
  </w:num>
  <w:num w:numId="31" w16cid:durableId="1539779877">
    <w:abstractNumId w:val="46"/>
  </w:num>
  <w:num w:numId="32" w16cid:durableId="2067603304">
    <w:abstractNumId w:val="8"/>
  </w:num>
  <w:num w:numId="33" w16cid:durableId="1162545996">
    <w:abstractNumId w:val="2"/>
  </w:num>
  <w:num w:numId="34" w16cid:durableId="1928348845">
    <w:abstractNumId w:val="7"/>
  </w:num>
  <w:num w:numId="35" w16cid:durableId="1225795132">
    <w:abstractNumId w:val="44"/>
  </w:num>
  <w:num w:numId="36" w16cid:durableId="1004891596">
    <w:abstractNumId w:val="6"/>
  </w:num>
  <w:num w:numId="37" w16cid:durableId="1570194951">
    <w:abstractNumId w:val="11"/>
  </w:num>
  <w:num w:numId="38" w16cid:durableId="1350253769">
    <w:abstractNumId w:val="31"/>
  </w:num>
  <w:num w:numId="39" w16cid:durableId="1355039773">
    <w:abstractNumId w:val="16"/>
  </w:num>
  <w:num w:numId="40" w16cid:durableId="676426649">
    <w:abstractNumId w:val="34"/>
  </w:num>
  <w:num w:numId="41" w16cid:durableId="729811254">
    <w:abstractNumId w:val="42"/>
  </w:num>
  <w:num w:numId="42" w16cid:durableId="891304068">
    <w:abstractNumId w:val="5"/>
  </w:num>
  <w:num w:numId="43" w16cid:durableId="1042558422">
    <w:abstractNumId w:val="36"/>
  </w:num>
  <w:num w:numId="44" w16cid:durableId="942298830">
    <w:abstractNumId w:val="23"/>
  </w:num>
  <w:num w:numId="45" w16cid:durableId="1445004559">
    <w:abstractNumId w:val="33"/>
  </w:num>
  <w:num w:numId="46" w16cid:durableId="783420946">
    <w:abstractNumId w:val="28"/>
  </w:num>
  <w:num w:numId="47" w16cid:durableId="13788159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2A5"/>
    <w:rsid w:val="0003042D"/>
    <w:rsid w:val="00035E46"/>
    <w:rsid w:val="00040AF6"/>
    <w:rsid w:val="00081643"/>
    <w:rsid w:val="000864CC"/>
    <w:rsid w:val="00143F98"/>
    <w:rsid w:val="00151813"/>
    <w:rsid w:val="001910B0"/>
    <w:rsid w:val="001B0A9F"/>
    <w:rsid w:val="00242240"/>
    <w:rsid w:val="00274FBD"/>
    <w:rsid w:val="0028323F"/>
    <w:rsid w:val="002E0772"/>
    <w:rsid w:val="00330483"/>
    <w:rsid w:val="0033055A"/>
    <w:rsid w:val="00335BDD"/>
    <w:rsid w:val="00337789"/>
    <w:rsid w:val="00342BCE"/>
    <w:rsid w:val="00411A3C"/>
    <w:rsid w:val="00432B30"/>
    <w:rsid w:val="004C4F62"/>
    <w:rsid w:val="0050419B"/>
    <w:rsid w:val="00527CF9"/>
    <w:rsid w:val="00536235"/>
    <w:rsid w:val="00595A6C"/>
    <w:rsid w:val="005A3FF3"/>
    <w:rsid w:val="005A4D3A"/>
    <w:rsid w:val="00622C41"/>
    <w:rsid w:val="0065104A"/>
    <w:rsid w:val="006A1F42"/>
    <w:rsid w:val="006C07D8"/>
    <w:rsid w:val="006D004E"/>
    <w:rsid w:val="00884545"/>
    <w:rsid w:val="009445C4"/>
    <w:rsid w:val="00953D3E"/>
    <w:rsid w:val="00993FF6"/>
    <w:rsid w:val="00AF5508"/>
    <w:rsid w:val="00B6370C"/>
    <w:rsid w:val="00BD3AC8"/>
    <w:rsid w:val="00C03429"/>
    <w:rsid w:val="00C115A4"/>
    <w:rsid w:val="00C97680"/>
    <w:rsid w:val="00CA0FAE"/>
    <w:rsid w:val="00D254AF"/>
    <w:rsid w:val="00D752A5"/>
    <w:rsid w:val="00D85C37"/>
    <w:rsid w:val="00DB592E"/>
    <w:rsid w:val="00DE427E"/>
    <w:rsid w:val="00E30012"/>
    <w:rsid w:val="00E574CB"/>
    <w:rsid w:val="00EB5F30"/>
    <w:rsid w:val="00EC7CFF"/>
    <w:rsid w:val="00EF0D1C"/>
    <w:rsid w:val="00F553A0"/>
    <w:rsid w:val="00F9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016D"/>
  <w15:docId w15:val="{1A349E1F-5DDE-4E5B-9B06-413162F0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40"/>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6C07D8"/>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6C07D8"/>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D75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D8"/>
    <w:rPr>
      <w:rFonts w:ascii="Times New Roman" w:eastAsiaTheme="majorEastAsia" w:hAnsi="Times New Roman" w:cstheme="majorBidi"/>
      <w:b/>
      <w:sz w:val="24"/>
      <w:szCs w:val="40"/>
      <w:lang w:val="en-GB"/>
    </w:rPr>
  </w:style>
  <w:style w:type="character" w:customStyle="1" w:styleId="Heading2Char">
    <w:name w:val="Heading 2 Char"/>
    <w:basedOn w:val="DefaultParagraphFont"/>
    <w:link w:val="Heading2"/>
    <w:uiPriority w:val="9"/>
    <w:rsid w:val="006C07D8"/>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D752A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752A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752A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752A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752A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752A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752A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75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2A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75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2A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752A5"/>
    <w:pPr>
      <w:spacing w:before="160"/>
      <w:jc w:val="center"/>
    </w:pPr>
    <w:rPr>
      <w:i/>
      <w:iCs/>
      <w:color w:val="404040" w:themeColor="text1" w:themeTint="BF"/>
    </w:rPr>
  </w:style>
  <w:style w:type="character" w:customStyle="1" w:styleId="QuoteChar">
    <w:name w:val="Quote Char"/>
    <w:basedOn w:val="DefaultParagraphFont"/>
    <w:link w:val="Quote"/>
    <w:uiPriority w:val="29"/>
    <w:rsid w:val="00D752A5"/>
    <w:rPr>
      <w:i/>
      <w:iCs/>
      <w:color w:val="404040" w:themeColor="text1" w:themeTint="BF"/>
      <w:lang w:val="en-GB"/>
    </w:rPr>
  </w:style>
  <w:style w:type="paragraph" w:styleId="ListParagraph">
    <w:name w:val="List Paragraph"/>
    <w:basedOn w:val="Normal"/>
    <w:uiPriority w:val="34"/>
    <w:qFormat/>
    <w:rsid w:val="00D752A5"/>
    <w:pPr>
      <w:ind w:left="720"/>
      <w:contextualSpacing/>
    </w:pPr>
  </w:style>
  <w:style w:type="character" w:styleId="IntenseEmphasis">
    <w:name w:val="Intense Emphasis"/>
    <w:basedOn w:val="DefaultParagraphFont"/>
    <w:uiPriority w:val="21"/>
    <w:qFormat/>
    <w:rsid w:val="00D752A5"/>
    <w:rPr>
      <w:i/>
      <w:iCs/>
      <w:color w:val="0F4761" w:themeColor="accent1" w:themeShade="BF"/>
    </w:rPr>
  </w:style>
  <w:style w:type="paragraph" w:styleId="IntenseQuote">
    <w:name w:val="Intense Quote"/>
    <w:basedOn w:val="Normal"/>
    <w:next w:val="Normal"/>
    <w:link w:val="IntenseQuoteChar"/>
    <w:uiPriority w:val="30"/>
    <w:qFormat/>
    <w:rsid w:val="00D75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2A5"/>
    <w:rPr>
      <w:i/>
      <w:iCs/>
      <w:color w:val="0F4761" w:themeColor="accent1" w:themeShade="BF"/>
      <w:lang w:val="en-GB"/>
    </w:rPr>
  </w:style>
  <w:style w:type="character" w:styleId="IntenseReference">
    <w:name w:val="Intense Reference"/>
    <w:basedOn w:val="DefaultParagraphFont"/>
    <w:uiPriority w:val="32"/>
    <w:qFormat/>
    <w:rsid w:val="00D752A5"/>
    <w:rPr>
      <w:b/>
      <w:bCs/>
      <w:smallCaps/>
      <w:color w:val="0F4761" w:themeColor="accent1" w:themeShade="BF"/>
      <w:spacing w:val="5"/>
    </w:rPr>
  </w:style>
  <w:style w:type="paragraph" w:styleId="NormalWeb">
    <w:name w:val="Normal (Web)"/>
    <w:basedOn w:val="Normal"/>
    <w:uiPriority w:val="99"/>
    <w:semiHidden/>
    <w:unhideWhenUsed/>
    <w:rsid w:val="006D004E"/>
    <w:pPr>
      <w:spacing w:before="100" w:beforeAutospacing="1" w:after="100" w:afterAutospacing="1" w:line="240" w:lineRule="auto"/>
    </w:pPr>
    <w:rPr>
      <w:rFonts w:eastAsia="Times New Roman" w:cs="Times New Roman"/>
      <w:kern w:val="0"/>
      <w:szCs w:val="24"/>
      <w:lang w:val="en-US"/>
      <w14:ligatures w14:val="none"/>
    </w:rPr>
  </w:style>
  <w:style w:type="character" w:styleId="Hyperlink">
    <w:name w:val="Hyperlink"/>
    <w:basedOn w:val="DefaultParagraphFont"/>
    <w:uiPriority w:val="99"/>
    <w:unhideWhenUsed/>
    <w:rsid w:val="006D004E"/>
    <w:rPr>
      <w:color w:val="0000FF"/>
      <w:u w:val="single"/>
    </w:rPr>
  </w:style>
  <w:style w:type="character" w:customStyle="1" w:styleId="anchor-text">
    <w:name w:val="anchor-text"/>
    <w:basedOn w:val="DefaultParagraphFont"/>
    <w:rsid w:val="006D004E"/>
  </w:style>
  <w:style w:type="character" w:styleId="UnresolvedMention">
    <w:name w:val="Unresolved Mention"/>
    <w:basedOn w:val="DefaultParagraphFont"/>
    <w:uiPriority w:val="99"/>
    <w:semiHidden/>
    <w:unhideWhenUsed/>
    <w:rsid w:val="00C11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6937">
      <w:bodyDiv w:val="1"/>
      <w:marLeft w:val="0"/>
      <w:marRight w:val="0"/>
      <w:marTop w:val="0"/>
      <w:marBottom w:val="0"/>
      <w:divBdr>
        <w:top w:val="none" w:sz="0" w:space="0" w:color="auto"/>
        <w:left w:val="none" w:sz="0" w:space="0" w:color="auto"/>
        <w:bottom w:val="none" w:sz="0" w:space="0" w:color="auto"/>
        <w:right w:val="none" w:sz="0" w:space="0" w:color="auto"/>
      </w:divBdr>
    </w:div>
    <w:div w:id="91974180">
      <w:bodyDiv w:val="1"/>
      <w:marLeft w:val="0"/>
      <w:marRight w:val="0"/>
      <w:marTop w:val="0"/>
      <w:marBottom w:val="0"/>
      <w:divBdr>
        <w:top w:val="none" w:sz="0" w:space="0" w:color="auto"/>
        <w:left w:val="none" w:sz="0" w:space="0" w:color="auto"/>
        <w:bottom w:val="none" w:sz="0" w:space="0" w:color="auto"/>
        <w:right w:val="none" w:sz="0" w:space="0" w:color="auto"/>
      </w:divBdr>
    </w:div>
    <w:div w:id="113451838">
      <w:bodyDiv w:val="1"/>
      <w:marLeft w:val="0"/>
      <w:marRight w:val="0"/>
      <w:marTop w:val="0"/>
      <w:marBottom w:val="0"/>
      <w:divBdr>
        <w:top w:val="none" w:sz="0" w:space="0" w:color="auto"/>
        <w:left w:val="none" w:sz="0" w:space="0" w:color="auto"/>
        <w:bottom w:val="none" w:sz="0" w:space="0" w:color="auto"/>
        <w:right w:val="none" w:sz="0" w:space="0" w:color="auto"/>
      </w:divBdr>
    </w:div>
    <w:div w:id="120341509">
      <w:bodyDiv w:val="1"/>
      <w:marLeft w:val="0"/>
      <w:marRight w:val="0"/>
      <w:marTop w:val="0"/>
      <w:marBottom w:val="0"/>
      <w:divBdr>
        <w:top w:val="none" w:sz="0" w:space="0" w:color="auto"/>
        <w:left w:val="none" w:sz="0" w:space="0" w:color="auto"/>
        <w:bottom w:val="none" w:sz="0" w:space="0" w:color="auto"/>
        <w:right w:val="none" w:sz="0" w:space="0" w:color="auto"/>
      </w:divBdr>
    </w:div>
    <w:div w:id="183057532">
      <w:bodyDiv w:val="1"/>
      <w:marLeft w:val="0"/>
      <w:marRight w:val="0"/>
      <w:marTop w:val="0"/>
      <w:marBottom w:val="0"/>
      <w:divBdr>
        <w:top w:val="none" w:sz="0" w:space="0" w:color="auto"/>
        <w:left w:val="none" w:sz="0" w:space="0" w:color="auto"/>
        <w:bottom w:val="none" w:sz="0" w:space="0" w:color="auto"/>
        <w:right w:val="none" w:sz="0" w:space="0" w:color="auto"/>
      </w:divBdr>
    </w:div>
    <w:div w:id="187530861">
      <w:bodyDiv w:val="1"/>
      <w:marLeft w:val="0"/>
      <w:marRight w:val="0"/>
      <w:marTop w:val="0"/>
      <w:marBottom w:val="0"/>
      <w:divBdr>
        <w:top w:val="none" w:sz="0" w:space="0" w:color="auto"/>
        <w:left w:val="none" w:sz="0" w:space="0" w:color="auto"/>
        <w:bottom w:val="none" w:sz="0" w:space="0" w:color="auto"/>
        <w:right w:val="none" w:sz="0" w:space="0" w:color="auto"/>
      </w:divBdr>
    </w:div>
    <w:div w:id="321348185">
      <w:bodyDiv w:val="1"/>
      <w:marLeft w:val="0"/>
      <w:marRight w:val="0"/>
      <w:marTop w:val="0"/>
      <w:marBottom w:val="0"/>
      <w:divBdr>
        <w:top w:val="none" w:sz="0" w:space="0" w:color="auto"/>
        <w:left w:val="none" w:sz="0" w:space="0" w:color="auto"/>
        <w:bottom w:val="none" w:sz="0" w:space="0" w:color="auto"/>
        <w:right w:val="none" w:sz="0" w:space="0" w:color="auto"/>
      </w:divBdr>
    </w:div>
    <w:div w:id="348222699">
      <w:bodyDiv w:val="1"/>
      <w:marLeft w:val="0"/>
      <w:marRight w:val="0"/>
      <w:marTop w:val="0"/>
      <w:marBottom w:val="0"/>
      <w:divBdr>
        <w:top w:val="none" w:sz="0" w:space="0" w:color="auto"/>
        <w:left w:val="none" w:sz="0" w:space="0" w:color="auto"/>
        <w:bottom w:val="none" w:sz="0" w:space="0" w:color="auto"/>
        <w:right w:val="none" w:sz="0" w:space="0" w:color="auto"/>
      </w:divBdr>
    </w:div>
    <w:div w:id="384790758">
      <w:bodyDiv w:val="1"/>
      <w:marLeft w:val="0"/>
      <w:marRight w:val="0"/>
      <w:marTop w:val="0"/>
      <w:marBottom w:val="0"/>
      <w:divBdr>
        <w:top w:val="none" w:sz="0" w:space="0" w:color="auto"/>
        <w:left w:val="none" w:sz="0" w:space="0" w:color="auto"/>
        <w:bottom w:val="none" w:sz="0" w:space="0" w:color="auto"/>
        <w:right w:val="none" w:sz="0" w:space="0" w:color="auto"/>
      </w:divBdr>
    </w:div>
    <w:div w:id="440029119">
      <w:bodyDiv w:val="1"/>
      <w:marLeft w:val="0"/>
      <w:marRight w:val="0"/>
      <w:marTop w:val="0"/>
      <w:marBottom w:val="0"/>
      <w:divBdr>
        <w:top w:val="none" w:sz="0" w:space="0" w:color="auto"/>
        <w:left w:val="none" w:sz="0" w:space="0" w:color="auto"/>
        <w:bottom w:val="none" w:sz="0" w:space="0" w:color="auto"/>
        <w:right w:val="none" w:sz="0" w:space="0" w:color="auto"/>
      </w:divBdr>
    </w:div>
    <w:div w:id="787820068">
      <w:bodyDiv w:val="1"/>
      <w:marLeft w:val="0"/>
      <w:marRight w:val="0"/>
      <w:marTop w:val="0"/>
      <w:marBottom w:val="0"/>
      <w:divBdr>
        <w:top w:val="none" w:sz="0" w:space="0" w:color="auto"/>
        <w:left w:val="none" w:sz="0" w:space="0" w:color="auto"/>
        <w:bottom w:val="none" w:sz="0" w:space="0" w:color="auto"/>
        <w:right w:val="none" w:sz="0" w:space="0" w:color="auto"/>
      </w:divBdr>
    </w:div>
    <w:div w:id="914625969">
      <w:bodyDiv w:val="1"/>
      <w:marLeft w:val="0"/>
      <w:marRight w:val="0"/>
      <w:marTop w:val="0"/>
      <w:marBottom w:val="0"/>
      <w:divBdr>
        <w:top w:val="none" w:sz="0" w:space="0" w:color="auto"/>
        <w:left w:val="none" w:sz="0" w:space="0" w:color="auto"/>
        <w:bottom w:val="none" w:sz="0" w:space="0" w:color="auto"/>
        <w:right w:val="none" w:sz="0" w:space="0" w:color="auto"/>
      </w:divBdr>
    </w:div>
    <w:div w:id="946229855">
      <w:bodyDiv w:val="1"/>
      <w:marLeft w:val="0"/>
      <w:marRight w:val="0"/>
      <w:marTop w:val="0"/>
      <w:marBottom w:val="0"/>
      <w:divBdr>
        <w:top w:val="none" w:sz="0" w:space="0" w:color="auto"/>
        <w:left w:val="none" w:sz="0" w:space="0" w:color="auto"/>
        <w:bottom w:val="none" w:sz="0" w:space="0" w:color="auto"/>
        <w:right w:val="none" w:sz="0" w:space="0" w:color="auto"/>
      </w:divBdr>
    </w:div>
    <w:div w:id="960845565">
      <w:bodyDiv w:val="1"/>
      <w:marLeft w:val="0"/>
      <w:marRight w:val="0"/>
      <w:marTop w:val="0"/>
      <w:marBottom w:val="0"/>
      <w:divBdr>
        <w:top w:val="none" w:sz="0" w:space="0" w:color="auto"/>
        <w:left w:val="none" w:sz="0" w:space="0" w:color="auto"/>
        <w:bottom w:val="none" w:sz="0" w:space="0" w:color="auto"/>
        <w:right w:val="none" w:sz="0" w:space="0" w:color="auto"/>
      </w:divBdr>
    </w:div>
    <w:div w:id="1155606414">
      <w:bodyDiv w:val="1"/>
      <w:marLeft w:val="0"/>
      <w:marRight w:val="0"/>
      <w:marTop w:val="0"/>
      <w:marBottom w:val="0"/>
      <w:divBdr>
        <w:top w:val="none" w:sz="0" w:space="0" w:color="auto"/>
        <w:left w:val="none" w:sz="0" w:space="0" w:color="auto"/>
        <w:bottom w:val="none" w:sz="0" w:space="0" w:color="auto"/>
        <w:right w:val="none" w:sz="0" w:space="0" w:color="auto"/>
      </w:divBdr>
    </w:div>
    <w:div w:id="1195387761">
      <w:bodyDiv w:val="1"/>
      <w:marLeft w:val="0"/>
      <w:marRight w:val="0"/>
      <w:marTop w:val="0"/>
      <w:marBottom w:val="0"/>
      <w:divBdr>
        <w:top w:val="none" w:sz="0" w:space="0" w:color="auto"/>
        <w:left w:val="none" w:sz="0" w:space="0" w:color="auto"/>
        <w:bottom w:val="none" w:sz="0" w:space="0" w:color="auto"/>
        <w:right w:val="none" w:sz="0" w:space="0" w:color="auto"/>
      </w:divBdr>
    </w:div>
    <w:div w:id="1387298413">
      <w:bodyDiv w:val="1"/>
      <w:marLeft w:val="0"/>
      <w:marRight w:val="0"/>
      <w:marTop w:val="0"/>
      <w:marBottom w:val="0"/>
      <w:divBdr>
        <w:top w:val="none" w:sz="0" w:space="0" w:color="auto"/>
        <w:left w:val="none" w:sz="0" w:space="0" w:color="auto"/>
        <w:bottom w:val="none" w:sz="0" w:space="0" w:color="auto"/>
        <w:right w:val="none" w:sz="0" w:space="0" w:color="auto"/>
      </w:divBdr>
    </w:div>
    <w:div w:id="1500460440">
      <w:bodyDiv w:val="1"/>
      <w:marLeft w:val="0"/>
      <w:marRight w:val="0"/>
      <w:marTop w:val="0"/>
      <w:marBottom w:val="0"/>
      <w:divBdr>
        <w:top w:val="none" w:sz="0" w:space="0" w:color="auto"/>
        <w:left w:val="none" w:sz="0" w:space="0" w:color="auto"/>
        <w:bottom w:val="none" w:sz="0" w:space="0" w:color="auto"/>
        <w:right w:val="none" w:sz="0" w:space="0" w:color="auto"/>
      </w:divBdr>
      <w:divsChild>
        <w:div w:id="2089301722">
          <w:marLeft w:val="0"/>
          <w:marRight w:val="0"/>
          <w:marTop w:val="400"/>
          <w:marBottom w:val="400"/>
          <w:divBdr>
            <w:top w:val="none" w:sz="0" w:space="0" w:color="auto"/>
            <w:left w:val="none" w:sz="0" w:space="0" w:color="auto"/>
            <w:bottom w:val="none" w:sz="0" w:space="0" w:color="auto"/>
            <w:right w:val="none" w:sz="0" w:space="0" w:color="auto"/>
          </w:divBdr>
        </w:div>
        <w:div w:id="2143814266">
          <w:marLeft w:val="0"/>
          <w:marRight w:val="0"/>
          <w:marTop w:val="400"/>
          <w:marBottom w:val="400"/>
          <w:divBdr>
            <w:top w:val="none" w:sz="0" w:space="0" w:color="auto"/>
            <w:left w:val="none" w:sz="0" w:space="0" w:color="auto"/>
            <w:bottom w:val="none" w:sz="0" w:space="0" w:color="auto"/>
            <w:right w:val="none" w:sz="0" w:space="0" w:color="auto"/>
          </w:divBdr>
        </w:div>
      </w:divsChild>
    </w:div>
    <w:div w:id="1517575638">
      <w:bodyDiv w:val="1"/>
      <w:marLeft w:val="0"/>
      <w:marRight w:val="0"/>
      <w:marTop w:val="0"/>
      <w:marBottom w:val="0"/>
      <w:divBdr>
        <w:top w:val="none" w:sz="0" w:space="0" w:color="auto"/>
        <w:left w:val="none" w:sz="0" w:space="0" w:color="auto"/>
        <w:bottom w:val="none" w:sz="0" w:space="0" w:color="auto"/>
        <w:right w:val="none" w:sz="0" w:space="0" w:color="auto"/>
      </w:divBdr>
    </w:div>
    <w:div w:id="1617174233">
      <w:bodyDiv w:val="1"/>
      <w:marLeft w:val="0"/>
      <w:marRight w:val="0"/>
      <w:marTop w:val="0"/>
      <w:marBottom w:val="0"/>
      <w:divBdr>
        <w:top w:val="none" w:sz="0" w:space="0" w:color="auto"/>
        <w:left w:val="none" w:sz="0" w:space="0" w:color="auto"/>
        <w:bottom w:val="none" w:sz="0" w:space="0" w:color="auto"/>
        <w:right w:val="none" w:sz="0" w:space="0" w:color="auto"/>
      </w:divBdr>
    </w:div>
    <w:div w:id="1739014374">
      <w:bodyDiv w:val="1"/>
      <w:marLeft w:val="0"/>
      <w:marRight w:val="0"/>
      <w:marTop w:val="0"/>
      <w:marBottom w:val="0"/>
      <w:divBdr>
        <w:top w:val="none" w:sz="0" w:space="0" w:color="auto"/>
        <w:left w:val="none" w:sz="0" w:space="0" w:color="auto"/>
        <w:bottom w:val="none" w:sz="0" w:space="0" w:color="auto"/>
        <w:right w:val="none" w:sz="0" w:space="0" w:color="auto"/>
      </w:divBdr>
    </w:div>
    <w:div w:id="1744258725">
      <w:bodyDiv w:val="1"/>
      <w:marLeft w:val="0"/>
      <w:marRight w:val="0"/>
      <w:marTop w:val="0"/>
      <w:marBottom w:val="0"/>
      <w:divBdr>
        <w:top w:val="none" w:sz="0" w:space="0" w:color="auto"/>
        <w:left w:val="none" w:sz="0" w:space="0" w:color="auto"/>
        <w:bottom w:val="none" w:sz="0" w:space="0" w:color="auto"/>
        <w:right w:val="none" w:sz="0" w:space="0" w:color="auto"/>
      </w:divBdr>
    </w:div>
    <w:div w:id="1817916012">
      <w:bodyDiv w:val="1"/>
      <w:marLeft w:val="0"/>
      <w:marRight w:val="0"/>
      <w:marTop w:val="0"/>
      <w:marBottom w:val="0"/>
      <w:divBdr>
        <w:top w:val="none" w:sz="0" w:space="0" w:color="auto"/>
        <w:left w:val="none" w:sz="0" w:space="0" w:color="auto"/>
        <w:bottom w:val="none" w:sz="0" w:space="0" w:color="auto"/>
        <w:right w:val="none" w:sz="0" w:space="0" w:color="auto"/>
      </w:divBdr>
    </w:div>
    <w:div w:id="1863787246">
      <w:bodyDiv w:val="1"/>
      <w:marLeft w:val="0"/>
      <w:marRight w:val="0"/>
      <w:marTop w:val="0"/>
      <w:marBottom w:val="0"/>
      <w:divBdr>
        <w:top w:val="none" w:sz="0" w:space="0" w:color="auto"/>
        <w:left w:val="none" w:sz="0" w:space="0" w:color="auto"/>
        <w:bottom w:val="none" w:sz="0" w:space="0" w:color="auto"/>
        <w:right w:val="none" w:sz="0" w:space="0" w:color="auto"/>
      </w:divBdr>
    </w:div>
    <w:div w:id="1918973546">
      <w:bodyDiv w:val="1"/>
      <w:marLeft w:val="0"/>
      <w:marRight w:val="0"/>
      <w:marTop w:val="0"/>
      <w:marBottom w:val="0"/>
      <w:divBdr>
        <w:top w:val="none" w:sz="0" w:space="0" w:color="auto"/>
        <w:left w:val="none" w:sz="0" w:space="0" w:color="auto"/>
        <w:bottom w:val="none" w:sz="0" w:space="0" w:color="auto"/>
        <w:right w:val="none" w:sz="0" w:space="0" w:color="auto"/>
      </w:divBdr>
      <w:divsChild>
        <w:div w:id="1598101055">
          <w:marLeft w:val="0"/>
          <w:marRight w:val="0"/>
          <w:marTop w:val="0"/>
          <w:marBottom w:val="4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10</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cp:revision>
  <dcterms:created xsi:type="dcterms:W3CDTF">2024-02-22T19:45:00Z</dcterms:created>
  <dcterms:modified xsi:type="dcterms:W3CDTF">2024-02-24T10:46:00Z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id="B5oz3mAM"/&gt;&lt;style id="http://www.zotero.org/styles/harvard-cite-them-right" hasBibliography="1" bibliographyStyleHasBeenSet="0"/&gt;&lt;prefs&gt;&lt;pref name="fieldType" value="Field"/&gt;&lt;/prefs&gt;&lt;/data&gt;</vt:lpwstr>
  </property>
</Properties>
</file>