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6511B" w14:textId="77777777" w:rsidR="00282F59" w:rsidRPr="00282F59" w:rsidRDefault="00282F59" w:rsidP="00282F59">
      <w:pPr>
        <w:pStyle w:val="TableParagraph"/>
        <w:spacing w:line="444" w:lineRule="exact"/>
        <w:ind w:right="2"/>
        <w:jc w:val="center"/>
        <w:rPr>
          <w:b/>
          <w:bCs/>
          <w:sz w:val="36"/>
          <w:szCs w:val="36"/>
        </w:rPr>
      </w:pPr>
      <w:r w:rsidRPr="00282F59">
        <w:rPr>
          <w:b/>
          <w:bCs/>
          <w:sz w:val="36"/>
          <w:szCs w:val="36"/>
        </w:rPr>
        <w:t>The</w:t>
      </w:r>
      <w:r w:rsidRPr="00282F59">
        <w:rPr>
          <w:b/>
          <w:bCs/>
          <w:spacing w:val="-7"/>
          <w:sz w:val="36"/>
          <w:szCs w:val="36"/>
        </w:rPr>
        <w:t xml:space="preserve"> </w:t>
      </w:r>
      <w:r w:rsidRPr="00282F59">
        <w:rPr>
          <w:b/>
          <w:bCs/>
          <w:sz w:val="36"/>
          <w:szCs w:val="36"/>
        </w:rPr>
        <w:t>Effect</w:t>
      </w:r>
      <w:r w:rsidRPr="00282F59">
        <w:rPr>
          <w:b/>
          <w:bCs/>
          <w:spacing w:val="-10"/>
          <w:sz w:val="36"/>
          <w:szCs w:val="36"/>
        </w:rPr>
        <w:t xml:space="preserve"> </w:t>
      </w:r>
      <w:r w:rsidRPr="00282F59">
        <w:rPr>
          <w:b/>
          <w:bCs/>
          <w:sz w:val="36"/>
          <w:szCs w:val="36"/>
        </w:rPr>
        <w:t>of</w:t>
      </w:r>
      <w:r w:rsidRPr="00282F59">
        <w:rPr>
          <w:b/>
          <w:bCs/>
          <w:spacing w:val="-10"/>
          <w:sz w:val="36"/>
          <w:szCs w:val="36"/>
        </w:rPr>
        <w:t xml:space="preserve"> </w:t>
      </w:r>
      <w:r w:rsidRPr="00282F59">
        <w:rPr>
          <w:b/>
          <w:bCs/>
          <w:sz w:val="36"/>
          <w:szCs w:val="36"/>
        </w:rPr>
        <w:t>Dividend</w:t>
      </w:r>
      <w:r w:rsidRPr="00282F59">
        <w:rPr>
          <w:b/>
          <w:bCs/>
          <w:spacing w:val="-7"/>
          <w:sz w:val="36"/>
          <w:szCs w:val="36"/>
        </w:rPr>
        <w:t xml:space="preserve"> </w:t>
      </w:r>
      <w:r w:rsidRPr="00282F59">
        <w:rPr>
          <w:b/>
          <w:bCs/>
          <w:sz w:val="36"/>
          <w:szCs w:val="36"/>
        </w:rPr>
        <w:t>Policy,</w:t>
      </w:r>
      <w:r w:rsidRPr="00282F59">
        <w:rPr>
          <w:b/>
          <w:bCs/>
          <w:spacing w:val="-8"/>
          <w:sz w:val="36"/>
          <w:szCs w:val="36"/>
        </w:rPr>
        <w:t xml:space="preserve"> </w:t>
      </w:r>
      <w:r w:rsidRPr="00282F59">
        <w:rPr>
          <w:b/>
          <w:bCs/>
          <w:sz w:val="36"/>
          <w:szCs w:val="36"/>
        </w:rPr>
        <w:t>Investment</w:t>
      </w:r>
      <w:r w:rsidRPr="00282F59">
        <w:rPr>
          <w:b/>
          <w:bCs/>
          <w:spacing w:val="-9"/>
          <w:sz w:val="36"/>
          <w:szCs w:val="36"/>
        </w:rPr>
        <w:t xml:space="preserve"> </w:t>
      </w:r>
      <w:r w:rsidRPr="00282F59">
        <w:rPr>
          <w:b/>
          <w:bCs/>
          <w:spacing w:val="-2"/>
          <w:sz w:val="36"/>
          <w:szCs w:val="36"/>
        </w:rPr>
        <w:t>Decision,</w:t>
      </w:r>
    </w:p>
    <w:p w14:paraId="2CB7AFE9" w14:textId="3D824D8E" w:rsidR="005D1AC1" w:rsidRPr="00282F59" w:rsidRDefault="00282F59" w:rsidP="00282F59">
      <w:pPr>
        <w:pStyle w:val="BodyText"/>
        <w:spacing w:before="4"/>
        <w:jc w:val="center"/>
        <w:rPr>
          <w:b/>
          <w:bCs/>
          <w:sz w:val="36"/>
          <w:szCs w:val="36"/>
        </w:rPr>
      </w:pPr>
      <w:r w:rsidRPr="00282F59">
        <w:rPr>
          <w:b/>
          <w:bCs/>
          <w:sz w:val="36"/>
          <w:szCs w:val="36"/>
        </w:rPr>
        <w:t>Leverage,</w:t>
      </w:r>
      <w:r w:rsidRPr="00282F59">
        <w:rPr>
          <w:b/>
          <w:bCs/>
          <w:spacing w:val="-13"/>
          <w:sz w:val="36"/>
          <w:szCs w:val="36"/>
        </w:rPr>
        <w:t xml:space="preserve"> </w:t>
      </w:r>
      <w:r w:rsidRPr="00282F59">
        <w:rPr>
          <w:b/>
          <w:bCs/>
          <w:sz w:val="36"/>
          <w:szCs w:val="36"/>
        </w:rPr>
        <w:t>Profitability,</w:t>
      </w:r>
      <w:r w:rsidRPr="00282F59">
        <w:rPr>
          <w:b/>
          <w:bCs/>
          <w:spacing w:val="-10"/>
          <w:sz w:val="36"/>
          <w:szCs w:val="36"/>
        </w:rPr>
        <w:t xml:space="preserve"> </w:t>
      </w:r>
      <w:r w:rsidRPr="00282F59">
        <w:rPr>
          <w:b/>
          <w:bCs/>
          <w:sz w:val="36"/>
          <w:szCs w:val="36"/>
        </w:rPr>
        <w:t>and</w:t>
      </w:r>
      <w:r w:rsidRPr="00282F59">
        <w:rPr>
          <w:b/>
          <w:bCs/>
          <w:spacing w:val="-13"/>
          <w:sz w:val="36"/>
          <w:szCs w:val="36"/>
        </w:rPr>
        <w:t xml:space="preserve"> </w:t>
      </w:r>
      <w:r w:rsidRPr="00282F59">
        <w:rPr>
          <w:b/>
          <w:bCs/>
          <w:sz w:val="36"/>
          <w:szCs w:val="36"/>
        </w:rPr>
        <w:t>Firm</w:t>
      </w:r>
      <w:r w:rsidRPr="00282F59">
        <w:rPr>
          <w:b/>
          <w:bCs/>
          <w:spacing w:val="-11"/>
          <w:sz w:val="36"/>
          <w:szCs w:val="36"/>
        </w:rPr>
        <w:t xml:space="preserve"> </w:t>
      </w:r>
      <w:r w:rsidRPr="00282F59">
        <w:rPr>
          <w:b/>
          <w:bCs/>
          <w:sz w:val="36"/>
          <w:szCs w:val="36"/>
        </w:rPr>
        <w:t>Size</w:t>
      </w:r>
      <w:r w:rsidRPr="00282F59">
        <w:rPr>
          <w:b/>
          <w:bCs/>
          <w:spacing w:val="-16"/>
          <w:sz w:val="36"/>
          <w:szCs w:val="36"/>
        </w:rPr>
        <w:t xml:space="preserve"> </w:t>
      </w:r>
      <w:r w:rsidRPr="00282F59">
        <w:rPr>
          <w:b/>
          <w:bCs/>
          <w:sz w:val="36"/>
          <w:szCs w:val="36"/>
        </w:rPr>
        <w:t>on Firm Value</w:t>
      </w:r>
    </w:p>
    <w:p w14:paraId="0EE2A713" w14:textId="77777777" w:rsidR="005D1AC1" w:rsidRDefault="005D1AC1">
      <w:pPr>
        <w:pStyle w:val="TableParagraph"/>
        <w:spacing w:line="240" w:lineRule="auto"/>
        <w:jc w:val="both"/>
        <w:rPr>
          <w:b/>
          <w:i/>
          <w:sz w:val="14"/>
        </w:rPr>
      </w:pPr>
    </w:p>
    <w:p w14:paraId="5C115E30" w14:textId="3143DF21" w:rsidR="00282F59" w:rsidRPr="00282F59" w:rsidRDefault="00282F59" w:rsidP="00282F59">
      <w:pPr>
        <w:pStyle w:val="TableParagraph"/>
        <w:spacing w:line="240" w:lineRule="auto"/>
        <w:jc w:val="both"/>
        <w:rPr>
          <w:b/>
          <w:iCs/>
          <w:sz w:val="20"/>
          <w:szCs w:val="20"/>
        </w:rPr>
      </w:pPr>
      <w:r>
        <w:rPr>
          <w:b/>
          <w:iCs/>
          <w:szCs w:val="36"/>
        </w:rPr>
        <w:t xml:space="preserve">   </w:t>
      </w:r>
      <w:r w:rsidRPr="00282F59">
        <w:rPr>
          <w:b/>
          <w:iCs/>
          <w:sz w:val="20"/>
          <w:szCs w:val="20"/>
        </w:rPr>
        <w:t>Abstract</w:t>
      </w:r>
    </w:p>
    <w:p w14:paraId="46A32B0F" w14:textId="77777777" w:rsidR="00282F59" w:rsidRPr="00282F59" w:rsidRDefault="00282F59" w:rsidP="00282F59">
      <w:pPr>
        <w:pStyle w:val="TableParagraph"/>
        <w:spacing w:before="120" w:line="360" w:lineRule="auto"/>
        <w:ind w:left="142" w:right="99"/>
        <w:jc w:val="both"/>
        <w:rPr>
          <w:bCs/>
          <w:sz w:val="20"/>
          <w:szCs w:val="20"/>
        </w:rPr>
      </w:pPr>
      <w:r w:rsidRPr="00282F59">
        <w:rPr>
          <w:bCs/>
          <w:sz w:val="20"/>
          <w:szCs w:val="20"/>
        </w:rPr>
        <w:t>This study aims to obtain empirical evidence related to the effect of dividend policy, investment decisions, leverage, profitability, and firm size on firm value. The population of this study is all manufacturing companies listed on the Indonesian stock exchange in 2015-2019 with 30 companies as samples. Determination of the sample in this study using the purposive sampling method. Hypothesis testing in this study uses panel data regression. The results showed that dividend policy does not affect firm value, investment decisions do not affect firm value, leverage affects positively firm value, profitability affects positively firm value, and firm</w:t>
      </w:r>
      <w:r w:rsidRPr="00282F59">
        <w:rPr>
          <w:bCs/>
          <w:spacing w:val="40"/>
          <w:sz w:val="20"/>
          <w:szCs w:val="20"/>
        </w:rPr>
        <w:t xml:space="preserve"> </w:t>
      </w:r>
      <w:r w:rsidRPr="00282F59">
        <w:rPr>
          <w:bCs/>
          <w:sz w:val="20"/>
          <w:szCs w:val="20"/>
        </w:rPr>
        <w:t>size does not affect firm value.</w:t>
      </w:r>
    </w:p>
    <w:p w14:paraId="57CF4BFE" w14:textId="7E4ED4BA" w:rsidR="00282F59" w:rsidRPr="00282F59" w:rsidRDefault="00282F59" w:rsidP="00282F59">
      <w:pPr>
        <w:pStyle w:val="TableParagraph"/>
        <w:spacing w:line="360" w:lineRule="auto"/>
        <w:jc w:val="both"/>
        <w:rPr>
          <w:b/>
          <w:iCs/>
          <w:sz w:val="20"/>
          <w:szCs w:val="20"/>
        </w:rPr>
      </w:pPr>
      <w:r w:rsidRPr="00282F59">
        <w:rPr>
          <w:rFonts w:ascii="Cambria"/>
          <w:b/>
          <w:sz w:val="20"/>
          <w:szCs w:val="20"/>
        </w:rPr>
        <w:t xml:space="preserve">    Keywords: </w:t>
      </w:r>
      <w:r w:rsidRPr="00282F59">
        <w:rPr>
          <w:sz w:val="20"/>
          <w:szCs w:val="20"/>
        </w:rPr>
        <w:t>Dividend Policy, Firm Size, Firm Value, Investment Decisions, Leverage, Profitability.</w:t>
      </w:r>
    </w:p>
    <w:p w14:paraId="28410B85" w14:textId="77777777" w:rsidR="00282F59" w:rsidRDefault="00282F59">
      <w:pPr>
        <w:pStyle w:val="TableParagraph"/>
        <w:spacing w:line="240" w:lineRule="auto"/>
        <w:jc w:val="both"/>
        <w:rPr>
          <w:b/>
          <w:i/>
          <w:sz w:val="14"/>
        </w:rPr>
      </w:pPr>
    </w:p>
    <w:p w14:paraId="638A1D8B" w14:textId="77777777" w:rsidR="00282F59" w:rsidRDefault="00282F59">
      <w:pPr>
        <w:pStyle w:val="TableParagraph"/>
        <w:spacing w:line="240" w:lineRule="auto"/>
        <w:jc w:val="both"/>
        <w:rPr>
          <w:b/>
          <w:i/>
          <w:sz w:val="14"/>
        </w:rPr>
        <w:sectPr w:rsidR="00282F59">
          <w:headerReference w:type="default" r:id="rId7"/>
          <w:footerReference w:type="default" r:id="rId8"/>
          <w:type w:val="continuous"/>
          <w:pgSz w:w="11910" w:h="16840"/>
          <w:pgMar w:top="900" w:right="708" w:bottom="680" w:left="850" w:header="14" w:footer="481" w:gutter="0"/>
          <w:pgNumType w:start="7"/>
          <w:cols w:space="720"/>
        </w:sectPr>
      </w:pPr>
    </w:p>
    <w:p w14:paraId="449C3D7B" w14:textId="77777777" w:rsidR="005D1AC1" w:rsidRDefault="00000000">
      <w:pPr>
        <w:pStyle w:val="ListParagraph"/>
        <w:numPr>
          <w:ilvl w:val="0"/>
          <w:numId w:val="6"/>
        </w:numPr>
        <w:tabs>
          <w:tab w:val="left" w:pos="2013"/>
        </w:tabs>
        <w:spacing w:before="122"/>
        <w:ind w:left="2013" w:hanging="230"/>
        <w:jc w:val="left"/>
        <w:rPr>
          <w:sz w:val="20"/>
        </w:rPr>
      </w:pPr>
      <w:r>
        <w:rPr>
          <w:smallCaps/>
          <w:spacing w:val="-2"/>
          <w:sz w:val="20"/>
        </w:rPr>
        <w:t>Introduction</w:t>
      </w:r>
    </w:p>
    <w:p w14:paraId="38EF654F" w14:textId="5FFB46C8" w:rsidR="005D1AC1" w:rsidRDefault="00000000" w:rsidP="00282F59">
      <w:pPr>
        <w:pStyle w:val="BodyText"/>
        <w:spacing w:before="120" w:line="360" w:lineRule="auto"/>
        <w:ind w:left="85" w:right="38" w:firstLine="201"/>
      </w:pPr>
      <w:r>
        <w:t>Firm value can be</w:t>
      </w:r>
      <w:r>
        <w:rPr>
          <w:spacing w:val="-3"/>
        </w:rPr>
        <w:t xml:space="preserve"> </w:t>
      </w:r>
      <w:r>
        <w:t>interpreted</w:t>
      </w:r>
      <w:r>
        <w:rPr>
          <w:spacing w:val="-1"/>
        </w:rPr>
        <w:t xml:space="preserve"> </w:t>
      </w:r>
      <w:r>
        <w:t>as</w:t>
      </w:r>
      <w:r>
        <w:rPr>
          <w:spacing w:val="-1"/>
        </w:rPr>
        <w:t xml:space="preserve"> </w:t>
      </w:r>
      <w:r>
        <w:t xml:space="preserve">market value because the firm value is able to provide welfare to shareholders in the event of an increase in stock prices (Harventy, 2016). The company in its development always tries to maintain its business excellence in increasing its value of the company (Hermawan &amp; Maf’ulah, 2014). This is because a high firm value shows an increase in investor welfare because the rate of return on investment is high. Firm value is one of the assessments that investors use to predict a company's success, and it is often related to stock prices because the higher the stock price, the higher the firm value (Mangesti Rahayu </w:t>
      </w:r>
      <w:r>
        <w:rPr>
          <w:i/>
        </w:rPr>
        <w:t>et al</w:t>
      </w:r>
      <w:r>
        <w:t>., 2020). However, during the last 3 months of 2019 the composite stock price index (CSPI) of the manufacturing</w:t>
      </w:r>
      <w:r>
        <w:rPr>
          <w:spacing w:val="-1"/>
        </w:rPr>
        <w:t xml:space="preserve"> </w:t>
      </w:r>
      <w:r>
        <w:t>sector</w:t>
      </w:r>
      <w:r>
        <w:rPr>
          <w:spacing w:val="-3"/>
        </w:rPr>
        <w:t xml:space="preserve"> </w:t>
      </w:r>
      <w:r>
        <w:t>fluctuated.</w:t>
      </w:r>
      <w:r>
        <w:rPr>
          <w:spacing w:val="-1"/>
        </w:rPr>
        <w:t xml:space="preserve"> </w:t>
      </w:r>
      <w:r>
        <w:t>Based</w:t>
      </w:r>
      <w:r>
        <w:rPr>
          <w:spacing w:val="-1"/>
        </w:rPr>
        <w:t xml:space="preserve"> </w:t>
      </w:r>
      <w:r>
        <w:t>on</w:t>
      </w:r>
      <w:r>
        <w:rPr>
          <w:spacing w:val="-1"/>
        </w:rPr>
        <w:t xml:space="preserve"> </w:t>
      </w:r>
      <w:r>
        <w:t>data</w:t>
      </w:r>
      <w:r>
        <w:rPr>
          <w:spacing w:val="-3"/>
        </w:rPr>
        <w:t xml:space="preserve"> </w:t>
      </w:r>
      <w:r>
        <w:t>from Central Bureau of Statistics (2019), in October the manufacturing sector CSPI was 1.456 and in November the manufacturing sector CSPI decreased by 1.408. Furthermore, in December the</w:t>
      </w:r>
      <w:r>
        <w:rPr>
          <w:spacing w:val="27"/>
        </w:rPr>
        <w:t xml:space="preserve"> </w:t>
      </w:r>
      <w:r>
        <w:t>manufacturing</w:t>
      </w:r>
      <w:r>
        <w:rPr>
          <w:spacing w:val="28"/>
        </w:rPr>
        <w:t xml:space="preserve"> </w:t>
      </w:r>
      <w:r>
        <w:t>sector</w:t>
      </w:r>
      <w:r>
        <w:rPr>
          <w:spacing w:val="28"/>
        </w:rPr>
        <w:t xml:space="preserve"> </w:t>
      </w:r>
      <w:r>
        <w:t>CSPI</w:t>
      </w:r>
      <w:r>
        <w:rPr>
          <w:spacing w:val="28"/>
        </w:rPr>
        <w:t xml:space="preserve"> </w:t>
      </w:r>
      <w:r>
        <w:t>experienced</w:t>
      </w:r>
      <w:r>
        <w:rPr>
          <w:spacing w:val="28"/>
        </w:rPr>
        <w:t xml:space="preserve"> </w:t>
      </w:r>
      <w:r>
        <w:t>an</w:t>
      </w:r>
      <w:r>
        <w:rPr>
          <w:spacing w:val="28"/>
        </w:rPr>
        <w:t xml:space="preserve"> </w:t>
      </w:r>
      <w:r>
        <w:t>increase</w:t>
      </w:r>
      <w:r>
        <w:rPr>
          <w:spacing w:val="28"/>
        </w:rPr>
        <w:t xml:space="preserve"> </w:t>
      </w:r>
      <w:r w:rsidR="00045BAB">
        <w:rPr>
          <w:spacing w:val="-5"/>
        </w:rPr>
        <w:t>in</w:t>
      </w:r>
    </w:p>
    <w:p w14:paraId="530E686E" w14:textId="0B4CE99F" w:rsidR="005D1AC1" w:rsidRDefault="00000000" w:rsidP="00282F59">
      <w:pPr>
        <w:pStyle w:val="BodyText"/>
        <w:spacing w:before="1" w:line="360" w:lineRule="auto"/>
        <w:ind w:left="85" w:right="38"/>
      </w:pPr>
      <w:r>
        <w:t xml:space="preserve">1.461. The </w:t>
      </w:r>
      <w:r w:rsidR="00045BAB">
        <w:t>decline in</w:t>
      </w:r>
      <w:r>
        <w:t xml:space="preserve"> CSPI in November was due to the weakening</w:t>
      </w:r>
      <w:r>
        <w:rPr>
          <w:spacing w:val="-4"/>
        </w:rPr>
        <w:t xml:space="preserve"> </w:t>
      </w:r>
      <w:r>
        <w:t>performance</w:t>
      </w:r>
      <w:r>
        <w:rPr>
          <w:spacing w:val="-2"/>
        </w:rPr>
        <w:t xml:space="preserve"> </w:t>
      </w:r>
      <w:r>
        <w:t>of</w:t>
      </w:r>
      <w:r>
        <w:rPr>
          <w:spacing w:val="-2"/>
        </w:rPr>
        <w:t xml:space="preserve"> </w:t>
      </w:r>
      <w:r>
        <w:t>the</w:t>
      </w:r>
      <w:r>
        <w:rPr>
          <w:spacing w:val="-5"/>
        </w:rPr>
        <w:t xml:space="preserve"> </w:t>
      </w:r>
      <w:r>
        <w:t>manufacturing</w:t>
      </w:r>
      <w:r>
        <w:rPr>
          <w:spacing w:val="-2"/>
        </w:rPr>
        <w:t xml:space="preserve"> </w:t>
      </w:r>
      <w:r>
        <w:t>sector</w:t>
      </w:r>
      <w:r>
        <w:rPr>
          <w:spacing w:val="-4"/>
        </w:rPr>
        <w:t xml:space="preserve"> </w:t>
      </w:r>
      <w:r>
        <w:t>due</w:t>
      </w:r>
      <w:r>
        <w:rPr>
          <w:spacing w:val="-5"/>
        </w:rPr>
        <w:t xml:space="preserve"> </w:t>
      </w:r>
      <w:r>
        <w:t>to</w:t>
      </w:r>
      <w:r>
        <w:rPr>
          <w:spacing w:val="-4"/>
        </w:rPr>
        <w:t xml:space="preserve"> </w:t>
      </w:r>
      <w:r>
        <w:t xml:space="preserve">a decline in purchasing power and demand for goods. Meanwhile, the </w:t>
      </w:r>
      <w:r w:rsidR="00045BAB">
        <w:t>increase in</w:t>
      </w:r>
      <w:r>
        <w:t xml:space="preserve"> CSPI in December was due to an increase in the level of consumer confidence and public purchasing power. The phenomenon of stock price movements will certainly have an impact on firm value because</w:t>
      </w:r>
      <w:r>
        <w:rPr>
          <w:spacing w:val="-2"/>
        </w:rPr>
        <w:t xml:space="preserve"> </w:t>
      </w:r>
      <w:r>
        <w:t>a</w:t>
      </w:r>
      <w:r>
        <w:rPr>
          <w:spacing w:val="-2"/>
        </w:rPr>
        <w:t xml:space="preserve"> </w:t>
      </w:r>
      <w:r>
        <w:t>level</w:t>
      </w:r>
      <w:r>
        <w:rPr>
          <w:spacing w:val="-2"/>
        </w:rPr>
        <w:t xml:space="preserve"> </w:t>
      </w:r>
      <w:r>
        <w:t>of</w:t>
      </w:r>
      <w:r>
        <w:rPr>
          <w:spacing w:val="-1"/>
        </w:rPr>
        <w:t xml:space="preserve"> </w:t>
      </w:r>
      <w:r>
        <w:t>stock</w:t>
      </w:r>
      <w:r>
        <w:rPr>
          <w:spacing w:val="-1"/>
        </w:rPr>
        <w:t xml:space="preserve"> </w:t>
      </w:r>
      <w:r>
        <w:t>prices</w:t>
      </w:r>
      <w:r>
        <w:rPr>
          <w:spacing w:val="-2"/>
        </w:rPr>
        <w:t xml:space="preserve"> </w:t>
      </w:r>
      <w:r>
        <w:t>can</w:t>
      </w:r>
      <w:r>
        <w:rPr>
          <w:spacing w:val="-1"/>
        </w:rPr>
        <w:t xml:space="preserve"> </w:t>
      </w:r>
      <w:r>
        <w:t>describe</w:t>
      </w:r>
      <w:r>
        <w:rPr>
          <w:spacing w:val="-2"/>
        </w:rPr>
        <w:t xml:space="preserve"> </w:t>
      </w:r>
      <w:r>
        <w:t>the</w:t>
      </w:r>
      <w:r>
        <w:rPr>
          <w:spacing w:val="-2"/>
        </w:rPr>
        <w:t xml:space="preserve"> </w:t>
      </w:r>
      <w:r>
        <w:t>market</w:t>
      </w:r>
      <w:r>
        <w:rPr>
          <w:spacing w:val="-2"/>
        </w:rPr>
        <w:t xml:space="preserve"> </w:t>
      </w:r>
      <w:r>
        <w:t>value of the company.</w:t>
      </w:r>
    </w:p>
    <w:p w14:paraId="6AC930E8" w14:textId="77777777" w:rsidR="005D1AC1" w:rsidRDefault="00000000" w:rsidP="00282F59">
      <w:pPr>
        <w:pStyle w:val="BodyText"/>
        <w:spacing w:before="1" w:line="360" w:lineRule="auto"/>
        <w:ind w:left="85" w:right="40" w:firstLine="201"/>
      </w:pPr>
      <w:r>
        <w:t xml:space="preserve">According to Ni </w:t>
      </w:r>
      <w:r>
        <w:rPr>
          <w:i/>
        </w:rPr>
        <w:t>et al</w:t>
      </w:r>
      <w:r>
        <w:t xml:space="preserve">. (2021) firm value, which the firm seeks to improve, is considered the main indicator for evaluating firm performance. In addition, Meythi </w:t>
      </w:r>
      <w:r>
        <w:rPr>
          <w:i/>
        </w:rPr>
        <w:t>et al</w:t>
      </w:r>
      <w:r>
        <w:t>. (2014)</w:t>
      </w:r>
      <w:r>
        <w:rPr>
          <w:spacing w:val="21"/>
        </w:rPr>
        <w:t xml:space="preserve"> </w:t>
      </w:r>
      <w:r>
        <w:t>also</w:t>
      </w:r>
      <w:r>
        <w:rPr>
          <w:spacing w:val="19"/>
        </w:rPr>
        <w:t xml:space="preserve"> </w:t>
      </w:r>
      <w:r>
        <w:t>revealed</w:t>
      </w:r>
      <w:r>
        <w:rPr>
          <w:spacing w:val="21"/>
        </w:rPr>
        <w:t xml:space="preserve"> </w:t>
      </w:r>
      <w:r>
        <w:t>that</w:t>
      </w:r>
      <w:r>
        <w:rPr>
          <w:spacing w:val="21"/>
        </w:rPr>
        <w:t xml:space="preserve"> </w:t>
      </w:r>
      <w:r>
        <w:t>corporate</w:t>
      </w:r>
      <w:r>
        <w:rPr>
          <w:spacing w:val="20"/>
        </w:rPr>
        <w:t xml:space="preserve"> </w:t>
      </w:r>
      <w:r>
        <w:t>value</w:t>
      </w:r>
      <w:r>
        <w:rPr>
          <w:spacing w:val="19"/>
        </w:rPr>
        <w:t xml:space="preserve"> </w:t>
      </w:r>
      <w:r>
        <w:t>is</w:t>
      </w:r>
      <w:r>
        <w:rPr>
          <w:spacing w:val="19"/>
        </w:rPr>
        <w:t xml:space="preserve"> </w:t>
      </w:r>
      <w:r>
        <w:t>very</w:t>
      </w:r>
      <w:r>
        <w:rPr>
          <w:spacing w:val="20"/>
        </w:rPr>
        <w:t xml:space="preserve"> </w:t>
      </w:r>
      <w:r>
        <w:rPr>
          <w:spacing w:val="-2"/>
        </w:rPr>
        <w:t>important</w:t>
      </w:r>
    </w:p>
    <w:p w14:paraId="4366122B" w14:textId="77777777" w:rsidR="005D1AC1" w:rsidRDefault="00000000" w:rsidP="00282F59">
      <w:pPr>
        <w:pStyle w:val="BodyText"/>
        <w:spacing w:before="2" w:line="360" w:lineRule="auto"/>
        <w:ind w:left="86" w:right="220"/>
      </w:pPr>
      <w:r>
        <w:br w:type="column"/>
      </w:r>
      <w:r>
        <w:t>because it can</w:t>
      </w:r>
      <w:r>
        <w:rPr>
          <w:spacing w:val="-1"/>
        </w:rPr>
        <w:t xml:space="preserve"> </w:t>
      </w:r>
      <w:r>
        <w:t>describe</w:t>
      </w:r>
      <w:r>
        <w:rPr>
          <w:spacing w:val="-2"/>
        </w:rPr>
        <w:t xml:space="preserve"> </w:t>
      </w:r>
      <w:r>
        <w:t>a company's performance and</w:t>
      </w:r>
      <w:r>
        <w:rPr>
          <w:spacing w:val="-1"/>
        </w:rPr>
        <w:t xml:space="preserve"> </w:t>
      </w:r>
      <w:r>
        <w:t>is able to affect an investor's assessment of the company. However, in 2019 the manufacturing industry experienced a decline in performance, where the growth of the manufacturing industry throughout 2019 only reached 3.8%. The growth of the manufacturing industry has decreased from the achievements in 2017 and 2018 which were 4.29% and 4.27%, respectively (Olivia, 2020). This clearly makes investors' perception of the company to be bad, resulting in reduced investor interest in investing and has an impact on firm value.</w:t>
      </w:r>
    </w:p>
    <w:p w14:paraId="3DD3C606" w14:textId="77777777" w:rsidR="005D1AC1" w:rsidRDefault="00000000" w:rsidP="00282F59">
      <w:pPr>
        <w:pStyle w:val="BodyText"/>
        <w:spacing w:before="1" w:line="360" w:lineRule="auto"/>
        <w:ind w:left="86" w:right="224" w:firstLine="202"/>
      </w:pPr>
      <w:r>
        <w:t>Several</w:t>
      </w:r>
      <w:r>
        <w:rPr>
          <w:spacing w:val="-3"/>
        </w:rPr>
        <w:t xml:space="preserve"> </w:t>
      </w:r>
      <w:r>
        <w:t>important</w:t>
      </w:r>
      <w:r>
        <w:rPr>
          <w:spacing w:val="-5"/>
        </w:rPr>
        <w:t xml:space="preserve"> </w:t>
      </w:r>
      <w:r>
        <w:t>decisions</w:t>
      </w:r>
      <w:r>
        <w:rPr>
          <w:spacing w:val="-3"/>
        </w:rPr>
        <w:t xml:space="preserve"> </w:t>
      </w:r>
      <w:r>
        <w:t>need</w:t>
      </w:r>
      <w:r>
        <w:rPr>
          <w:spacing w:val="-2"/>
        </w:rPr>
        <w:t xml:space="preserve"> </w:t>
      </w:r>
      <w:r>
        <w:t>to</w:t>
      </w:r>
      <w:r>
        <w:rPr>
          <w:spacing w:val="-2"/>
        </w:rPr>
        <w:t xml:space="preserve"> </w:t>
      </w:r>
      <w:r>
        <w:t>be</w:t>
      </w:r>
      <w:r>
        <w:rPr>
          <w:spacing w:val="-3"/>
        </w:rPr>
        <w:t xml:space="preserve"> </w:t>
      </w:r>
      <w:r>
        <w:t>taken</w:t>
      </w:r>
      <w:r>
        <w:rPr>
          <w:spacing w:val="-2"/>
        </w:rPr>
        <w:t xml:space="preserve"> </w:t>
      </w:r>
      <w:r>
        <w:t>in</w:t>
      </w:r>
      <w:r>
        <w:rPr>
          <w:spacing w:val="-2"/>
        </w:rPr>
        <w:t xml:space="preserve"> </w:t>
      </w:r>
      <w:r>
        <w:t>increasing firm value, namely regarding dividend policy and</w:t>
      </w:r>
      <w:r>
        <w:rPr>
          <w:spacing w:val="40"/>
        </w:rPr>
        <w:t xml:space="preserve"> </w:t>
      </w:r>
      <w:r>
        <w:t>investment decisions. The decision on Dividend policy is a procedure carried out by the company in deciding whether</w:t>
      </w:r>
      <w:r>
        <w:rPr>
          <w:spacing w:val="40"/>
        </w:rPr>
        <w:t xml:space="preserve"> </w:t>
      </w:r>
      <w:r>
        <w:t xml:space="preserve">to distribute the company's profits to shareholders in the form of dividends or to withhold the profits. According to Kim </w:t>
      </w:r>
      <w:r>
        <w:rPr>
          <w:i/>
        </w:rPr>
        <w:t>et al</w:t>
      </w:r>
      <w:r>
        <w:t>. (2020) dividends can be used as a reward for investors or to maximize the value of the company.</w:t>
      </w:r>
    </w:p>
    <w:p w14:paraId="0060BC2F" w14:textId="43BCF3BE" w:rsidR="005D1AC1" w:rsidRDefault="00000000" w:rsidP="00282F59">
      <w:pPr>
        <w:pStyle w:val="BodyText"/>
        <w:spacing w:line="360" w:lineRule="auto"/>
        <w:ind w:left="86" w:right="222" w:firstLine="202"/>
      </w:pPr>
      <w:r>
        <w:t xml:space="preserve">Investment decisions are one of the elements that </w:t>
      </w:r>
      <w:r w:rsidR="00045BAB">
        <w:t>influence</w:t>
      </w:r>
      <w:r>
        <w:t xml:space="preserve"> firm value, where Investment decisions are related to decisions regarding the allocation of funds with funding sources (internal and external), and these funds are used to achieve</w:t>
      </w:r>
      <w:r>
        <w:rPr>
          <w:spacing w:val="-2"/>
        </w:rPr>
        <w:t xml:space="preserve"> </w:t>
      </w:r>
      <w:r>
        <w:t>company</w:t>
      </w:r>
      <w:r>
        <w:rPr>
          <w:spacing w:val="-1"/>
        </w:rPr>
        <w:t xml:space="preserve"> </w:t>
      </w:r>
      <w:r>
        <w:t>goals,</w:t>
      </w:r>
      <w:r>
        <w:rPr>
          <w:spacing w:val="-2"/>
        </w:rPr>
        <w:t xml:space="preserve"> </w:t>
      </w:r>
      <w:r>
        <w:t>both</w:t>
      </w:r>
      <w:r>
        <w:rPr>
          <w:spacing w:val="-3"/>
        </w:rPr>
        <w:t xml:space="preserve"> </w:t>
      </w:r>
      <w:r>
        <w:t>short-term</w:t>
      </w:r>
      <w:r>
        <w:rPr>
          <w:spacing w:val="-1"/>
        </w:rPr>
        <w:t xml:space="preserve"> </w:t>
      </w:r>
      <w:r>
        <w:t>goals</w:t>
      </w:r>
      <w:r>
        <w:rPr>
          <w:spacing w:val="-2"/>
        </w:rPr>
        <w:t xml:space="preserve"> </w:t>
      </w:r>
      <w:r>
        <w:t>and</w:t>
      </w:r>
      <w:r>
        <w:rPr>
          <w:spacing w:val="-1"/>
        </w:rPr>
        <w:t xml:space="preserve"> </w:t>
      </w:r>
      <w:r>
        <w:t>long-term goals (Efni, 2017). Investment decisions must be made correctly</w:t>
      </w:r>
      <w:r>
        <w:rPr>
          <w:spacing w:val="-3"/>
        </w:rPr>
        <w:t xml:space="preserve"> </w:t>
      </w:r>
      <w:r w:rsidR="00045BAB">
        <w:t>to</w:t>
      </w:r>
      <w:r>
        <w:rPr>
          <w:spacing w:val="-2"/>
        </w:rPr>
        <w:t xml:space="preserve"> </w:t>
      </w:r>
      <w:r>
        <w:t>generate</w:t>
      </w:r>
      <w:r>
        <w:rPr>
          <w:spacing w:val="-5"/>
        </w:rPr>
        <w:t xml:space="preserve"> </w:t>
      </w:r>
      <w:r>
        <w:t>benefits</w:t>
      </w:r>
      <w:r>
        <w:rPr>
          <w:spacing w:val="-4"/>
        </w:rPr>
        <w:t xml:space="preserve"> </w:t>
      </w:r>
      <w:r>
        <w:t>or</w:t>
      </w:r>
      <w:r>
        <w:rPr>
          <w:spacing w:val="-3"/>
        </w:rPr>
        <w:t xml:space="preserve"> </w:t>
      </w:r>
      <w:r>
        <w:t>profits</w:t>
      </w:r>
      <w:r>
        <w:rPr>
          <w:spacing w:val="-4"/>
        </w:rPr>
        <w:t xml:space="preserve"> </w:t>
      </w:r>
      <w:r>
        <w:t>in</w:t>
      </w:r>
      <w:r>
        <w:rPr>
          <w:spacing w:val="-2"/>
        </w:rPr>
        <w:t xml:space="preserve"> </w:t>
      </w:r>
      <w:r>
        <w:t>the</w:t>
      </w:r>
      <w:r>
        <w:rPr>
          <w:spacing w:val="-3"/>
        </w:rPr>
        <w:t xml:space="preserve"> </w:t>
      </w:r>
      <w:r>
        <w:t xml:space="preserve">future. Making the right investment decisions can also help the company's business development in the </w:t>
      </w:r>
      <w:r w:rsidR="00045BAB">
        <w:t>future,</w:t>
      </w:r>
      <w:r>
        <w:t xml:space="preserve"> which can later have an impact on increasing the company's share</w:t>
      </w:r>
      <w:r>
        <w:rPr>
          <w:spacing w:val="40"/>
        </w:rPr>
        <w:t xml:space="preserve"> </w:t>
      </w:r>
      <w:r>
        <w:t>price. If the company's stock price increases, the company's value will also increase.</w:t>
      </w:r>
    </w:p>
    <w:p w14:paraId="1A200F0C" w14:textId="77777777" w:rsidR="005D1AC1" w:rsidRDefault="00000000" w:rsidP="00282F59">
      <w:pPr>
        <w:pStyle w:val="BodyText"/>
        <w:spacing w:line="360" w:lineRule="auto"/>
        <w:ind w:left="86" w:right="224" w:firstLine="202"/>
      </w:pPr>
      <w:r>
        <w:t>In addition, there is leverage, profitability, and firm size which</w:t>
      </w:r>
      <w:r>
        <w:rPr>
          <w:spacing w:val="46"/>
        </w:rPr>
        <w:t xml:space="preserve"> </w:t>
      </w:r>
      <w:r>
        <w:t>are</w:t>
      </w:r>
      <w:r>
        <w:rPr>
          <w:spacing w:val="43"/>
        </w:rPr>
        <w:t xml:space="preserve"> </w:t>
      </w:r>
      <w:r>
        <w:t>factors</w:t>
      </w:r>
      <w:r>
        <w:rPr>
          <w:spacing w:val="46"/>
        </w:rPr>
        <w:t xml:space="preserve"> </w:t>
      </w:r>
      <w:r>
        <w:t>influencing</w:t>
      </w:r>
      <w:r>
        <w:rPr>
          <w:spacing w:val="46"/>
        </w:rPr>
        <w:t xml:space="preserve"> </w:t>
      </w:r>
      <w:r>
        <w:t>firm</w:t>
      </w:r>
      <w:r>
        <w:rPr>
          <w:spacing w:val="44"/>
        </w:rPr>
        <w:t xml:space="preserve"> </w:t>
      </w:r>
      <w:r>
        <w:t>value.</w:t>
      </w:r>
      <w:r>
        <w:rPr>
          <w:spacing w:val="46"/>
        </w:rPr>
        <w:t xml:space="preserve"> </w:t>
      </w:r>
      <w:r>
        <w:t>The</w:t>
      </w:r>
      <w:r>
        <w:rPr>
          <w:spacing w:val="44"/>
        </w:rPr>
        <w:t xml:space="preserve"> </w:t>
      </w:r>
      <w:r>
        <w:t>higher</w:t>
      </w:r>
      <w:r>
        <w:rPr>
          <w:spacing w:val="46"/>
        </w:rPr>
        <w:t xml:space="preserve"> </w:t>
      </w:r>
      <w:r>
        <w:rPr>
          <w:spacing w:val="-5"/>
        </w:rPr>
        <w:t>the</w:t>
      </w:r>
    </w:p>
    <w:p w14:paraId="5AEE0D23" w14:textId="77777777" w:rsidR="005D1AC1" w:rsidRDefault="005D1AC1">
      <w:pPr>
        <w:pStyle w:val="BodyText"/>
        <w:spacing w:line="252" w:lineRule="auto"/>
        <w:sectPr w:rsidR="005D1AC1">
          <w:type w:val="continuous"/>
          <w:pgSz w:w="11910" w:h="16840"/>
          <w:pgMar w:top="900" w:right="708" w:bottom="680" w:left="850" w:header="14" w:footer="481" w:gutter="0"/>
          <w:cols w:num="2" w:space="720" w:equalWidth="0">
            <w:col w:w="5006" w:space="155"/>
            <w:col w:w="5191"/>
          </w:cols>
        </w:sectPr>
      </w:pPr>
    </w:p>
    <w:p w14:paraId="797ACE63" w14:textId="0105B9EE" w:rsidR="005D1AC1" w:rsidRDefault="00000000">
      <w:pPr>
        <w:pStyle w:val="BodyText"/>
        <w:spacing w:before="102" w:line="252" w:lineRule="auto"/>
        <w:ind w:left="85" w:right="39"/>
      </w:pPr>
      <w:r>
        <w:lastRenderedPageBreak/>
        <w:t>level of leverage indicates that the company's funding sourced from debt is getting bigger. The greater the level of corporate debt, the risk of the possibility of the company going</w:t>
      </w:r>
      <w:r>
        <w:rPr>
          <w:spacing w:val="-1"/>
        </w:rPr>
        <w:t xml:space="preserve"> </w:t>
      </w:r>
      <w:r>
        <w:t>bankrupt or</w:t>
      </w:r>
      <w:r>
        <w:rPr>
          <w:spacing w:val="-1"/>
        </w:rPr>
        <w:t xml:space="preserve"> </w:t>
      </w:r>
      <w:r>
        <w:t>defaulting</w:t>
      </w:r>
      <w:r>
        <w:rPr>
          <w:spacing w:val="-3"/>
        </w:rPr>
        <w:t xml:space="preserve"> </w:t>
      </w:r>
      <w:r>
        <w:t>will be higher, and</w:t>
      </w:r>
      <w:r>
        <w:rPr>
          <w:spacing w:val="-1"/>
        </w:rPr>
        <w:t xml:space="preserve"> </w:t>
      </w:r>
      <w:r>
        <w:t>this will get a negative response from investors. As a result, the company's stock price will decrease and the impact on firm value</w:t>
      </w:r>
      <w:r>
        <w:rPr>
          <w:spacing w:val="-1"/>
        </w:rPr>
        <w:t xml:space="preserve"> </w:t>
      </w:r>
      <w:r>
        <w:t>will also</w:t>
      </w:r>
      <w:r>
        <w:rPr>
          <w:spacing w:val="-1"/>
        </w:rPr>
        <w:t xml:space="preserve"> </w:t>
      </w:r>
      <w:r>
        <w:t>fall.</w:t>
      </w:r>
      <w:r>
        <w:rPr>
          <w:spacing w:val="-1"/>
        </w:rPr>
        <w:t xml:space="preserve"> </w:t>
      </w:r>
      <w:r>
        <w:t>However,</w:t>
      </w:r>
      <w:r>
        <w:rPr>
          <w:spacing w:val="-5"/>
        </w:rPr>
        <w:t xml:space="preserve"> </w:t>
      </w:r>
      <w:r>
        <w:t>if</w:t>
      </w:r>
      <w:r>
        <w:rPr>
          <w:spacing w:val="-1"/>
        </w:rPr>
        <w:t xml:space="preserve"> </w:t>
      </w:r>
      <w:r>
        <w:t>the</w:t>
      </w:r>
      <w:r>
        <w:rPr>
          <w:spacing w:val="-1"/>
        </w:rPr>
        <w:t xml:space="preserve"> </w:t>
      </w:r>
      <w:r>
        <w:t>company</w:t>
      </w:r>
      <w:r>
        <w:rPr>
          <w:spacing w:val="-2"/>
        </w:rPr>
        <w:t xml:space="preserve"> </w:t>
      </w:r>
      <w:r>
        <w:t>can manage</w:t>
      </w:r>
      <w:r>
        <w:rPr>
          <w:spacing w:val="-1"/>
        </w:rPr>
        <w:t xml:space="preserve"> </w:t>
      </w:r>
      <w:r>
        <w:t xml:space="preserve">its debt well then this will attract investors and will make the stock price increase so that the impact on </w:t>
      </w:r>
      <w:r w:rsidR="00045BAB">
        <w:t>the firm’s</w:t>
      </w:r>
      <w:r>
        <w:t xml:space="preserve"> value will increase. According to Nuraina (2012) To obtain a positive perception from investors which can ultimately increase the share price, the management will use leverage at an optimal </w:t>
      </w:r>
      <w:r>
        <w:rPr>
          <w:spacing w:val="-2"/>
        </w:rPr>
        <w:t>level.</w:t>
      </w:r>
    </w:p>
    <w:p w14:paraId="774C93BD" w14:textId="77777777" w:rsidR="005D1AC1" w:rsidRDefault="00000000">
      <w:pPr>
        <w:pStyle w:val="BodyText"/>
        <w:spacing w:line="252" w:lineRule="auto"/>
        <w:ind w:left="85" w:right="38" w:firstLine="201"/>
      </w:pPr>
      <w:r>
        <w:t xml:space="preserve">The amount of profitability obtained by the company can affect the value of the company (Meythi </w:t>
      </w:r>
      <w:r>
        <w:rPr>
          <w:i/>
        </w:rPr>
        <w:t>et al</w:t>
      </w:r>
      <w:r>
        <w:t>., 2014). The level of profitability that is described from the profits or profits generated by the company is information issued by the company as a signal to attract investors to invest in the company. The higher the level of profitability of the company, the investor's perception of the company will be better, and this will attract investors to invest. The more investors who are interested in investing in a company, the stock price and firm value will be higher.</w:t>
      </w:r>
    </w:p>
    <w:p w14:paraId="4FCCA987" w14:textId="777CD3E1" w:rsidR="005D1AC1" w:rsidRDefault="00000000">
      <w:pPr>
        <w:pStyle w:val="BodyText"/>
        <w:spacing w:before="3" w:line="252" w:lineRule="auto"/>
        <w:ind w:left="85" w:right="40" w:firstLine="201"/>
      </w:pPr>
      <w:r>
        <w:t xml:space="preserve">Furthermore, another factor that can affect firm value is firm size. According to Nuraina (2012) Large companies have easy access to capital markets. Easy access to the capital markets means that companies </w:t>
      </w:r>
      <w:r w:rsidR="00045BAB">
        <w:t>can</w:t>
      </w:r>
      <w:r>
        <w:t xml:space="preserve"> adapt and are able to raise funds, due to the easy access to the capital markets and</w:t>
      </w:r>
      <w:r>
        <w:rPr>
          <w:spacing w:val="-1"/>
        </w:rPr>
        <w:t xml:space="preserve"> </w:t>
      </w:r>
      <w:r>
        <w:t>the</w:t>
      </w:r>
      <w:r>
        <w:rPr>
          <w:spacing w:val="-2"/>
        </w:rPr>
        <w:t xml:space="preserve"> </w:t>
      </w:r>
      <w:r>
        <w:t>ability</w:t>
      </w:r>
      <w:r>
        <w:rPr>
          <w:spacing w:val="-1"/>
        </w:rPr>
        <w:t xml:space="preserve"> </w:t>
      </w:r>
      <w:r>
        <w:t>to</w:t>
      </w:r>
      <w:r>
        <w:rPr>
          <w:spacing w:val="-1"/>
        </w:rPr>
        <w:t xml:space="preserve"> </w:t>
      </w:r>
      <w:r>
        <w:t>raise more</w:t>
      </w:r>
      <w:r>
        <w:rPr>
          <w:spacing w:val="-2"/>
        </w:rPr>
        <w:t xml:space="preserve"> </w:t>
      </w:r>
      <w:r>
        <w:t>funds. (Nuraina,</w:t>
      </w:r>
      <w:r>
        <w:rPr>
          <w:spacing w:val="-2"/>
        </w:rPr>
        <w:t xml:space="preserve"> </w:t>
      </w:r>
      <w:r>
        <w:t xml:space="preserve">2012). Companies with large </w:t>
      </w:r>
      <w:r w:rsidR="00045BAB">
        <w:t>sizes</w:t>
      </w:r>
      <w:r>
        <w:t xml:space="preserve"> or scale can reflect that the company has good development, so this will get a positive response from investors which can ultimately increase stock prices and make company value also increase.</w:t>
      </w:r>
    </w:p>
    <w:p w14:paraId="79908139" w14:textId="1E42D11C" w:rsidR="005D1AC1" w:rsidRDefault="00000000">
      <w:pPr>
        <w:pStyle w:val="BodyText"/>
        <w:spacing w:line="252" w:lineRule="auto"/>
        <w:ind w:left="85" w:right="38" w:firstLine="201"/>
      </w:pPr>
      <w:r>
        <w:t xml:space="preserve">Empirical research that has been done by previous researchers shows differences in research results, including those conducted by Suteja &amp; Mayasari (2017) whose research results show that the dividend policy affects the value of the company. The research of Syamsudin </w:t>
      </w:r>
      <w:r>
        <w:rPr>
          <w:i/>
        </w:rPr>
        <w:t>et al</w:t>
      </w:r>
      <w:r>
        <w:t>. (2020) found that investment decisions affect firm value. However, the research of Piristina &amp; Khairunnisa (2019) shows that dividend policy and investment decisions do not affect the value of the company. Research from Jariah</w:t>
      </w:r>
      <w:r>
        <w:rPr>
          <w:spacing w:val="40"/>
        </w:rPr>
        <w:t xml:space="preserve"> </w:t>
      </w:r>
      <w:r>
        <w:t xml:space="preserve">(2016) found that partially the leverage variable affects firm value, while the profitability variable does not affect firm value. Endri &amp; Fathony (2020) </w:t>
      </w:r>
      <w:r w:rsidR="00045BAB">
        <w:t>found in their research</w:t>
      </w:r>
      <w:r>
        <w:t xml:space="preserve"> that </w:t>
      </w:r>
      <w:r w:rsidR="00045BAB">
        <w:t>leverage,</w:t>
      </w:r>
      <w:r>
        <w:t xml:space="preserve"> and firm size variables do not affect firm value, while profitability affects firm value. There are inconsistent findings, this research needs to be done.</w:t>
      </w:r>
    </w:p>
    <w:p w14:paraId="37BA581A" w14:textId="2A196044" w:rsidR="005D1AC1" w:rsidRDefault="00000000">
      <w:pPr>
        <w:pStyle w:val="BodyText"/>
        <w:spacing w:line="252" w:lineRule="auto"/>
        <w:ind w:left="85" w:right="41" w:firstLine="201"/>
      </w:pPr>
      <w:r>
        <w:t>The difference between this research and previous research is that this study uses Dividend Policy, Investment Decision, Leverage, Profitability, and Firm Size as independent variables in influencing firm value. This variable is used because every financial decision taken by managers in distributing dividends and in making investments, as well as in maintaining a stable level of leverage, profitability, and company size is the manager's effort</w:t>
      </w:r>
      <w:r>
        <w:rPr>
          <w:spacing w:val="-5"/>
        </w:rPr>
        <w:t xml:space="preserve"> </w:t>
      </w:r>
      <w:r>
        <w:t>to</w:t>
      </w:r>
      <w:r>
        <w:rPr>
          <w:spacing w:val="-1"/>
        </w:rPr>
        <w:t xml:space="preserve"> </w:t>
      </w:r>
      <w:r>
        <w:t>provide</w:t>
      </w:r>
      <w:r>
        <w:rPr>
          <w:spacing w:val="-4"/>
        </w:rPr>
        <w:t xml:space="preserve"> </w:t>
      </w:r>
      <w:r>
        <w:t>a</w:t>
      </w:r>
      <w:r>
        <w:rPr>
          <w:spacing w:val="-6"/>
        </w:rPr>
        <w:t xml:space="preserve"> </w:t>
      </w:r>
      <w:r>
        <w:t>positive</w:t>
      </w:r>
      <w:r>
        <w:rPr>
          <w:spacing w:val="-4"/>
        </w:rPr>
        <w:t xml:space="preserve"> </w:t>
      </w:r>
      <w:r>
        <w:t>signal</w:t>
      </w:r>
      <w:r>
        <w:rPr>
          <w:spacing w:val="-4"/>
        </w:rPr>
        <w:t xml:space="preserve"> </w:t>
      </w:r>
      <w:r>
        <w:t>about</w:t>
      </w:r>
      <w:r>
        <w:rPr>
          <w:spacing w:val="-5"/>
        </w:rPr>
        <w:t xml:space="preserve"> </w:t>
      </w:r>
      <w:r>
        <w:t>the</w:t>
      </w:r>
      <w:r>
        <w:rPr>
          <w:spacing w:val="-4"/>
        </w:rPr>
        <w:t xml:space="preserve"> </w:t>
      </w:r>
      <w:r>
        <w:t>development</w:t>
      </w:r>
      <w:r>
        <w:rPr>
          <w:spacing w:val="-5"/>
        </w:rPr>
        <w:t xml:space="preserve"> </w:t>
      </w:r>
      <w:r>
        <w:t xml:space="preserve">and </w:t>
      </w:r>
      <w:r w:rsidR="00045BAB">
        <w:t>prospects</w:t>
      </w:r>
      <w:r>
        <w:t xml:space="preserve"> of the company to stakeholders. So, this is expected to make investors interested in investing in the company, which in turn can have an impact on rising stock prices as a reflection of the company's value.</w:t>
      </w:r>
    </w:p>
    <w:p w14:paraId="02D2A29C" w14:textId="77777777" w:rsidR="005D1AC1" w:rsidRDefault="00000000">
      <w:pPr>
        <w:pStyle w:val="ListParagraph"/>
        <w:numPr>
          <w:ilvl w:val="0"/>
          <w:numId w:val="6"/>
        </w:numPr>
        <w:tabs>
          <w:tab w:val="left" w:pos="480"/>
        </w:tabs>
        <w:spacing w:before="102"/>
        <w:ind w:left="480" w:hanging="294"/>
        <w:jc w:val="both"/>
        <w:rPr>
          <w:sz w:val="20"/>
        </w:rPr>
      </w:pPr>
      <w:r>
        <w:br w:type="column"/>
      </w:r>
      <w:r>
        <w:rPr>
          <w:smallCaps/>
          <w:sz w:val="20"/>
        </w:rPr>
        <w:t>Theoretical</w:t>
      </w:r>
      <w:r>
        <w:rPr>
          <w:smallCaps/>
          <w:spacing w:val="-6"/>
          <w:sz w:val="20"/>
        </w:rPr>
        <w:t xml:space="preserve"> </w:t>
      </w:r>
      <w:r>
        <w:rPr>
          <w:smallCaps/>
          <w:sz w:val="20"/>
        </w:rPr>
        <w:t>Basic</w:t>
      </w:r>
      <w:r>
        <w:rPr>
          <w:smallCaps/>
          <w:spacing w:val="-5"/>
          <w:sz w:val="20"/>
        </w:rPr>
        <w:t xml:space="preserve"> </w:t>
      </w:r>
      <w:r>
        <w:rPr>
          <w:smallCaps/>
          <w:sz w:val="20"/>
        </w:rPr>
        <w:t>and</w:t>
      </w:r>
      <w:r>
        <w:rPr>
          <w:smallCaps/>
          <w:spacing w:val="-6"/>
          <w:sz w:val="20"/>
        </w:rPr>
        <w:t xml:space="preserve"> </w:t>
      </w:r>
      <w:r>
        <w:rPr>
          <w:smallCaps/>
          <w:sz w:val="20"/>
        </w:rPr>
        <w:t>Hypothesis</w:t>
      </w:r>
      <w:r>
        <w:rPr>
          <w:smallCaps/>
          <w:spacing w:val="-6"/>
          <w:sz w:val="20"/>
        </w:rPr>
        <w:t xml:space="preserve"> </w:t>
      </w:r>
      <w:r>
        <w:rPr>
          <w:smallCaps/>
          <w:spacing w:val="-2"/>
          <w:sz w:val="20"/>
        </w:rPr>
        <w:t>Development</w:t>
      </w:r>
    </w:p>
    <w:p w14:paraId="65B4E0E2" w14:textId="77777777" w:rsidR="005D1AC1" w:rsidRDefault="00000000">
      <w:pPr>
        <w:pStyle w:val="ListParagraph"/>
        <w:numPr>
          <w:ilvl w:val="1"/>
          <w:numId w:val="6"/>
        </w:numPr>
        <w:tabs>
          <w:tab w:val="left" w:pos="545"/>
        </w:tabs>
        <w:spacing w:before="121"/>
        <w:ind w:left="545" w:hanging="315"/>
        <w:rPr>
          <w:i/>
          <w:sz w:val="20"/>
        </w:rPr>
      </w:pPr>
      <w:r>
        <w:rPr>
          <w:i/>
          <w:sz w:val="20"/>
        </w:rPr>
        <w:t>Dividend</w:t>
      </w:r>
      <w:r>
        <w:rPr>
          <w:i/>
          <w:spacing w:val="-4"/>
          <w:sz w:val="20"/>
        </w:rPr>
        <w:t xml:space="preserve"> </w:t>
      </w:r>
      <w:r>
        <w:rPr>
          <w:i/>
          <w:sz w:val="20"/>
        </w:rPr>
        <w:t>Policy</w:t>
      </w:r>
      <w:r>
        <w:rPr>
          <w:i/>
          <w:spacing w:val="-5"/>
          <w:sz w:val="20"/>
        </w:rPr>
        <w:t xml:space="preserve"> </w:t>
      </w:r>
      <w:r>
        <w:rPr>
          <w:i/>
          <w:sz w:val="20"/>
        </w:rPr>
        <w:t>on</w:t>
      </w:r>
      <w:r>
        <w:rPr>
          <w:i/>
          <w:spacing w:val="-3"/>
          <w:sz w:val="20"/>
        </w:rPr>
        <w:t xml:space="preserve"> </w:t>
      </w:r>
      <w:r>
        <w:rPr>
          <w:i/>
          <w:sz w:val="20"/>
        </w:rPr>
        <w:t>Firm</w:t>
      </w:r>
      <w:r>
        <w:rPr>
          <w:i/>
          <w:spacing w:val="-5"/>
          <w:sz w:val="20"/>
        </w:rPr>
        <w:t xml:space="preserve"> </w:t>
      </w:r>
      <w:r>
        <w:rPr>
          <w:i/>
          <w:spacing w:val="-4"/>
          <w:sz w:val="20"/>
        </w:rPr>
        <w:t>Value</w:t>
      </w:r>
    </w:p>
    <w:p w14:paraId="6724305E" w14:textId="397A1261" w:rsidR="005D1AC1" w:rsidRDefault="00000000">
      <w:pPr>
        <w:pStyle w:val="BodyText"/>
        <w:spacing w:before="60" w:line="252" w:lineRule="auto"/>
        <w:ind w:left="86" w:right="221" w:firstLine="202"/>
      </w:pPr>
      <w:r>
        <w:t xml:space="preserve">A dividend policy is a policy taken by management in choosing whether the net profit earned by the corporate should be shared with shareholders as dividends or reinvested in the company as retained earnings. Signaling theory (Baker </w:t>
      </w:r>
      <w:r>
        <w:rPr>
          <w:i/>
        </w:rPr>
        <w:t>et al</w:t>
      </w:r>
      <w:r>
        <w:t>., 2019) This theory assumes that management uses dividends to inform external shareholders of</w:t>
      </w:r>
      <w:r>
        <w:rPr>
          <w:spacing w:val="-4"/>
        </w:rPr>
        <w:t xml:space="preserve"> </w:t>
      </w:r>
      <w:r>
        <w:t>the</w:t>
      </w:r>
      <w:r>
        <w:rPr>
          <w:spacing w:val="-4"/>
        </w:rPr>
        <w:t xml:space="preserve"> </w:t>
      </w:r>
      <w:r>
        <w:t>company's</w:t>
      </w:r>
      <w:r>
        <w:rPr>
          <w:spacing w:val="-5"/>
        </w:rPr>
        <w:t xml:space="preserve"> </w:t>
      </w:r>
      <w:r w:rsidR="00045BAB">
        <w:t>prospects</w:t>
      </w:r>
      <w:r>
        <w:rPr>
          <w:spacing w:val="-5"/>
        </w:rPr>
        <w:t xml:space="preserve"> </w:t>
      </w:r>
      <w:r>
        <w:t>and</w:t>
      </w:r>
      <w:r>
        <w:rPr>
          <w:spacing w:val="-3"/>
        </w:rPr>
        <w:t xml:space="preserve"> </w:t>
      </w:r>
      <w:r>
        <w:t>profitability</w:t>
      </w:r>
      <w:r>
        <w:rPr>
          <w:spacing w:val="-3"/>
        </w:rPr>
        <w:t xml:space="preserve"> </w:t>
      </w:r>
      <w:r>
        <w:t>due</w:t>
      </w:r>
      <w:r>
        <w:rPr>
          <w:spacing w:val="-4"/>
        </w:rPr>
        <w:t xml:space="preserve"> </w:t>
      </w:r>
      <w:r>
        <w:t>to</w:t>
      </w:r>
      <w:r>
        <w:rPr>
          <w:spacing w:val="-3"/>
        </w:rPr>
        <w:t xml:space="preserve"> </w:t>
      </w:r>
      <w:r>
        <w:t>the asymmetry of information about the company. The</w:t>
      </w:r>
      <w:r>
        <w:rPr>
          <w:spacing w:val="80"/>
        </w:rPr>
        <w:t xml:space="preserve"> </w:t>
      </w:r>
      <w:r>
        <w:t>decisions taken by management in distributing dividends</w:t>
      </w:r>
      <w:r>
        <w:rPr>
          <w:spacing w:val="80"/>
        </w:rPr>
        <w:t xml:space="preserve"> </w:t>
      </w:r>
      <w:r>
        <w:t>can prosper the shareholders. This will certainly get a positive response from investors and make investors interested in investing their capital in the company. For companies, dividends are decisions that can prosper shareholders and will affect company value (Mai, 2017).</w:t>
      </w:r>
    </w:p>
    <w:p w14:paraId="72607710" w14:textId="77777777" w:rsidR="005D1AC1" w:rsidRDefault="005D1AC1">
      <w:pPr>
        <w:pStyle w:val="BodyText"/>
        <w:spacing w:before="12"/>
        <w:jc w:val="left"/>
      </w:pPr>
    </w:p>
    <w:p w14:paraId="79C496BF" w14:textId="77777777" w:rsidR="005D1AC1" w:rsidRDefault="00000000">
      <w:pPr>
        <w:pStyle w:val="Heading1"/>
      </w:pPr>
      <w:r>
        <w:t>H1:</w:t>
      </w:r>
      <w:r>
        <w:rPr>
          <w:spacing w:val="-4"/>
        </w:rPr>
        <w:t xml:space="preserve"> </w:t>
      </w:r>
      <w:r>
        <w:t>Dividend</w:t>
      </w:r>
      <w:r>
        <w:rPr>
          <w:spacing w:val="-6"/>
        </w:rPr>
        <w:t xml:space="preserve"> </w:t>
      </w:r>
      <w:r>
        <w:t>policy</w:t>
      </w:r>
      <w:r>
        <w:rPr>
          <w:spacing w:val="-4"/>
        </w:rPr>
        <w:t xml:space="preserve"> </w:t>
      </w:r>
      <w:r>
        <w:t>affects</w:t>
      </w:r>
      <w:r>
        <w:rPr>
          <w:spacing w:val="-8"/>
        </w:rPr>
        <w:t xml:space="preserve"> </w:t>
      </w:r>
      <w:r>
        <w:t>positively</w:t>
      </w:r>
      <w:r>
        <w:rPr>
          <w:spacing w:val="-2"/>
        </w:rPr>
        <w:t xml:space="preserve"> </w:t>
      </w:r>
      <w:r>
        <w:t>firm</w:t>
      </w:r>
      <w:r>
        <w:rPr>
          <w:spacing w:val="-3"/>
        </w:rPr>
        <w:t xml:space="preserve"> </w:t>
      </w:r>
      <w:r>
        <w:rPr>
          <w:spacing w:val="-2"/>
        </w:rPr>
        <w:t>value.</w:t>
      </w:r>
    </w:p>
    <w:p w14:paraId="05D819FF" w14:textId="77777777" w:rsidR="005D1AC1" w:rsidRDefault="005D1AC1">
      <w:pPr>
        <w:pStyle w:val="BodyText"/>
        <w:spacing w:before="144"/>
        <w:jc w:val="left"/>
        <w:rPr>
          <w:b/>
        </w:rPr>
      </w:pPr>
    </w:p>
    <w:p w14:paraId="4E6A01CF" w14:textId="77777777" w:rsidR="005D1AC1" w:rsidRDefault="00000000">
      <w:pPr>
        <w:pStyle w:val="ListParagraph"/>
        <w:numPr>
          <w:ilvl w:val="1"/>
          <w:numId w:val="6"/>
        </w:numPr>
        <w:tabs>
          <w:tab w:val="left" w:pos="542"/>
        </w:tabs>
        <w:spacing w:before="1"/>
        <w:ind w:left="542" w:hanging="315"/>
        <w:rPr>
          <w:i/>
          <w:sz w:val="20"/>
        </w:rPr>
      </w:pPr>
      <w:r>
        <w:rPr>
          <w:i/>
          <w:sz w:val="20"/>
        </w:rPr>
        <w:t>Investment</w:t>
      </w:r>
      <w:r>
        <w:rPr>
          <w:i/>
          <w:spacing w:val="-7"/>
          <w:sz w:val="20"/>
        </w:rPr>
        <w:t xml:space="preserve"> </w:t>
      </w:r>
      <w:r>
        <w:rPr>
          <w:i/>
          <w:sz w:val="20"/>
        </w:rPr>
        <w:t>Decision</w:t>
      </w:r>
      <w:r>
        <w:rPr>
          <w:i/>
          <w:spacing w:val="-4"/>
          <w:sz w:val="20"/>
        </w:rPr>
        <w:t xml:space="preserve"> </w:t>
      </w:r>
      <w:r>
        <w:rPr>
          <w:i/>
          <w:sz w:val="20"/>
        </w:rPr>
        <w:t>on</w:t>
      </w:r>
      <w:r>
        <w:rPr>
          <w:i/>
          <w:spacing w:val="-5"/>
          <w:sz w:val="20"/>
        </w:rPr>
        <w:t xml:space="preserve"> </w:t>
      </w:r>
      <w:r>
        <w:rPr>
          <w:i/>
          <w:sz w:val="20"/>
        </w:rPr>
        <w:t>Firm</w:t>
      </w:r>
      <w:r>
        <w:rPr>
          <w:i/>
          <w:spacing w:val="-5"/>
          <w:sz w:val="20"/>
        </w:rPr>
        <w:t xml:space="preserve"> </w:t>
      </w:r>
      <w:r>
        <w:rPr>
          <w:i/>
          <w:spacing w:val="-2"/>
          <w:sz w:val="20"/>
        </w:rPr>
        <w:t>Value</w:t>
      </w:r>
    </w:p>
    <w:p w14:paraId="53D4488D" w14:textId="7DFFEC29" w:rsidR="005D1AC1" w:rsidRDefault="00000000">
      <w:pPr>
        <w:pStyle w:val="BodyText"/>
        <w:spacing w:before="58" w:line="252" w:lineRule="auto"/>
        <w:ind w:left="86" w:right="220" w:firstLine="202"/>
      </w:pPr>
      <w:r>
        <w:t xml:space="preserve">When For managers, investment decisions are important because they relate to the company's financial function. The funds issued by the company to </w:t>
      </w:r>
      <w:r w:rsidR="00045BAB">
        <w:t>invest in</w:t>
      </w:r>
      <w:r>
        <w:t xml:space="preserve"> can be a positive signal</w:t>
      </w:r>
      <w:r>
        <w:rPr>
          <w:spacing w:val="-4"/>
        </w:rPr>
        <w:t xml:space="preserve"> </w:t>
      </w:r>
      <w:r>
        <w:t>for</w:t>
      </w:r>
      <w:r>
        <w:rPr>
          <w:spacing w:val="-4"/>
        </w:rPr>
        <w:t xml:space="preserve"> </w:t>
      </w:r>
      <w:r>
        <w:t>the</w:t>
      </w:r>
      <w:r>
        <w:rPr>
          <w:spacing w:val="-4"/>
        </w:rPr>
        <w:t xml:space="preserve"> </w:t>
      </w:r>
      <w:r>
        <w:t>company's</w:t>
      </w:r>
      <w:r>
        <w:rPr>
          <w:spacing w:val="-5"/>
        </w:rPr>
        <w:t xml:space="preserve"> </w:t>
      </w:r>
      <w:r>
        <w:t>growth</w:t>
      </w:r>
      <w:r>
        <w:rPr>
          <w:spacing w:val="-3"/>
        </w:rPr>
        <w:t xml:space="preserve"> </w:t>
      </w:r>
      <w:r>
        <w:t>in</w:t>
      </w:r>
      <w:r>
        <w:rPr>
          <w:spacing w:val="-3"/>
        </w:rPr>
        <w:t xml:space="preserve"> </w:t>
      </w:r>
      <w:r>
        <w:t>the</w:t>
      </w:r>
      <w:r>
        <w:rPr>
          <w:spacing w:val="-4"/>
        </w:rPr>
        <w:t xml:space="preserve"> </w:t>
      </w:r>
      <w:r>
        <w:t>future which</w:t>
      </w:r>
      <w:r>
        <w:rPr>
          <w:spacing w:val="-3"/>
        </w:rPr>
        <w:t xml:space="preserve"> </w:t>
      </w:r>
      <w:r>
        <w:t>can</w:t>
      </w:r>
      <w:r>
        <w:rPr>
          <w:spacing w:val="-3"/>
        </w:rPr>
        <w:t xml:space="preserve"> </w:t>
      </w:r>
      <w:r>
        <w:t>later have an impact on rising stock prices as a reflection of the company's value. Decisions regarding investment, if done correctly and can generate profits, will obtain investor trust to invest. This of course will make the company's stock</w:t>
      </w:r>
      <w:r>
        <w:rPr>
          <w:spacing w:val="80"/>
        </w:rPr>
        <w:t xml:space="preserve"> </w:t>
      </w:r>
      <w:r>
        <w:t xml:space="preserve">price increase and have an impact on firm </w:t>
      </w:r>
      <w:r w:rsidR="00045BAB">
        <w:t>value,</w:t>
      </w:r>
      <w:r>
        <w:t xml:space="preserve"> which also increases. The higher the level of profit generated from the corporate investment activities, the higher the corporate stock price will be (Syamsudin </w:t>
      </w:r>
      <w:r>
        <w:rPr>
          <w:i/>
        </w:rPr>
        <w:t>et al</w:t>
      </w:r>
      <w:r>
        <w:t>., 2020).</w:t>
      </w:r>
    </w:p>
    <w:p w14:paraId="11F027B6" w14:textId="77777777" w:rsidR="005D1AC1" w:rsidRDefault="005D1AC1">
      <w:pPr>
        <w:pStyle w:val="BodyText"/>
        <w:spacing w:before="11"/>
        <w:jc w:val="left"/>
      </w:pPr>
    </w:p>
    <w:p w14:paraId="45302677" w14:textId="77777777" w:rsidR="005D1AC1" w:rsidRDefault="00000000">
      <w:pPr>
        <w:pStyle w:val="Heading1"/>
        <w:spacing w:before="1"/>
      </w:pPr>
      <w:r>
        <w:t>H2:</w:t>
      </w:r>
      <w:r>
        <w:rPr>
          <w:spacing w:val="-7"/>
        </w:rPr>
        <w:t xml:space="preserve"> </w:t>
      </w:r>
      <w:r>
        <w:t>Investment</w:t>
      </w:r>
      <w:r>
        <w:rPr>
          <w:spacing w:val="-6"/>
        </w:rPr>
        <w:t xml:space="preserve"> </w:t>
      </w:r>
      <w:r>
        <w:t>Decision</w:t>
      </w:r>
      <w:r>
        <w:rPr>
          <w:spacing w:val="-4"/>
        </w:rPr>
        <w:t xml:space="preserve"> </w:t>
      </w:r>
      <w:r>
        <w:t>affects</w:t>
      </w:r>
      <w:r>
        <w:rPr>
          <w:spacing w:val="-6"/>
        </w:rPr>
        <w:t xml:space="preserve"> </w:t>
      </w:r>
      <w:r>
        <w:t>positively</w:t>
      </w:r>
      <w:r>
        <w:rPr>
          <w:spacing w:val="-5"/>
        </w:rPr>
        <w:t xml:space="preserve"> </w:t>
      </w:r>
      <w:r>
        <w:t>firm</w:t>
      </w:r>
      <w:r>
        <w:rPr>
          <w:spacing w:val="-4"/>
        </w:rPr>
        <w:t xml:space="preserve"> </w:t>
      </w:r>
      <w:r>
        <w:rPr>
          <w:spacing w:val="-2"/>
        </w:rPr>
        <w:t>value.</w:t>
      </w:r>
    </w:p>
    <w:p w14:paraId="634089A8" w14:textId="77777777" w:rsidR="005D1AC1" w:rsidRDefault="005D1AC1">
      <w:pPr>
        <w:pStyle w:val="BodyText"/>
        <w:spacing w:before="144"/>
        <w:jc w:val="left"/>
        <w:rPr>
          <w:b/>
        </w:rPr>
      </w:pPr>
    </w:p>
    <w:p w14:paraId="3DEDD77C" w14:textId="77777777" w:rsidR="005D1AC1" w:rsidRDefault="00000000">
      <w:pPr>
        <w:pStyle w:val="ListParagraph"/>
        <w:numPr>
          <w:ilvl w:val="1"/>
          <w:numId w:val="6"/>
        </w:numPr>
        <w:tabs>
          <w:tab w:val="left" w:pos="555"/>
        </w:tabs>
        <w:ind w:left="555" w:hanging="325"/>
        <w:rPr>
          <w:i/>
          <w:sz w:val="20"/>
        </w:rPr>
      </w:pPr>
      <w:r>
        <w:rPr>
          <w:i/>
          <w:sz w:val="20"/>
        </w:rPr>
        <w:t>Leverage</w:t>
      </w:r>
      <w:r>
        <w:rPr>
          <w:i/>
          <w:spacing w:val="-5"/>
          <w:sz w:val="20"/>
        </w:rPr>
        <w:t xml:space="preserve"> </w:t>
      </w:r>
      <w:r>
        <w:rPr>
          <w:i/>
          <w:sz w:val="20"/>
        </w:rPr>
        <w:t>on</w:t>
      </w:r>
      <w:r>
        <w:rPr>
          <w:i/>
          <w:spacing w:val="-2"/>
          <w:sz w:val="20"/>
        </w:rPr>
        <w:t xml:space="preserve"> </w:t>
      </w:r>
      <w:r>
        <w:rPr>
          <w:i/>
          <w:sz w:val="20"/>
        </w:rPr>
        <w:t>Firm</w:t>
      </w:r>
      <w:r>
        <w:rPr>
          <w:i/>
          <w:spacing w:val="-4"/>
          <w:sz w:val="20"/>
        </w:rPr>
        <w:t xml:space="preserve"> Value</w:t>
      </w:r>
    </w:p>
    <w:p w14:paraId="687087A3" w14:textId="787CF6CD" w:rsidR="005D1AC1" w:rsidRDefault="00000000">
      <w:pPr>
        <w:pStyle w:val="BodyText"/>
        <w:spacing w:before="58" w:line="252" w:lineRule="auto"/>
        <w:ind w:left="86" w:right="221" w:firstLine="202"/>
      </w:pPr>
      <w:r>
        <w:t>Leverage can be defined as a measuring tool used to determine total funds obtained from debt, in financing the company's operational activities. A high level of leverage indicates that the company uses more debt as a source of funds.</w:t>
      </w:r>
      <w:r>
        <w:rPr>
          <w:spacing w:val="-1"/>
        </w:rPr>
        <w:t xml:space="preserve"> </w:t>
      </w:r>
      <w:r>
        <w:t>Companies</w:t>
      </w:r>
      <w:r>
        <w:rPr>
          <w:spacing w:val="-1"/>
        </w:rPr>
        <w:t xml:space="preserve"> </w:t>
      </w:r>
      <w:r>
        <w:t>that</w:t>
      </w:r>
      <w:r>
        <w:rPr>
          <w:spacing w:val="-1"/>
        </w:rPr>
        <w:t xml:space="preserve"> </w:t>
      </w:r>
      <w:r>
        <w:t>have</w:t>
      </w:r>
      <w:r>
        <w:rPr>
          <w:spacing w:val="-1"/>
        </w:rPr>
        <w:t xml:space="preserve"> </w:t>
      </w:r>
      <w:r>
        <w:t>debt</w:t>
      </w:r>
      <w:r>
        <w:rPr>
          <w:spacing w:val="-1"/>
        </w:rPr>
        <w:t xml:space="preserve"> </w:t>
      </w:r>
      <w:r>
        <w:t>levels</w:t>
      </w:r>
      <w:r>
        <w:rPr>
          <w:spacing w:val="-1"/>
        </w:rPr>
        <w:t xml:space="preserve"> </w:t>
      </w:r>
      <w:r>
        <w:t>that</w:t>
      </w:r>
      <w:r>
        <w:rPr>
          <w:spacing w:val="-1"/>
        </w:rPr>
        <w:t xml:space="preserve"> </w:t>
      </w:r>
      <w:r>
        <w:t>are</w:t>
      </w:r>
      <w:r>
        <w:rPr>
          <w:spacing w:val="-1"/>
        </w:rPr>
        <w:t xml:space="preserve"> </w:t>
      </w:r>
      <w:r>
        <w:t xml:space="preserve">too high will give a bad signal to investors because according to some investors, the company cannot meet financing and operating costs (Cheryta </w:t>
      </w:r>
      <w:r>
        <w:rPr>
          <w:i/>
        </w:rPr>
        <w:t>et al</w:t>
      </w:r>
      <w:r>
        <w:t>., 2018). So, having a high debt value</w:t>
      </w:r>
      <w:r>
        <w:rPr>
          <w:spacing w:val="40"/>
        </w:rPr>
        <w:t xml:space="preserve"> </w:t>
      </w:r>
      <w:r>
        <w:t xml:space="preserve">also has a higher risk (Cheryta </w:t>
      </w:r>
      <w:r>
        <w:rPr>
          <w:i/>
        </w:rPr>
        <w:t>et al</w:t>
      </w:r>
      <w:r>
        <w:t xml:space="preserve">., 2018). A high level of risk can reflect the possibility of the company failing to pay its debts. Thus, this will make investors less confident and afraid </w:t>
      </w:r>
      <w:r w:rsidR="00045BAB">
        <w:t>to</w:t>
      </w:r>
      <w:r>
        <w:t xml:space="preserve"> invest </w:t>
      </w:r>
      <w:r w:rsidR="00045BAB">
        <w:t>in</w:t>
      </w:r>
      <w:r>
        <w:t xml:space="preserve"> the company, because the level of leverage is high. As a result, there is a decrease in stock prices and the impact on firm value which has decreased. Matondang &amp; Yustrianthe (2017) explained that a large excess of debt will have a negative impact on firm value, which causes financial distress so firm value decreases.</w:t>
      </w:r>
    </w:p>
    <w:p w14:paraId="40105F04" w14:textId="77777777" w:rsidR="005D1AC1" w:rsidRDefault="005D1AC1">
      <w:pPr>
        <w:pStyle w:val="BodyText"/>
        <w:spacing w:before="14"/>
        <w:jc w:val="left"/>
      </w:pPr>
    </w:p>
    <w:p w14:paraId="4F19FE62" w14:textId="77777777" w:rsidR="005D1AC1" w:rsidRDefault="00000000">
      <w:pPr>
        <w:pStyle w:val="Heading1"/>
        <w:spacing w:before="1"/>
      </w:pPr>
      <w:r>
        <w:t>H3:</w:t>
      </w:r>
      <w:r>
        <w:rPr>
          <w:spacing w:val="-5"/>
        </w:rPr>
        <w:t xml:space="preserve"> </w:t>
      </w:r>
      <w:r>
        <w:t>Leverage</w:t>
      </w:r>
      <w:r>
        <w:rPr>
          <w:spacing w:val="-5"/>
        </w:rPr>
        <w:t xml:space="preserve"> </w:t>
      </w:r>
      <w:r>
        <w:t>affects</w:t>
      </w:r>
      <w:r>
        <w:rPr>
          <w:spacing w:val="-6"/>
        </w:rPr>
        <w:t xml:space="preserve"> </w:t>
      </w:r>
      <w:r>
        <w:t>negatively</w:t>
      </w:r>
      <w:r>
        <w:rPr>
          <w:spacing w:val="-4"/>
        </w:rPr>
        <w:t xml:space="preserve"> </w:t>
      </w:r>
      <w:r>
        <w:t>firm</w:t>
      </w:r>
      <w:r>
        <w:rPr>
          <w:spacing w:val="-5"/>
        </w:rPr>
        <w:t xml:space="preserve"> </w:t>
      </w:r>
      <w:r>
        <w:rPr>
          <w:spacing w:val="-2"/>
        </w:rPr>
        <w:t>value.</w:t>
      </w:r>
    </w:p>
    <w:p w14:paraId="3340DEF4" w14:textId="77777777" w:rsidR="005D1AC1" w:rsidRDefault="005D1AC1">
      <w:pPr>
        <w:pStyle w:val="Heading1"/>
        <w:sectPr w:rsidR="005D1AC1">
          <w:pgSz w:w="11910" w:h="16840"/>
          <w:pgMar w:top="900" w:right="708" w:bottom="680" w:left="850" w:header="14" w:footer="481" w:gutter="0"/>
          <w:cols w:num="2" w:space="720" w:equalWidth="0">
            <w:col w:w="5006" w:space="155"/>
            <w:col w:w="5191"/>
          </w:cols>
        </w:sectPr>
      </w:pPr>
    </w:p>
    <w:p w14:paraId="5AB5F8F3" w14:textId="77777777" w:rsidR="005D1AC1" w:rsidRDefault="00000000">
      <w:pPr>
        <w:pStyle w:val="ListParagraph"/>
        <w:numPr>
          <w:ilvl w:val="1"/>
          <w:numId w:val="6"/>
        </w:numPr>
        <w:tabs>
          <w:tab w:val="left" w:pos="568"/>
        </w:tabs>
        <w:spacing w:before="102"/>
        <w:ind w:left="568" w:hanging="338"/>
        <w:rPr>
          <w:i/>
          <w:sz w:val="20"/>
        </w:rPr>
      </w:pPr>
      <w:r>
        <w:rPr>
          <w:i/>
          <w:sz w:val="20"/>
        </w:rPr>
        <w:lastRenderedPageBreak/>
        <w:t>Profitability</w:t>
      </w:r>
      <w:r>
        <w:rPr>
          <w:i/>
          <w:spacing w:val="-5"/>
          <w:sz w:val="20"/>
        </w:rPr>
        <w:t xml:space="preserve"> </w:t>
      </w:r>
      <w:r>
        <w:rPr>
          <w:i/>
          <w:sz w:val="20"/>
        </w:rPr>
        <w:t>on</w:t>
      </w:r>
      <w:r>
        <w:rPr>
          <w:i/>
          <w:spacing w:val="-4"/>
          <w:sz w:val="20"/>
        </w:rPr>
        <w:t xml:space="preserve"> </w:t>
      </w:r>
      <w:r>
        <w:rPr>
          <w:i/>
          <w:sz w:val="20"/>
        </w:rPr>
        <w:t>Firm</w:t>
      </w:r>
      <w:r>
        <w:rPr>
          <w:i/>
          <w:spacing w:val="-5"/>
          <w:sz w:val="20"/>
        </w:rPr>
        <w:t xml:space="preserve"> </w:t>
      </w:r>
      <w:r>
        <w:rPr>
          <w:i/>
          <w:spacing w:val="-4"/>
          <w:sz w:val="20"/>
        </w:rPr>
        <w:t>Value</w:t>
      </w:r>
    </w:p>
    <w:p w14:paraId="121C78F8" w14:textId="69193ABA" w:rsidR="005D1AC1" w:rsidRDefault="00000000">
      <w:pPr>
        <w:pStyle w:val="BodyText"/>
        <w:spacing w:before="61" w:line="252" w:lineRule="auto"/>
        <w:ind w:left="85" w:right="40" w:firstLine="201"/>
      </w:pPr>
      <w:r>
        <w:t>Profitability</w:t>
      </w:r>
      <w:r>
        <w:rPr>
          <w:spacing w:val="-3"/>
        </w:rPr>
        <w:t xml:space="preserve"> </w:t>
      </w:r>
      <w:r>
        <w:t>can</w:t>
      </w:r>
      <w:r>
        <w:rPr>
          <w:spacing w:val="-3"/>
        </w:rPr>
        <w:t xml:space="preserve"> </w:t>
      </w:r>
      <w:r>
        <w:t>be</w:t>
      </w:r>
      <w:r>
        <w:rPr>
          <w:spacing w:val="-4"/>
        </w:rPr>
        <w:t xml:space="preserve"> </w:t>
      </w:r>
      <w:r>
        <w:t>defined</w:t>
      </w:r>
      <w:r>
        <w:rPr>
          <w:spacing w:val="-3"/>
        </w:rPr>
        <w:t xml:space="preserve"> </w:t>
      </w:r>
      <w:r>
        <w:t>as</w:t>
      </w:r>
      <w:r>
        <w:rPr>
          <w:spacing w:val="-6"/>
        </w:rPr>
        <w:t xml:space="preserve"> </w:t>
      </w:r>
      <w:r>
        <w:t>a measuring</w:t>
      </w:r>
      <w:r>
        <w:rPr>
          <w:spacing w:val="-3"/>
        </w:rPr>
        <w:t xml:space="preserve"> </w:t>
      </w:r>
      <w:r>
        <w:t>tool</w:t>
      </w:r>
      <w:r>
        <w:rPr>
          <w:spacing w:val="-5"/>
        </w:rPr>
        <w:t xml:space="preserve"> </w:t>
      </w:r>
      <w:r>
        <w:t>to</w:t>
      </w:r>
      <w:r>
        <w:rPr>
          <w:spacing w:val="-3"/>
        </w:rPr>
        <w:t xml:space="preserve"> </w:t>
      </w:r>
      <w:r>
        <w:t>assess</w:t>
      </w:r>
      <w:r>
        <w:rPr>
          <w:spacing w:val="-3"/>
        </w:rPr>
        <w:t xml:space="preserve"> </w:t>
      </w:r>
      <w:r>
        <w:t>a company's capability to earn profits from its operational activity. The level of company profitability is information issued by the company as a signal to attract investors'</w:t>
      </w:r>
      <w:r>
        <w:rPr>
          <w:spacing w:val="40"/>
        </w:rPr>
        <w:t xml:space="preserve"> </w:t>
      </w:r>
      <w:r>
        <w:t xml:space="preserve">interest in investing in the company. The higher the level of profitability of the company, the more investors are interested in investing </w:t>
      </w:r>
      <w:r w:rsidR="00045BAB">
        <w:t>in</w:t>
      </w:r>
      <w:r>
        <w:t xml:space="preserve"> the</w:t>
      </w:r>
      <w:r>
        <w:rPr>
          <w:spacing w:val="-4"/>
        </w:rPr>
        <w:t xml:space="preserve"> </w:t>
      </w:r>
      <w:r>
        <w:t>company. Thus, this makes the company's stock price increase. The better the company's capability to earn profits, the</w:t>
      </w:r>
      <w:r>
        <w:rPr>
          <w:spacing w:val="-2"/>
        </w:rPr>
        <w:t xml:space="preserve"> </w:t>
      </w:r>
      <w:r>
        <w:t xml:space="preserve">higher the level of profitability and the higher </w:t>
      </w:r>
      <w:r w:rsidR="00045BAB">
        <w:t>the firm’s</w:t>
      </w:r>
      <w:r>
        <w:t xml:space="preserve"> value. (Jariah, 2016).</w:t>
      </w:r>
    </w:p>
    <w:p w14:paraId="69596AC7" w14:textId="77777777" w:rsidR="005D1AC1" w:rsidRDefault="005D1AC1">
      <w:pPr>
        <w:pStyle w:val="BodyText"/>
        <w:spacing w:before="12"/>
        <w:jc w:val="left"/>
      </w:pPr>
    </w:p>
    <w:p w14:paraId="26624656" w14:textId="77777777" w:rsidR="005D1AC1" w:rsidRDefault="00000000">
      <w:pPr>
        <w:pStyle w:val="Heading1"/>
        <w:ind w:left="85"/>
      </w:pPr>
      <w:r>
        <w:t>H4:</w:t>
      </w:r>
      <w:r>
        <w:rPr>
          <w:spacing w:val="-6"/>
        </w:rPr>
        <w:t xml:space="preserve"> </w:t>
      </w:r>
      <w:r>
        <w:t>Profitability</w:t>
      </w:r>
      <w:r>
        <w:rPr>
          <w:spacing w:val="-4"/>
        </w:rPr>
        <w:t xml:space="preserve"> </w:t>
      </w:r>
      <w:r>
        <w:t>affects</w:t>
      </w:r>
      <w:r>
        <w:rPr>
          <w:spacing w:val="-7"/>
        </w:rPr>
        <w:t xml:space="preserve"> </w:t>
      </w:r>
      <w:r>
        <w:t>positively</w:t>
      </w:r>
      <w:r>
        <w:rPr>
          <w:spacing w:val="-3"/>
        </w:rPr>
        <w:t xml:space="preserve"> </w:t>
      </w:r>
      <w:r>
        <w:t>firm</w:t>
      </w:r>
      <w:r>
        <w:rPr>
          <w:spacing w:val="-8"/>
        </w:rPr>
        <w:t xml:space="preserve"> </w:t>
      </w:r>
      <w:r>
        <w:rPr>
          <w:spacing w:val="-2"/>
        </w:rPr>
        <w:t>value.</w:t>
      </w:r>
    </w:p>
    <w:p w14:paraId="23311641" w14:textId="77777777" w:rsidR="005D1AC1" w:rsidRDefault="005D1AC1">
      <w:pPr>
        <w:pStyle w:val="BodyText"/>
        <w:spacing w:before="142"/>
        <w:jc w:val="left"/>
        <w:rPr>
          <w:b/>
        </w:rPr>
      </w:pPr>
    </w:p>
    <w:p w14:paraId="2D2F7A41" w14:textId="77777777" w:rsidR="005D1AC1" w:rsidRDefault="00000000">
      <w:pPr>
        <w:pStyle w:val="ListParagraph"/>
        <w:numPr>
          <w:ilvl w:val="1"/>
          <w:numId w:val="6"/>
        </w:numPr>
        <w:tabs>
          <w:tab w:val="left" w:pos="546"/>
        </w:tabs>
        <w:ind w:left="546" w:hanging="316"/>
        <w:rPr>
          <w:i/>
          <w:sz w:val="20"/>
        </w:rPr>
      </w:pPr>
      <w:r>
        <w:rPr>
          <w:i/>
          <w:sz w:val="20"/>
        </w:rPr>
        <w:t>Firm</w:t>
      </w:r>
      <w:r>
        <w:rPr>
          <w:i/>
          <w:spacing w:val="-4"/>
          <w:sz w:val="20"/>
        </w:rPr>
        <w:t xml:space="preserve"> </w:t>
      </w:r>
      <w:r>
        <w:rPr>
          <w:i/>
          <w:sz w:val="20"/>
        </w:rPr>
        <w:t>Size</w:t>
      </w:r>
      <w:r>
        <w:rPr>
          <w:i/>
          <w:spacing w:val="-4"/>
          <w:sz w:val="20"/>
        </w:rPr>
        <w:t xml:space="preserve"> </w:t>
      </w:r>
      <w:r>
        <w:rPr>
          <w:i/>
          <w:sz w:val="20"/>
        </w:rPr>
        <w:t>on</w:t>
      </w:r>
      <w:r>
        <w:rPr>
          <w:i/>
          <w:spacing w:val="-2"/>
          <w:sz w:val="20"/>
        </w:rPr>
        <w:t xml:space="preserve"> </w:t>
      </w:r>
      <w:r>
        <w:rPr>
          <w:i/>
          <w:sz w:val="20"/>
        </w:rPr>
        <w:t>Firm</w:t>
      </w:r>
      <w:r>
        <w:rPr>
          <w:i/>
          <w:spacing w:val="-4"/>
          <w:sz w:val="20"/>
        </w:rPr>
        <w:t xml:space="preserve"> Value</w:t>
      </w:r>
    </w:p>
    <w:p w14:paraId="1171E3C3" w14:textId="1DB5E376" w:rsidR="005D1AC1" w:rsidRDefault="00000000">
      <w:pPr>
        <w:pStyle w:val="BodyText"/>
        <w:spacing w:before="61" w:line="252" w:lineRule="auto"/>
        <w:ind w:left="85" w:right="39" w:firstLine="201"/>
      </w:pPr>
      <w:r>
        <w:t>Firm size can be measured by the total of assets it owns.</w:t>
      </w:r>
      <w:r>
        <w:rPr>
          <w:spacing w:val="40"/>
        </w:rPr>
        <w:t xml:space="preserve"> </w:t>
      </w:r>
      <w:r>
        <w:t xml:space="preserve">If the company has </w:t>
      </w:r>
      <w:r w:rsidR="00282F59">
        <w:t>many</w:t>
      </w:r>
      <w:r>
        <w:t xml:space="preserve"> assets, then the company can be categorized as a large company. Investors more often invest in large companies, because large companies</w:t>
      </w:r>
      <w:r>
        <w:rPr>
          <w:spacing w:val="-3"/>
        </w:rPr>
        <w:t xml:space="preserve"> </w:t>
      </w:r>
      <w:r>
        <w:t>are</w:t>
      </w:r>
      <w:r>
        <w:rPr>
          <w:spacing w:val="-5"/>
        </w:rPr>
        <w:t xml:space="preserve"> </w:t>
      </w:r>
      <w:r>
        <w:t>considered</w:t>
      </w:r>
      <w:r>
        <w:rPr>
          <w:spacing w:val="-1"/>
        </w:rPr>
        <w:t xml:space="preserve"> </w:t>
      </w:r>
      <w:r>
        <w:t>to</w:t>
      </w:r>
      <w:r>
        <w:rPr>
          <w:spacing w:val="-4"/>
        </w:rPr>
        <w:t xml:space="preserve"> </w:t>
      </w:r>
      <w:r>
        <w:t>have</w:t>
      </w:r>
      <w:r>
        <w:rPr>
          <w:spacing w:val="-3"/>
        </w:rPr>
        <w:t xml:space="preserve"> </w:t>
      </w:r>
      <w:r>
        <w:t>good</w:t>
      </w:r>
      <w:r>
        <w:rPr>
          <w:spacing w:val="-4"/>
        </w:rPr>
        <w:t xml:space="preserve"> </w:t>
      </w:r>
      <w:r>
        <w:t>development</w:t>
      </w:r>
      <w:r>
        <w:rPr>
          <w:spacing w:val="-3"/>
        </w:rPr>
        <w:t xml:space="preserve"> </w:t>
      </w:r>
      <w:r>
        <w:t>and</w:t>
      </w:r>
      <w:r>
        <w:rPr>
          <w:spacing w:val="-2"/>
        </w:rPr>
        <w:t xml:space="preserve"> </w:t>
      </w:r>
      <w:r w:rsidR="00282F59">
        <w:t>can</w:t>
      </w:r>
      <w:r>
        <w:t xml:space="preserve"> improve company performance. This of course can have an impact on firm value which will increase due to good investor perceptions of the company. According to Sugiyanto </w:t>
      </w:r>
      <w:r>
        <w:rPr>
          <w:i/>
        </w:rPr>
        <w:t>et al</w:t>
      </w:r>
      <w:r>
        <w:t>. (2021) Companies with large total assets will get more attention from investors, creditors, and other users of financial information;</w:t>
      </w:r>
      <w:r>
        <w:rPr>
          <w:spacing w:val="-1"/>
        </w:rPr>
        <w:t xml:space="preserve"> </w:t>
      </w:r>
      <w:r>
        <w:t>In addition, management will be more flexible in using existing assets to increase</w:t>
      </w:r>
      <w:r>
        <w:rPr>
          <w:spacing w:val="40"/>
        </w:rPr>
        <w:t xml:space="preserve"> </w:t>
      </w:r>
      <w:r>
        <w:t>company value.</w:t>
      </w:r>
    </w:p>
    <w:p w14:paraId="593B62A4" w14:textId="77777777" w:rsidR="005D1AC1" w:rsidRDefault="005D1AC1">
      <w:pPr>
        <w:pStyle w:val="BodyText"/>
        <w:spacing w:before="13"/>
        <w:jc w:val="left"/>
      </w:pPr>
    </w:p>
    <w:p w14:paraId="38D47EC1" w14:textId="77777777" w:rsidR="00045BAB" w:rsidRDefault="00045BAB">
      <w:pPr>
        <w:pStyle w:val="BodyText"/>
        <w:spacing w:before="13"/>
        <w:jc w:val="left"/>
      </w:pPr>
    </w:p>
    <w:p w14:paraId="0401A25C" w14:textId="07EEDB86" w:rsidR="005D1AC1" w:rsidRDefault="00000000" w:rsidP="00045BAB">
      <w:pPr>
        <w:pStyle w:val="Heading1"/>
        <w:ind w:left="85"/>
        <w:rPr>
          <w:spacing w:val="-2"/>
        </w:rPr>
      </w:pPr>
      <w:r>
        <w:t>H5:</w:t>
      </w:r>
      <w:r>
        <w:rPr>
          <w:spacing w:val="-4"/>
        </w:rPr>
        <w:t xml:space="preserve"> </w:t>
      </w:r>
      <w:r>
        <w:t>Firm</w:t>
      </w:r>
      <w:r>
        <w:rPr>
          <w:spacing w:val="-5"/>
        </w:rPr>
        <w:t xml:space="preserve"> </w:t>
      </w:r>
      <w:r>
        <w:t>size</w:t>
      </w:r>
      <w:r>
        <w:rPr>
          <w:spacing w:val="-5"/>
        </w:rPr>
        <w:t xml:space="preserve"> </w:t>
      </w:r>
      <w:r>
        <w:t>affects</w:t>
      </w:r>
      <w:r>
        <w:rPr>
          <w:spacing w:val="-5"/>
        </w:rPr>
        <w:t xml:space="preserve"> </w:t>
      </w:r>
      <w:r>
        <w:t>positively</w:t>
      </w:r>
      <w:r>
        <w:rPr>
          <w:spacing w:val="-3"/>
        </w:rPr>
        <w:t xml:space="preserve"> </w:t>
      </w:r>
      <w:r>
        <w:t>firm</w:t>
      </w:r>
      <w:r>
        <w:rPr>
          <w:spacing w:val="-5"/>
        </w:rPr>
        <w:t xml:space="preserve"> </w:t>
      </w:r>
      <w:r>
        <w:rPr>
          <w:spacing w:val="-2"/>
        </w:rPr>
        <w:t>value.</w:t>
      </w:r>
    </w:p>
    <w:p w14:paraId="49F8B5CF" w14:textId="77777777" w:rsidR="00045BAB" w:rsidRPr="00045BAB" w:rsidRDefault="00045BAB" w:rsidP="00045BAB">
      <w:pPr>
        <w:pStyle w:val="Heading1"/>
        <w:ind w:left="85"/>
      </w:pPr>
    </w:p>
    <w:p w14:paraId="4DBE6881" w14:textId="77777777" w:rsidR="005D1AC1" w:rsidRDefault="00000000">
      <w:pPr>
        <w:pStyle w:val="ListParagraph"/>
        <w:numPr>
          <w:ilvl w:val="0"/>
          <w:numId w:val="6"/>
        </w:numPr>
        <w:tabs>
          <w:tab w:val="left" w:pos="1876"/>
        </w:tabs>
        <w:spacing w:before="1"/>
        <w:ind w:left="1876" w:hanging="360"/>
        <w:jc w:val="left"/>
        <w:rPr>
          <w:sz w:val="20"/>
        </w:rPr>
      </w:pPr>
      <w:r>
        <w:rPr>
          <w:smallCaps/>
          <w:sz w:val="20"/>
        </w:rPr>
        <w:t>Research</w:t>
      </w:r>
      <w:r>
        <w:rPr>
          <w:smallCaps/>
          <w:spacing w:val="-5"/>
          <w:sz w:val="20"/>
        </w:rPr>
        <w:t xml:space="preserve"> </w:t>
      </w:r>
      <w:r>
        <w:rPr>
          <w:smallCaps/>
          <w:spacing w:val="-2"/>
          <w:sz w:val="20"/>
        </w:rPr>
        <w:t>Method</w:t>
      </w:r>
    </w:p>
    <w:p w14:paraId="1CBC08D6" w14:textId="77777777" w:rsidR="005D1AC1" w:rsidRDefault="00000000">
      <w:pPr>
        <w:pStyle w:val="ListParagraph"/>
        <w:numPr>
          <w:ilvl w:val="0"/>
          <w:numId w:val="5"/>
        </w:numPr>
        <w:tabs>
          <w:tab w:val="left" w:pos="546"/>
        </w:tabs>
        <w:spacing w:before="120"/>
        <w:ind w:left="546" w:hanging="316"/>
        <w:rPr>
          <w:i/>
          <w:sz w:val="20"/>
        </w:rPr>
      </w:pPr>
      <w:r>
        <w:rPr>
          <w:i/>
          <w:sz w:val="20"/>
        </w:rPr>
        <w:t>Population</w:t>
      </w:r>
      <w:r>
        <w:rPr>
          <w:i/>
          <w:spacing w:val="-5"/>
          <w:sz w:val="20"/>
        </w:rPr>
        <w:t xml:space="preserve"> </w:t>
      </w:r>
      <w:r>
        <w:rPr>
          <w:i/>
          <w:sz w:val="20"/>
        </w:rPr>
        <w:t>and</w:t>
      </w:r>
      <w:r>
        <w:rPr>
          <w:i/>
          <w:spacing w:val="-5"/>
          <w:sz w:val="20"/>
        </w:rPr>
        <w:t xml:space="preserve"> </w:t>
      </w:r>
      <w:r>
        <w:rPr>
          <w:i/>
          <w:spacing w:val="-2"/>
          <w:sz w:val="20"/>
        </w:rPr>
        <w:t>Sample</w:t>
      </w:r>
    </w:p>
    <w:p w14:paraId="74ABC9C3" w14:textId="77777777" w:rsidR="005D1AC1" w:rsidRDefault="00000000">
      <w:pPr>
        <w:pStyle w:val="BodyText"/>
        <w:spacing w:before="60" w:line="252" w:lineRule="auto"/>
        <w:ind w:left="85" w:right="38" w:firstLine="201"/>
      </w:pPr>
      <w:r>
        <w:t>Secondary data is the sort of data employed in this study. Secondary data, namely data in the form of numbers contained in financial statements of manufacturing companies listed on the Indonesia Stock Exchange in 2015- 2019. The population of this study is all manufacturing companies listed on the Indonesia Stock Exchange. Manufacturing companies were chosen because they have great business potential and are one of the supporting industries for the country's economy. The year 2015-2019 was chosen because in that year the GDP growth rate of the manufacturing industry fluctuated. The sample of this research is all manufacturing companies listed on the Indonesia Stock Exchange in 2015-2019. The sampling technique used is purposive sampling, namely the technique of determining the sample with certain deliberation (Sugiyono, 2012). The sample</w:t>
      </w:r>
      <w:r>
        <w:rPr>
          <w:spacing w:val="-2"/>
        </w:rPr>
        <w:t xml:space="preserve"> </w:t>
      </w:r>
      <w:r>
        <w:t>selection criteria in this study were</w:t>
      </w:r>
      <w:r>
        <w:rPr>
          <w:spacing w:val="-5"/>
        </w:rPr>
        <w:t xml:space="preserve"> </w:t>
      </w:r>
      <w:r>
        <w:t>manufacturing</w:t>
      </w:r>
      <w:r>
        <w:rPr>
          <w:spacing w:val="-4"/>
        </w:rPr>
        <w:t xml:space="preserve"> </w:t>
      </w:r>
      <w:r>
        <w:t>companies</w:t>
      </w:r>
      <w:r>
        <w:rPr>
          <w:spacing w:val="-6"/>
        </w:rPr>
        <w:t xml:space="preserve"> </w:t>
      </w:r>
      <w:r>
        <w:t>listed</w:t>
      </w:r>
      <w:r>
        <w:rPr>
          <w:spacing w:val="-4"/>
        </w:rPr>
        <w:t xml:space="preserve"> </w:t>
      </w:r>
      <w:r>
        <w:t>on</w:t>
      </w:r>
      <w:r>
        <w:rPr>
          <w:spacing w:val="-4"/>
        </w:rPr>
        <w:t xml:space="preserve"> </w:t>
      </w:r>
      <w:r>
        <w:t>the</w:t>
      </w:r>
      <w:r>
        <w:rPr>
          <w:spacing w:val="-5"/>
        </w:rPr>
        <w:t xml:space="preserve"> </w:t>
      </w:r>
      <w:r>
        <w:t>Indonesia</w:t>
      </w:r>
      <w:r>
        <w:rPr>
          <w:spacing w:val="-6"/>
        </w:rPr>
        <w:t xml:space="preserve"> </w:t>
      </w:r>
      <w:r>
        <w:t>Stock Exchange in 2015-2019, manufacturing companies that publishes financial statements from 2015-2019, manufacturing companies whose financial statements were presented in rupiah currency from 2015-2019, companies whose financial statements were presented in rupiah from 2015-2019, companies’ manufacturers who always</w:t>
      </w:r>
      <w:r>
        <w:rPr>
          <w:spacing w:val="40"/>
        </w:rPr>
        <w:t xml:space="preserve"> </w:t>
      </w:r>
      <w:r>
        <w:t>distribute dividends during 2015-2019.</w:t>
      </w:r>
    </w:p>
    <w:p w14:paraId="7D683DBD" w14:textId="77777777" w:rsidR="005D1AC1" w:rsidRDefault="00000000">
      <w:pPr>
        <w:pStyle w:val="ListParagraph"/>
        <w:numPr>
          <w:ilvl w:val="0"/>
          <w:numId w:val="5"/>
        </w:numPr>
        <w:tabs>
          <w:tab w:val="left" w:pos="545"/>
        </w:tabs>
        <w:spacing w:before="102"/>
        <w:ind w:left="545" w:hanging="315"/>
        <w:rPr>
          <w:i/>
          <w:sz w:val="20"/>
        </w:rPr>
      </w:pPr>
      <w:r>
        <w:br w:type="column"/>
      </w:r>
      <w:r>
        <w:rPr>
          <w:i/>
          <w:sz w:val="20"/>
        </w:rPr>
        <w:t>Operational</w:t>
      </w:r>
      <w:r>
        <w:rPr>
          <w:i/>
          <w:spacing w:val="-8"/>
          <w:sz w:val="20"/>
        </w:rPr>
        <w:t xml:space="preserve"> </w:t>
      </w:r>
      <w:r>
        <w:rPr>
          <w:i/>
          <w:sz w:val="20"/>
        </w:rPr>
        <w:t>Definition</w:t>
      </w:r>
      <w:r>
        <w:rPr>
          <w:i/>
          <w:spacing w:val="-5"/>
          <w:sz w:val="20"/>
        </w:rPr>
        <w:t xml:space="preserve"> </w:t>
      </w:r>
      <w:r>
        <w:rPr>
          <w:i/>
          <w:sz w:val="20"/>
        </w:rPr>
        <w:t>and</w:t>
      </w:r>
      <w:r>
        <w:rPr>
          <w:i/>
          <w:spacing w:val="-6"/>
          <w:sz w:val="20"/>
        </w:rPr>
        <w:t xml:space="preserve"> </w:t>
      </w:r>
      <w:r>
        <w:rPr>
          <w:i/>
          <w:sz w:val="20"/>
        </w:rPr>
        <w:t>Variable</w:t>
      </w:r>
      <w:r>
        <w:rPr>
          <w:i/>
          <w:spacing w:val="-6"/>
          <w:sz w:val="20"/>
        </w:rPr>
        <w:t xml:space="preserve"> </w:t>
      </w:r>
      <w:r>
        <w:rPr>
          <w:i/>
          <w:spacing w:val="-2"/>
          <w:sz w:val="20"/>
        </w:rPr>
        <w:t>Measurement</w:t>
      </w:r>
    </w:p>
    <w:p w14:paraId="23157E43" w14:textId="77777777" w:rsidR="005D1AC1" w:rsidRDefault="00000000">
      <w:pPr>
        <w:pStyle w:val="ListParagraph"/>
        <w:numPr>
          <w:ilvl w:val="1"/>
          <w:numId w:val="5"/>
        </w:numPr>
        <w:tabs>
          <w:tab w:val="left" w:pos="512"/>
        </w:tabs>
        <w:spacing w:before="121"/>
        <w:ind w:left="512" w:hanging="222"/>
        <w:rPr>
          <w:i/>
          <w:sz w:val="20"/>
        </w:rPr>
      </w:pPr>
      <w:r>
        <w:rPr>
          <w:i/>
          <w:sz w:val="20"/>
        </w:rPr>
        <w:t>Dependent</w:t>
      </w:r>
      <w:r>
        <w:rPr>
          <w:i/>
          <w:spacing w:val="-6"/>
          <w:sz w:val="20"/>
        </w:rPr>
        <w:t xml:space="preserve"> </w:t>
      </w:r>
      <w:r>
        <w:rPr>
          <w:i/>
          <w:spacing w:val="-2"/>
          <w:sz w:val="20"/>
        </w:rPr>
        <w:t>Variable</w:t>
      </w:r>
    </w:p>
    <w:p w14:paraId="0A999AE6" w14:textId="77777777" w:rsidR="005D1AC1" w:rsidRDefault="00000000">
      <w:pPr>
        <w:pStyle w:val="BodyText"/>
        <w:spacing w:before="60" w:line="252" w:lineRule="auto"/>
        <w:ind w:left="86" w:right="221" w:firstLine="202"/>
      </w:pPr>
      <w:r>
        <w:t xml:space="preserve">Price to Book Value (PBV) is the ratio used in this study to calculate firm value. Price to book value (PBV) is a ratio that compares the market price of a company's shares with the book value of the company's shares. </w:t>
      </w:r>
      <w:r>
        <w:rPr>
          <w:i/>
        </w:rPr>
        <w:t>(</w:t>
      </w:r>
      <w:r>
        <w:t xml:space="preserve">Sudiyatno </w:t>
      </w:r>
      <w:r>
        <w:rPr>
          <w:i/>
        </w:rPr>
        <w:t>et al</w:t>
      </w:r>
      <w:r>
        <w:t>., 2020). In this study,</w:t>
      </w:r>
      <w:r>
        <w:rPr>
          <w:spacing w:val="-1"/>
        </w:rPr>
        <w:t xml:space="preserve"> </w:t>
      </w:r>
      <w:r>
        <w:t>the closing stock price used to calculate PBV is the stock price on the publication date of the financial statements, this is because on that date the</w:t>
      </w:r>
      <w:r>
        <w:rPr>
          <w:spacing w:val="80"/>
        </w:rPr>
        <w:t xml:space="preserve"> </w:t>
      </w:r>
      <w:r>
        <w:t xml:space="preserve">financial statements have been audited and declared in accordance with financial accounting standards. Some researchers such as Jihadi </w:t>
      </w:r>
      <w:r>
        <w:rPr>
          <w:i/>
        </w:rPr>
        <w:t>et al</w:t>
      </w:r>
      <w:r>
        <w:t xml:space="preserve">. (2021), Sulaeman (2020), Sudiyatno </w:t>
      </w:r>
      <w:r>
        <w:rPr>
          <w:i/>
        </w:rPr>
        <w:t>et al</w:t>
      </w:r>
      <w:r>
        <w:t xml:space="preserve">. (2020), Resti </w:t>
      </w:r>
      <w:r>
        <w:rPr>
          <w:i/>
        </w:rPr>
        <w:t>et al</w:t>
      </w:r>
      <w:r>
        <w:t>. (2019), Artini &amp; Puspaningsih (2011) also PBV as a proxy for firm value in their research.</w:t>
      </w:r>
    </w:p>
    <w:p w14:paraId="41D812C4" w14:textId="77777777" w:rsidR="005D1AC1" w:rsidRDefault="00000000">
      <w:pPr>
        <w:pStyle w:val="BodyText"/>
        <w:spacing w:before="206" w:line="194" w:lineRule="exact"/>
        <w:ind w:left="544"/>
        <w:jc w:val="center"/>
        <w:rPr>
          <w:rFonts w:ascii="Cambria Math" w:eastAsia="Cambria Math" w:hAnsi="Cambria Math"/>
        </w:rPr>
      </w:pPr>
      <w:r>
        <w:rPr>
          <w:rFonts w:ascii="Cambria Math" w:eastAsia="Cambria Math" w:hAnsi="Cambria Math"/>
        </w:rPr>
        <w:t xml:space="preserve">𝑃𝑟𝑖𝑐𝑒 </w:t>
      </w:r>
      <w:r>
        <w:rPr>
          <w:rFonts w:ascii="Cambria Math" w:eastAsia="Cambria Math" w:hAnsi="Cambria Math"/>
          <w:spacing w:val="-2"/>
        </w:rPr>
        <w:t>𝑆ℎ𝑎𝑟𝑒</w:t>
      </w:r>
    </w:p>
    <w:p w14:paraId="1954BF4C" w14:textId="77777777" w:rsidR="005D1AC1" w:rsidRDefault="00000000">
      <w:pPr>
        <w:spacing w:line="144" w:lineRule="exact"/>
        <w:ind w:left="544" w:right="2669"/>
        <w:jc w:val="center"/>
        <w:rPr>
          <w:rFonts w:ascii="Cambria Math" w:eastAsia="Cambria Math"/>
          <w:sz w:val="20"/>
        </w:rPr>
      </w:pPr>
      <w:r>
        <w:rPr>
          <w:rFonts w:ascii="Cambria Math" w:eastAsia="Cambria Math"/>
          <w:noProof/>
          <w:sz w:val="20"/>
        </w:rPr>
        <mc:AlternateContent>
          <mc:Choice Requires="wps">
            <w:drawing>
              <wp:anchor distT="0" distB="0" distL="0" distR="0" simplePos="0" relativeHeight="15729152" behindDoc="0" locked="0" layoutInCell="1" allowOverlap="1" wp14:anchorId="656E7DFB" wp14:editId="5AE3FC1F">
                <wp:simplePos x="0" y="0"/>
                <wp:positionH relativeFrom="page">
                  <wp:posOffset>5039233</wp:posOffset>
                </wp:positionH>
                <wp:positionV relativeFrom="paragraph">
                  <wp:posOffset>55612</wp:posOffset>
                </wp:positionV>
                <wp:extent cx="1200150" cy="76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7620"/>
                        </a:xfrm>
                        <a:custGeom>
                          <a:avLst/>
                          <a:gdLst/>
                          <a:ahLst/>
                          <a:cxnLst/>
                          <a:rect l="l" t="t" r="r" b="b"/>
                          <a:pathLst>
                            <a:path w="1200150" h="7620">
                              <a:moveTo>
                                <a:pt x="1199692" y="0"/>
                              </a:moveTo>
                              <a:lnTo>
                                <a:pt x="0" y="0"/>
                              </a:lnTo>
                              <a:lnTo>
                                <a:pt x="0" y="7619"/>
                              </a:lnTo>
                              <a:lnTo>
                                <a:pt x="1199692" y="7619"/>
                              </a:lnTo>
                              <a:lnTo>
                                <a:pt x="11996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B9140E" id="Graphic 9" o:spid="_x0000_s1026" style="position:absolute;margin-left:396.8pt;margin-top:4.4pt;width:94.5pt;height:.6pt;z-index:15729152;visibility:visible;mso-wrap-style:square;mso-wrap-distance-left:0;mso-wrap-distance-top:0;mso-wrap-distance-right:0;mso-wrap-distance-bottom:0;mso-position-horizontal:absolute;mso-position-horizontal-relative:page;mso-position-vertical:absolute;mso-position-vertical-relative:text;v-text-anchor:top" coordsize="12001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" path="m1199692,l,,,7619r1199692,l1199692,xe" fillcolor="black" stroked="f">
                <v:path arrowok="t"/>
                <w10:wrap anchorx="page"/>
              </v:shape>
            </w:pict>
          </mc:Fallback>
        </mc:AlternateContent>
      </w:r>
      <w:r>
        <w:rPr>
          <w:rFonts w:ascii="Cambria Math" w:eastAsia="Cambria Math"/>
          <w:sz w:val="20"/>
        </w:rPr>
        <w:t>𝑃𝐵𝑉</w:t>
      </w:r>
      <w:r>
        <w:rPr>
          <w:rFonts w:ascii="Cambria Math" w:eastAsia="Cambria Math"/>
          <w:spacing w:val="16"/>
          <w:sz w:val="20"/>
        </w:rPr>
        <w:t xml:space="preserve"> </w:t>
      </w:r>
      <w:r>
        <w:rPr>
          <w:rFonts w:ascii="Cambria Math" w:eastAsia="Cambria Math"/>
          <w:spacing w:val="-10"/>
          <w:sz w:val="20"/>
        </w:rPr>
        <w:t>=</w:t>
      </w:r>
    </w:p>
    <w:p w14:paraId="633B9522" w14:textId="77777777" w:rsidR="005D1AC1" w:rsidRDefault="00000000">
      <w:pPr>
        <w:pStyle w:val="BodyText"/>
        <w:spacing w:line="184" w:lineRule="exact"/>
        <w:ind w:left="544"/>
        <w:jc w:val="center"/>
        <w:rPr>
          <w:rFonts w:ascii="Cambria Math" w:eastAsia="Cambria Math" w:hAnsi="Cambria Math"/>
        </w:rPr>
      </w:pPr>
      <w:r>
        <w:rPr>
          <w:rFonts w:ascii="Cambria Math" w:eastAsia="Cambria Math" w:hAnsi="Cambria Math"/>
        </w:rPr>
        <w:t>𝐵𝑜𝑜𝑘</w:t>
      </w:r>
      <w:r>
        <w:rPr>
          <w:rFonts w:ascii="Cambria Math" w:eastAsia="Cambria Math" w:hAnsi="Cambria Math"/>
          <w:spacing w:val="3"/>
        </w:rPr>
        <w:t xml:space="preserve"> </w:t>
      </w:r>
      <w:r>
        <w:rPr>
          <w:rFonts w:ascii="Cambria Math" w:eastAsia="Cambria Math" w:hAnsi="Cambria Math"/>
        </w:rPr>
        <w:t>𝑉𝑎𝑙𝑢𝑒</w:t>
      </w:r>
      <w:r>
        <w:rPr>
          <w:rFonts w:ascii="Cambria Math" w:eastAsia="Cambria Math" w:hAnsi="Cambria Math"/>
          <w:spacing w:val="1"/>
        </w:rPr>
        <w:t xml:space="preserve"> </w:t>
      </w:r>
      <w:r>
        <w:rPr>
          <w:rFonts w:ascii="Cambria Math" w:eastAsia="Cambria Math" w:hAnsi="Cambria Math"/>
        </w:rPr>
        <w:t>𝑂𝑓</w:t>
      </w:r>
      <w:r>
        <w:rPr>
          <w:rFonts w:ascii="Cambria Math" w:eastAsia="Cambria Math" w:hAnsi="Cambria Math"/>
          <w:spacing w:val="2"/>
        </w:rPr>
        <w:t xml:space="preserve"> </w:t>
      </w:r>
      <w:r>
        <w:rPr>
          <w:rFonts w:ascii="Cambria Math" w:eastAsia="Cambria Math" w:hAnsi="Cambria Math"/>
          <w:spacing w:val="-4"/>
        </w:rPr>
        <w:t>𝑆ℎ𝑎𝑟𝑒</w:t>
      </w:r>
    </w:p>
    <w:p w14:paraId="7FD520F9" w14:textId="77777777" w:rsidR="005D1AC1" w:rsidRDefault="005D1AC1">
      <w:pPr>
        <w:pStyle w:val="BodyText"/>
        <w:spacing w:before="127"/>
        <w:jc w:val="left"/>
        <w:rPr>
          <w:rFonts w:ascii="Cambria Math"/>
        </w:rPr>
      </w:pPr>
    </w:p>
    <w:p w14:paraId="2E5EF8AE" w14:textId="77777777" w:rsidR="005D1AC1" w:rsidRDefault="00000000">
      <w:pPr>
        <w:pStyle w:val="ListParagraph"/>
        <w:numPr>
          <w:ilvl w:val="1"/>
          <w:numId w:val="5"/>
        </w:numPr>
        <w:tabs>
          <w:tab w:val="left" w:pos="512"/>
        </w:tabs>
        <w:ind w:left="512" w:hanging="222"/>
        <w:rPr>
          <w:i/>
          <w:sz w:val="20"/>
        </w:rPr>
      </w:pPr>
      <w:r>
        <w:rPr>
          <w:i/>
          <w:sz w:val="20"/>
        </w:rPr>
        <w:t>Independent</w:t>
      </w:r>
      <w:r>
        <w:rPr>
          <w:i/>
          <w:spacing w:val="-7"/>
          <w:sz w:val="20"/>
        </w:rPr>
        <w:t xml:space="preserve"> </w:t>
      </w:r>
      <w:r>
        <w:rPr>
          <w:i/>
          <w:spacing w:val="-2"/>
          <w:sz w:val="20"/>
        </w:rPr>
        <w:t>Variable</w:t>
      </w:r>
    </w:p>
    <w:p w14:paraId="0C76E762" w14:textId="77777777" w:rsidR="005D1AC1" w:rsidRDefault="00000000">
      <w:pPr>
        <w:pStyle w:val="ListParagraph"/>
        <w:numPr>
          <w:ilvl w:val="2"/>
          <w:numId w:val="5"/>
        </w:numPr>
        <w:tabs>
          <w:tab w:val="left" w:pos="512"/>
        </w:tabs>
        <w:spacing w:before="120"/>
        <w:ind w:left="512" w:hanging="222"/>
        <w:rPr>
          <w:i/>
          <w:sz w:val="20"/>
        </w:rPr>
      </w:pPr>
      <w:r>
        <w:rPr>
          <w:i/>
          <w:sz w:val="20"/>
        </w:rPr>
        <w:t>Dividend</w:t>
      </w:r>
      <w:r>
        <w:rPr>
          <w:i/>
          <w:spacing w:val="-5"/>
          <w:sz w:val="20"/>
        </w:rPr>
        <w:t xml:space="preserve"> </w:t>
      </w:r>
      <w:r>
        <w:rPr>
          <w:i/>
          <w:spacing w:val="-2"/>
          <w:sz w:val="20"/>
        </w:rPr>
        <w:t>Policy</w:t>
      </w:r>
    </w:p>
    <w:p w14:paraId="4897489B" w14:textId="77777777" w:rsidR="005D1AC1" w:rsidRDefault="00000000">
      <w:pPr>
        <w:pStyle w:val="BodyText"/>
        <w:spacing w:before="61" w:line="252" w:lineRule="auto"/>
        <w:ind w:left="86" w:right="221" w:firstLine="202"/>
      </w:pPr>
      <w:r>
        <w:t>In this study, dividend policy is measured using the Dividend</w:t>
      </w:r>
      <w:r>
        <w:rPr>
          <w:spacing w:val="-1"/>
        </w:rPr>
        <w:t xml:space="preserve"> </w:t>
      </w:r>
      <w:r>
        <w:t>Pay-Out</w:t>
      </w:r>
      <w:r>
        <w:rPr>
          <w:spacing w:val="-2"/>
        </w:rPr>
        <w:t xml:space="preserve"> </w:t>
      </w:r>
      <w:r>
        <w:t>Ratio</w:t>
      </w:r>
      <w:r>
        <w:rPr>
          <w:spacing w:val="-1"/>
        </w:rPr>
        <w:t xml:space="preserve"> </w:t>
      </w:r>
      <w:r>
        <w:t>(DPR).</w:t>
      </w:r>
      <w:r>
        <w:rPr>
          <w:spacing w:val="-2"/>
        </w:rPr>
        <w:t xml:space="preserve"> </w:t>
      </w:r>
      <w:r>
        <w:t>DPR</w:t>
      </w:r>
      <w:r>
        <w:rPr>
          <w:spacing w:val="-3"/>
        </w:rPr>
        <w:t xml:space="preserve"> </w:t>
      </w:r>
      <w:r>
        <w:t>is</w:t>
      </w:r>
      <w:r>
        <w:rPr>
          <w:spacing w:val="-2"/>
        </w:rPr>
        <w:t xml:space="preserve"> </w:t>
      </w:r>
      <w:r>
        <w:t>a</w:t>
      </w:r>
      <w:r>
        <w:rPr>
          <w:spacing w:val="-2"/>
        </w:rPr>
        <w:t xml:space="preserve"> </w:t>
      </w:r>
      <w:r>
        <w:t>ratio</w:t>
      </w:r>
      <w:r>
        <w:rPr>
          <w:spacing w:val="-1"/>
        </w:rPr>
        <w:t xml:space="preserve"> </w:t>
      </w:r>
      <w:r>
        <w:t>calculated</w:t>
      </w:r>
      <w:r>
        <w:rPr>
          <w:spacing w:val="-1"/>
        </w:rPr>
        <w:t xml:space="preserve"> </w:t>
      </w:r>
      <w:r>
        <w:t xml:space="preserve">by comparing dividends per share with earnings per share. Some researchers such as Barros </w:t>
      </w:r>
      <w:r>
        <w:rPr>
          <w:i/>
        </w:rPr>
        <w:t>et al</w:t>
      </w:r>
      <w:r>
        <w:t>. (2021), Endri &amp; Fathony (2020), Ainun (2020), Putri &amp; Irawati (2019),</w:t>
      </w:r>
      <w:r>
        <w:rPr>
          <w:spacing w:val="40"/>
        </w:rPr>
        <w:t xml:space="preserve"> </w:t>
      </w:r>
      <w:r>
        <w:t>Jariah (2016), Artini &amp; Puspaningsih (2011) also uses the Dividend Pay-Out Ratio (DPR) as a proxy for dividend policy in his research.</w:t>
      </w:r>
    </w:p>
    <w:p w14:paraId="6EC95060" w14:textId="77777777" w:rsidR="005D1AC1" w:rsidRDefault="005D1AC1">
      <w:pPr>
        <w:pStyle w:val="BodyText"/>
        <w:spacing w:before="157"/>
        <w:jc w:val="left"/>
      </w:pPr>
    </w:p>
    <w:p w14:paraId="3C1D6C8F" w14:textId="77777777" w:rsidR="005D1AC1" w:rsidRDefault="00000000">
      <w:pPr>
        <w:spacing w:line="192" w:lineRule="exact"/>
        <w:ind w:left="544" w:right="10"/>
        <w:jc w:val="center"/>
        <w:rPr>
          <w:i/>
          <w:sz w:val="20"/>
        </w:rPr>
      </w:pPr>
      <w:r>
        <w:rPr>
          <w:i/>
          <w:sz w:val="20"/>
        </w:rPr>
        <w:t>Dividend</w:t>
      </w:r>
      <w:r>
        <w:rPr>
          <w:i/>
          <w:spacing w:val="-4"/>
          <w:sz w:val="20"/>
        </w:rPr>
        <w:t xml:space="preserve"> </w:t>
      </w:r>
      <w:r>
        <w:rPr>
          <w:i/>
          <w:sz w:val="20"/>
        </w:rPr>
        <w:t>Per</w:t>
      </w:r>
      <w:r>
        <w:rPr>
          <w:i/>
          <w:spacing w:val="-6"/>
          <w:sz w:val="20"/>
        </w:rPr>
        <w:t xml:space="preserve"> </w:t>
      </w:r>
      <w:r>
        <w:rPr>
          <w:i/>
          <w:spacing w:val="-4"/>
          <w:sz w:val="20"/>
        </w:rPr>
        <w:t>Share</w:t>
      </w:r>
    </w:p>
    <w:p w14:paraId="4FDA8330" w14:textId="77777777" w:rsidR="005D1AC1" w:rsidRDefault="00000000">
      <w:pPr>
        <w:spacing w:line="326" w:lineRule="exact"/>
        <w:ind w:left="1391"/>
        <w:rPr>
          <w:i/>
          <w:sz w:val="20"/>
        </w:rPr>
      </w:pPr>
      <w:r>
        <w:rPr>
          <w:i/>
          <w:noProof/>
          <w:sz w:val="20"/>
        </w:rPr>
        <mc:AlternateContent>
          <mc:Choice Requires="wps">
            <w:drawing>
              <wp:anchor distT="0" distB="0" distL="0" distR="0" simplePos="0" relativeHeight="487272448" behindDoc="1" locked="0" layoutInCell="1" allowOverlap="1" wp14:anchorId="774C075A" wp14:editId="3AC2FC96">
                <wp:simplePos x="0" y="0"/>
                <wp:positionH relativeFrom="page">
                  <wp:posOffset>5129148</wp:posOffset>
                </wp:positionH>
                <wp:positionV relativeFrom="paragraph">
                  <wp:posOffset>54395</wp:posOffset>
                </wp:positionV>
                <wp:extent cx="1009650" cy="76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7620"/>
                        </a:xfrm>
                        <a:custGeom>
                          <a:avLst/>
                          <a:gdLst/>
                          <a:ahLst/>
                          <a:cxnLst/>
                          <a:rect l="l" t="t" r="r" b="b"/>
                          <a:pathLst>
                            <a:path w="1009650" h="7620">
                              <a:moveTo>
                                <a:pt x="1009192" y="0"/>
                              </a:moveTo>
                              <a:lnTo>
                                <a:pt x="0" y="0"/>
                              </a:lnTo>
                              <a:lnTo>
                                <a:pt x="0" y="7620"/>
                              </a:lnTo>
                              <a:lnTo>
                                <a:pt x="1009192" y="7620"/>
                              </a:lnTo>
                              <a:lnTo>
                                <a:pt x="1009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713664" id="Graphic 10" o:spid="_x0000_s1026" style="position:absolute;margin-left:403.85pt;margin-top:4.3pt;width:79.5pt;height:.6pt;z-index:-16044032;visibility:visible;mso-wrap-style:square;mso-wrap-distance-left:0;mso-wrap-distance-top:0;mso-wrap-distance-right:0;mso-wrap-distance-bottom:0;mso-position-horizontal:absolute;mso-position-horizontal-relative:page;mso-position-vertical:absolute;mso-position-vertical-relative:text;v-text-anchor:top" coordsize="10096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" path="m1009192,l,,,7620r1009192,l1009192,xe" fillcolor="black" stroked="f">
                <v:path arrowok="t"/>
                <w10:wrap anchorx="page"/>
              </v:shape>
            </w:pict>
          </mc:Fallback>
        </mc:AlternateContent>
      </w:r>
      <w:r>
        <w:rPr>
          <w:rFonts w:ascii="Cambria Math"/>
          <w:position w:val="13"/>
          <w:sz w:val="20"/>
        </w:rPr>
        <w:t>DPR</w:t>
      </w:r>
      <w:r>
        <w:rPr>
          <w:rFonts w:ascii="Cambria Math"/>
          <w:spacing w:val="10"/>
          <w:position w:val="13"/>
          <w:sz w:val="20"/>
        </w:rPr>
        <w:t xml:space="preserve"> </w:t>
      </w:r>
      <w:r>
        <w:rPr>
          <w:rFonts w:ascii="Cambria Math"/>
          <w:position w:val="13"/>
          <w:sz w:val="20"/>
        </w:rPr>
        <w:t>=</w:t>
      </w:r>
      <w:r>
        <w:rPr>
          <w:rFonts w:ascii="Cambria Math"/>
          <w:spacing w:val="47"/>
          <w:position w:val="13"/>
          <w:sz w:val="20"/>
        </w:rPr>
        <w:t xml:space="preserve"> </w:t>
      </w:r>
      <w:r>
        <w:rPr>
          <w:i/>
          <w:sz w:val="20"/>
        </w:rPr>
        <w:t>Earnings</w:t>
      </w:r>
      <w:r>
        <w:rPr>
          <w:i/>
          <w:spacing w:val="-4"/>
          <w:sz w:val="20"/>
        </w:rPr>
        <w:t xml:space="preserve"> </w:t>
      </w:r>
      <w:r>
        <w:rPr>
          <w:i/>
          <w:sz w:val="20"/>
        </w:rPr>
        <w:t>Per</w:t>
      </w:r>
      <w:r>
        <w:rPr>
          <w:i/>
          <w:spacing w:val="-4"/>
          <w:sz w:val="20"/>
        </w:rPr>
        <w:t xml:space="preserve"> Share</w:t>
      </w:r>
    </w:p>
    <w:p w14:paraId="0CE7AF18" w14:textId="77777777" w:rsidR="005D1AC1" w:rsidRDefault="005D1AC1">
      <w:pPr>
        <w:pStyle w:val="BodyText"/>
        <w:jc w:val="left"/>
        <w:rPr>
          <w:i/>
        </w:rPr>
      </w:pPr>
    </w:p>
    <w:p w14:paraId="2F34D95A" w14:textId="77777777" w:rsidR="005D1AC1" w:rsidRDefault="005D1AC1">
      <w:pPr>
        <w:pStyle w:val="BodyText"/>
        <w:spacing w:before="34"/>
        <w:jc w:val="left"/>
        <w:rPr>
          <w:i/>
        </w:rPr>
      </w:pPr>
    </w:p>
    <w:p w14:paraId="19831CED" w14:textId="77777777" w:rsidR="005D1AC1" w:rsidRDefault="00000000">
      <w:pPr>
        <w:pStyle w:val="ListParagraph"/>
        <w:numPr>
          <w:ilvl w:val="2"/>
          <w:numId w:val="5"/>
        </w:numPr>
        <w:tabs>
          <w:tab w:val="left" w:pos="512"/>
        </w:tabs>
        <w:spacing w:before="1"/>
        <w:ind w:left="512" w:hanging="222"/>
        <w:rPr>
          <w:i/>
          <w:sz w:val="20"/>
        </w:rPr>
      </w:pPr>
      <w:r>
        <w:rPr>
          <w:i/>
          <w:sz w:val="20"/>
        </w:rPr>
        <w:t>Investment</w:t>
      </w:r>
      <w:r>
        <w:rPr>
          <w:i/>
          <w:spacing w:val="-9"/>
          <w:sz w:val="20"/>
        </w:rPr>
        <w:t xml:space="preserve"> </w:t>
      </w:r>
      <w:r>
        <w:rPr>
          <w:i/>
          <w:spacing w:val="-2"/>
          <w:sz w:val="20"/>
        </w:rPr>
        <w:t>Decision</w:t>
      </w:r>
    </w:p>
    <w:p w14:paraId="55F971A9" w14:textId="77777777" w:rsidR="005D1AC1" w:rsidRDefault="00000000">
      <w:pPr>
        <w:pStyle w:val="BodyText"/>
        <w:spacing w:before="60" w:line="252" w:lineRule="auto"/>
        <w:ind w:left="86" w:right="221" w:firstLine="202"/>
      </w:pPr>
      <w:r>
        <w:t xml:space="preserve">Investment decisions can be defined as decisions concerning the allocation of sources of funds to the total assets owned by the company, both short-term assets and long-term assets (Purnamasari </w:t>
      </w:r>
      <w:r>
        <w:rPr>
          <w:i/>
        </w:rPr>
        <w:t>et al</w:t>
      </w:r>
      <w:r>
        <w:t>., 2009). Based on this understanding, investment decisions in this study are measured using the ratio of total asset growth (TAG), because</w:t>
      </w:r>
      <w:r>
        <w:rPr>
          <w:spacing w:val="-1"/>
        </w:rPr>
        <w:t xml:space="preserve"> </w:t>
      </w:r>
      <w:r>
        <w:t>the</w:t>
      </w:r>
      <w:r>
        <w:rPr>
          <w:spacing w:val="-1"/>
        </w:rPr>
        <w:t xml:space="preserve"> </w:t>
      </w:r>
      <w:r>
        <w:t>results</w:t>
      </w:r>
      <w:r>
        <w:rPr>
          <w:spacing w:val="-2"/>
        </w:rPr>
        <w:t xml:space="preserve"> </w:t>
      </w:r>
      <w:r>
        <w:t>of investment</w:t>
      </w:r>
      <w:r>
        <w:rPr>
          <w:spacing w:val="-1"/>
        </w:rPr>
        <w:t xml:space="preserve"> </w:t>
      </w:r>
      <w:r>
        <w:t>decisions</w:t>
      </w:r>
      <w:r>
        <w:rPr>
          <w:spacing w:val="-1"/>
        </w:rPr>
        <w:t xml:space="preserve"> </w:t>
      </w:r>
      <w:r>
        <w:t>can be</w:t>
      </w:r>
      <w:r>
        <w:rPr>
          <w:spacing w:val="-1"/>
        </w:rPr>
        <w:t xml:space="preserve"> </w:t>
      </w:r>
      <w:r>
        <w:t xml:space="preserve">seen from the increase in asset growth. Some researchers such as Harnovinsah &amp; Alamsyah (2017), Florentina (2013), Purnamasari </w:t>
      </w:r>
      <w:r>
        <w:rPr>
          <w:i/>
        </w:rPr>
        <w:t>et al</w:t>
      </w:r>
      <w:r>
        <w:t>. (2009), also uses total asset growth</w:t>
      </w:r>
      <w:r>
        <w:rPr>
          <w:spacing w:val="40"/>
        </w:rPr>
        <w:t xml:space="preserve"> </w:t>
      </w:r>
      <w:r>
        <w:t>(TAG) as a proxy for investment decisions in his research.</w:t>
      </w:r>
    </w:p>
    <w:p w14:paraId="5D8A37C2" w14:textId="77777777" w:rsidR="005D1AC1" w:rsidRDefault="00000000">
      <w:pPr>
        <w:spacing w:before="208" w:line="192" w:lineRule="exact"/>
        <w:ind w:left="544" w:right="49"/>
        <w:jc w:val="center"/>
        <w:rPr>
          <w:i/>
          <w:sz w:val="20"/>
        </w:rPr>
      </w:pPr>
      <w:r>
        <w:rPr>
          <w:i/>
          <w:sz w:val="20"/>
        </w:rPr>
        <w:t>total</w:t>
      </w:r>
      <w:r>
        <w:rPr>
          <w:i/>
          <w:spacing w:val="-6"/>
          <w:sz w:val="20"/>
        </w:rPr>
        <w:t xml:space="preserve"> </w:t>
      </w:r>
      <w:r>
        <w:rPr>
          <w:i/>
          <w:sz w:val="20"/>
        </w:rPr>
        <w:t>assets</w:t>
      </w:r>
      <w:r>
        <w:rPr>
          <w:i/>
          <w:spacing w:val="-5"/>
          <w:sz w:val="20"/>
        </w:rPr>
        <w:t xml:space="preserve"> </w:t>
      </w:r>
      <w:r>
        <w:rPr>
          <w:i/>
          <w:sz w:val="20"/>
        </w:rPr>
        <w:t>t</w:t>
      </w:r>
      <w:r>
        <w:rPr>
          <w:i/>
          <w:spacing w:val="-3"/>
          <w:sz w:val="20"/>
        </w:rPr>
        <w:t xml:space="preserve"> </w:t>
      </w:r>
      <w:r>
        <w:rPr>
          <w:i/>
          <w:sz w:val="20"/>
        </w:rPr>
        <w:t>-</w:t>
      </w:r>
      <w:r>
        <w:rPr>
          <w:i/>
          <w:spacing w:val="-3"/>
          <w:sz w:val="20"/>
        </w:rPr>
        <w:t xml:space="preserve"> </w:t>
      </w:r>
      <w:r>
        <w:rPr>
          <w:i/>
          <w:sz w:val="20"/>
        </w:rPr>
        <w:t>total</w:t>
      </w:r>
      <w:r>
        <w:rPr>
          <w:i/>
          <w:spacing w:val="-6"/>
          <w:sz w:val="20"/>
        </w:rPr>
        <w:t xml:space="preserve"> </w:t>
      </w:r>
      <w:r>
        <w:rPr>
          <w:i/>
          <w:sz w:val="20"/>
        </w:rPr>
        <w:t>assets</w:t>
      </w:r>
      <w:r>
        <w:rPr>
          <w:i/>
          <w:spacing w:val="-5"/>
          <w:sz w:val="20"/>
        </w:rPr>
        <w:t xml:space="preserve"> </w:t>
      </w:r>
      <w:r>
        <w:rPr>
          <w:i/>
          <w:sz w:val="20"/>
        </w:rPr>
        <w:t>t-</w:t>
      </w:r>
      <w:r>
        <w:rPr>
          <w:i/>
          <w:spacing w:val="-10"/>
          <w:sz w:val="20"/>
        </w:rPr>
        <w:t>1</w:t>
      </w:r>
    </w:p>
    <w:p w14:paraId="3C0AEB98" w14:textId="4B0F9219" w:rsidR="005D1AC1" w:rsidRPr="00045BAB" w:rsidRDefault="00000000" w:rsidP="00045BAB">
      <w:pPr>
        <w:tabs>
          <w:tab w:val="left" w:pos="2258"/>
        </w:tabs>
        <w:spacing w:line="326" w:lineRule="exact"/>
        <w:ind w:left="1039"/>
        <w:rPr>
          <w:i/>
          <w:sz w:val="20"/>
        </w:rPr>
      </w:pPr>
      <w:r>
        <w:rPr>
          <w:i/>
          <w:noProof/>
          <w:sz w:val="20"/>
        </w:rPr>
        <mc:AlternateContent>
          <mc:Choice Requires="wps">
            <w:drawing>
              <wp:anchor distT="0" distB="0" distL="0" distR="0" simplePos="0" relativeHeight="487272960" behindDoc="1" locked="0" layoutInCell="1" allowOverlap="1" wp14:anchorId="6560C7C1" wp14:editId="4CDC18F8">
                <wp:simplePos x="0" y="0"/>
                <wp:positionH relativeFrom="page">
                  <wp:posOffset>4880736</wp:posOffset>
                </wp:positionH>
                <wp:positionV relativeFrom="paragraph">
                  <wp:posOffset>54271</wp:posOffset>
                </wp:positionV>
                <wp:extent cx="1482090" cy="76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2090" cy="7620"/>
                        </a:xfrm>
                        <a:custGeom>
                          <a:avLst/>
                          <a:gdLst/>
                          <a:ahLst/>
                          <a:cxnLst/>
                          <a:rect l="l" t="t" r="r" b="b"/>
                          <a:pathLst>
                            <a:path w="1482090" h="7620">
                              <a:moveTo>
                                <a:pt x="1481582" y="0"/>
                              </a:moveTo>
                              <a:lnTo>
                                <a:pt x="0" y="0"/>
                              </a:lnTo>
                              <a:lnTo>
                                <a:pt x="0" y="7619"/>
                              </a:lnTo>
                              <a:lnTo>
                                <a:pt x="1481582" y="7619"/>
                              </a:lnTo>
                              <a:lnTo>
                                <a:pt x="1481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68F23C" id="Graphic 11" o:spid="_x0000_s1026" style="position:absolute;margin-left:384.3pt;margin-top:4.25pt;width:116.7pt;height:.6pt;z-index:-16043520;visibility:visible;mso-wrap-style:square;mso-wrap-distance-left:0;mso-wrap-distance-top:0;mso-wrap-distance-right:0;mso-wrap-distance-bottom:0;mso-position-horizontal:absolute;mso-position-horizontal-relative:page;mso-position-vertical:absolute;mso-position-vertical-relative:text;v-text-anchor:top" coordsize="148209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" path="m1481582,l,,,7619r1481582,l1481582,xe" fillcolor="black" stroked="f">
                <v:path arrowok="t"/>
                <w10:wrap anchorx="page"/>
              </v:shape>
            </w:pict>
          </mc:Fallback>
        </mc:AlternateContent>
      </w:r>
      <w:r>
        <w:rPr>
          <w:rFonts w:ascii="Cambria Math"/>
          <w:position w:val="13"/>
          <w:sz w:val="20"/>
        </w:rPr>
        <w:t>TAG</w:t>
      </w:r>
      <w:r>
        <w:rPr>
          <w:rFonts w:ascii="Cambria Math"/>
          <w:spacing w:val="-5"/>
          <w:position w:val="13"/>
          <w:sz w:val="20"/>
        </w:rPr>
        <w:t xml:space="preserve"> </w:t>
      </w:r>
      <w:r>
        <w:rPr>
          <w:rFonts w:ascii="Cambria Math"/>
          <w:spacing w:val="-10"/>
          <w:position w:val="13"/>
          <w:sz w:val="20"/>
        </w:rPr>
        <w:t>=</w:t>
      </w:r>
      <w:r>
        <w:rPr>
          <w:rFonts w:ascii="Cambria Math"/>
          <w:position w:val="13"/>
          <w:sz w:val="20"/>
        </w:rPr>
        <w:tab/>
      </w:r>
      <w:r>
        <w:rPr>
          <w:i/>
          <w:sz w:val="20"/>
        </w:rPr>
        <w:t>total</w:t>
      </w:r>
      <w:r>
        <w:rPr>
          <w:i/>
          <w:spacing w:val="-7"/>
          <w:sz w:val="20"/>
        </w:rPr>
        <w:t xml:space="preserve"> </w:t>
      </w:r>
      <w:r>
        <w:rPr>
          <w:i/>
          <w:sz w:val="20"/>
        </w:rPr>
        <w:t>assets</w:t>
      </w:r>
      <w:r>
        <w:rPr>
          <w:i/>
          <w:spacing w:val="-7"/>
          <w:sz w:val="20"/>
        </w:rPr>
        <w:t xml:space="preserve"> </w:t>
      </w:r>
      <w:r>
        <w:rPr>
          <w:i/>
          <w:sz w:val="20"/>
        </w:rPr>
        <w:t>t-</w:t>
      </w:r>
      <w:r>
        <w:rPr>
          <w:i/>
          <w:spacing w:val="-10"/>
          <w:sz w:val="20"/>
        </w:rPr>
        <w:t>1</w:t>
      </w:r>
    </w:p>
    <w:p w14:paraId="09FCE816" w14:textId="77777777" w:rsidR="005D1AC1" w:rsidRDefault="00000000">
      <w:pPr>
        <w:pStyle w:val="ListParagraph"/>
        <w:numPr>
          <w:ilvl w:val="2"/>
          <w:numId w:val="5"/>
        </w:numPr>
        <w:tabs>
          <w:tab w:val="left" w:pos="512"/>
        </w:tabs>
        <w:spacing w:before="1"/>
        <w:ind w:left="512" w:hanging="222"/>
        <w:rPr>
          <w:i/>
          <w:sz w:val="20"/>
        </w:rPr>
      </w:pPr>
      <w:r>
        <w:rPr>
          <w:i/>
          <w:spacing w:val="-2"/>
          <w:sz w:val="20"/>
        </w:rPr>
        <w:t>Leverage</w:t>
      </w:r>
    </w:p>
    <w:p w14:paraId="46603A81" w14:textId="77777777" w:rsidR="005D1AC1" w:rsidRDefault="00000000">
      <w:pPr>
        <w:pStyle w:val="BodyText"/>
        <w:spacing w:before="60" w:line="252" w:lineRule="auto"/>
        <w:ind w:left="86" w:right="222" w:firstLine="202"/>
      </w:pPr>
      <w:r>
        <w:t>Leverage is a measure to see how much of the assets in</w:t>
      </w:r>
      <w:r>
        <w:rPr>
          <w:spacing w:val="40"/>
        </w:rPr>
        <w:t xml:space="preserve"> </w:t>
      </w:r>
      <w:r>
        <w:t>the company are financed by debt (Makhdalena, 2018). The financial leverage ratio in this study was obtained by comparing the total debt with total assets, as referred to in</w:t>
      </w:r>
      <w:r>
        <w:rPr>
          <w:spacing w:val="40"/>
        </w:rPr>
        <w:t xml:space="preserve"> </w:t>
      </w:r>
      <w:r>
        <w:t xml:space="preserve">his research Cheryta </w:t>
      </w:r>
      <w:r>
        <w:rPr>
          <w:i/>
        </w:rPr>
        <w:t>et al</w:t>
      </w:r>
      <w:r>
        <w:t>. (2018), Makhdalena (2018), Yuharningsih (2008).</w:t>
      </w:r>
    </w:p>
    <w:p w14:paraId="74B14EA3" w14:textId="77777777" w:rsidR="005D1AC1" w:rsidRDefault="005D1AC1">
      <w:pPr>
        <w:pStyle w:val="BodyText"/>
        <w:spacing w:line="252" w:lineRule="auto"/>
        <w:sectPr w:rsidR="005D1AC1">
          <w:pgSz w:w="11910" w:h="16840"/>
          <w:pgMar w:top="900" w:right="708" w:bottom="680" w:left="850" w:header="14" w:footer="481" w:gutter="0"/>
          <w:cols w:num="2" w:space="720" w:equalWidth="0">
            <w:col w:w="5006" w:space="155"/>
            <w:col w:w="5191"/>
          </w:cols>
        </w:sectPr>
      </w:pPr>
    </w:p>
    <w:p w14:paraId="5122B302" w14:textId="77777777" w:rsidR="005D1AC1" w:rsidRDefault="00000000">
      <w:pPr>
        <w:spacing w:before="80" w:line="194" w:lineRule="exact"/>
        <w:ind w:left="2589"/>
        <w:rPr>
          <w:i/>
          <w:sz w:val="20"/>
        </w:rPr>
      </w:pPr>
      <w:r>
        <w:rPr>
          <w:i/>
          <w:sz w:val="20"/>
        </w:rPr>
        <w:lastRenderedPageBreak/>
        <w:t>Total</w:t>
      </w:r>
      <w:r>
        <w:rPr>
          <w:i/>
          <w:spacing w:val="-6"/>
          <w:sz w:val="20"/>
        </w:rPr>
        <w:t xml:space="preserve"> </w:t>
      </w:r>
      <w:r>
        <w:rPr>
          <w:i/>
          <w:spacing w:val="-4"/>
          <w:sz w:val="20"/>
        </w:rPr>
        <w:t>Debt</w:t>
      </w:r>
    </w:p>
    <w:p w14:paraId="3B3A2DDE" w14:textId="77777777" w:rsidR="005D1AC1" w:rsidRDefault="00000000">
      <w:pPr>
        <w:spacing w:line="324" w:lineRule="exact"/>
        <w:ind w:left="82"/>
        <w:jc w:val="center"/>
        <w:rPr>
          <w:i/>
          <w:sz w:val="20"/>
        </w:rPr>
      </w:pPr>
      <w:r>
        <w:rPr>
          <w:i/>
          <w:noProof/>
          <w:sz w:val="20"/>
        </w:rPr>
        <mc:AlternateContent>
          <mc:Choice Requires="wps">
            <w:drawing>
              <wp:anchor distT="0" distB="0" distL="0" distR="0" simplePos="0" relativeHeight="487273472" behindDoc="1" locked="0" layoutInCell="1" allowOverlap="1" wp14:anchorId="32B6C47A" wp14:editId="289C42C1">
                <wp:simplePos x="0" y="0"/>
                <wp:positionH relativeFrom="page">
                  <wp:posOffset>2149094</wp:posOffset>
                </wp:positionH>
                <wp:positionV relativeFrom="paragraph">
                  <wp:posOffset>53797</wp:posOffset>
                </wp:positionV>
                <wp:extent cx="617855" cy="762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855" cy="7620"/>
                        </a:xfrm>
                        <a:custGeom>
                          <a:avLst/>
                          <a:gdLst/>
                          <a:ahLst/>
                          <a:cxnLst/>
                          <a:rect l="l" t="t" r="r" b="b"/>
                          <a:pathLst>
                            <a:path w="617855" h="7620">
                              <a:moveTo>
                                <a:pt x="617524" y="0"/>
                              </a:moveTo>
                              <a:lnTo>
                                <a:pt x="0" y="0"/>
                              </a:lnTo>
                              <a:lnTo>
                                <a:pt x="0" y="7620"/>
                              </a:lnTo>
                              <a:lnTo>
                                <a:pt x="617524" y="7620"/>
                              </a:lnTo>
                              <a:lnTo>
                                <a:pt x="617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C1D177" id="Graphic 12" o:spid="_x0000_s1026" style="position:absolute;margin-left:169.2pt;margin-top:4.25pt;width:48.65pt;height:.6pt;z-index:-16043008;visibility:visible;mso-wrap-style:square;mso-wrap-distance-left:0;mso-wrap-distance-top:0;mso-wrap-distance-right:0;mso-wrap-distance-bottom:0;mso-position-horizontal:absolute;mso-position-horizontal-relative:page;mso-position-vertical:absolute;mso-position-vertical-relative:text;v-text-anchor:top" coordsize="61785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" path="m617524,l,,,7620r617524,l617524,xe" fillcolor="black" stroked="f">
                <v:path arrowok="t"/>
                <w10:wrap anchorx="page"/>
              </v:shape>
            </w:pict>
          </mc:Fallback>
        </mc:AlternateContent>
      </w:r>
      <w:r>
        <w:rPr>
          <w:position w:val="13"/>
          <w:sz w:val="20"/>
        </w:rPr>
        <w:t>Leverage</w:t>
      </w:r>
      <w:r>
        <w:rPr>
          <w:spacing w:val="-3"/>
          <w:position w:val="13"/>
          <w:sz w:val="20"/>
        </w:rPr>
        <w:t xml:space="preserve"> </w:t>
      </w:r>
      <w:r>
        <w:rPr>
          <w:position w:val="13"/>
          <w:sz w:val="20"/>
        </w:rPr>
        <w:t>=</w:t>
      </w:r>
      <w:r>
        <w:rPr>
          <w:spacing w:val="28"/>
          <w:position w:val="13"/>
          <w:sz w:val="20"/>
        </w:rPr>
        <w:t xml:space="preserve"> </w:t>
      </w:r>
      <w:r>
        <w:rPr>
          <w:i/>
          <w:sz w:val="20"/>
        </w:rPr>
        <w:t>Total</w:t>
      </w:r>
      <w:r>
        <w:rPr>
          <w:i/>
          <w:spacing w:val="-3"/>
          <w:sz w:val="20"/>
        </w:rPr>
        <w:t xml:space="preserve"> </w:t>
      </w:r>
      <w:r>
        <w:rPr>
          <w:i/>
          <w:spacing w:val="-2"/>
          <w:sz w:val="20"/>
        </w:rPr>
        <w:t>Assets</w:t>
      </w:r>
    </w:p>
    <w:p w14:paraId="41FE64D5" w14:textId="77777777" w:rsidR="005D1AC1" w:rsidRDefault="005D1AC1">
      <w:pPr>
        <w:pStyle w:val="BodyText"/>
        <w:spacing w:before="93"/>
        <w:jc w:val="left"/>
        <w:rPr>
          <w:i/>
        </w:rPr>
      </w:pPr>
    </w:p>
    <w:p w14:paraId="576F0848" w14:textId="77777777" w:rsidR="005D1AC1" w:rsidRDefault="00000000">
      <w:pPr>
        <w:pStyle w:val="ListParagraph"/>
        <w:numPr>
          <w:ilvl w:val="2"/>
          <w:numId w:val="5"/>
        </w:numPr>
        <w:tabs>
          <w:tab w:val="left" w:pos="512"/>
        </w:tabs>
        <w:ind w:left="512" w:hanging="222"/>
        <w:rPr>
          <w:i/>
          <w:sz w:val="20"/>
        </w:rPr>
      </w:pPr>
      <w:r>
        <w:rPr>
          <w:i/>
          <w:spacing w:val="-2"/>
          <w:sz w:val="20"/>
        </w:rPr>
        <w:t>Profitability</w:t>
      </w:r>
    </w:p>
    <w:p w14:paraId="599DA83E" w14:textId="77777777" w:rsidR="005D1AC1" w:rsidRDefault="00000000">
      <w:pPr>
        <w:pStyle w:val="BodyText"/>
        <w:spacing w:before="60" w:line="252" w:lineRule="auto"/>
        <w:ind w:left="85" w:firstLine="201"/>
      </w:pPr>
      <w:r>
        <w:t xml:space="preserve">The profitability ratio in this study was measured using return on assets (ROA). Return on assets (ROA) is a profitability ratio that gives how much profit the company can generate from its assets (Jihadi </w:t>
      </w:r>
      <w:r>
        <w:rPr>
          <w:i/>
        </w:rPr>
        <w:t>et al</w:t>
      </w:r>
      <w:r>
        <w:t xml:space="preserve">., 2021). Some researchers such as Jihadi </w:t>
      </w:r>
      <w:r>
        <w:rPr>
          <w:i/>
        </w:rPr>
        <w:t>et al</w:t>
      </w:r>
      <w:r>
        <w:t xml:space="preserve">. (2021), Endri &amp; Fathony (2020), Kadim </w:t>
      </w:r>
      <w:r>
        <w:rPr>
          <w:i/>
        </w:rPr>
        <w:t>et al</w:t>
      </w:r>
      <w:r>
        <w:t xml:space="preserve">. (2020), Lisa (2017), Chen &amp; Chen (2011), also use ROA as a proxy for profitability in their </w:t>
      </w:r>
      <w:r>
        <w:rPr>
          <w:spacing w:val="-2"/>
        </w:rPr>
        <w:t>research.</w:t>
      </w:r>
    </w:p>
    <w:p w14:paraId="104C368E" w14:textId="77777777" w:rsidR="005D1AC1" w:rsidRDefault="00000000">
      <w:pPr>
        <w:spacing w:before="192" w:line="207" w:lineRule="exact"/>
        <w:ind w:left="2359"/>
        <w:rPr>
          <w:rFonts w:ascii="Cambria Math"/>
          <w:sz w:val="21"/>
        </w:rPr>
      </w:pPr>
      <w:r>
        <w:rPr>
          <w:rFonts w:ascii="Cambria Math"/>
          <w:spacing w:val="-8"/>
          <w:sz w:val="21"/>
        </w:rPr>
        <w:t>Net</w:t>
      </w:r>
      <w:r>
        <w:rPr>
          <w:rFonts w:ascii="Cambria Math"/>
          <w:spacing w:val="-1"/>
          <w:sz w:val="21"/>
        </w:rPr>
        <w:t xml:space="preserve"> </w:t>
      </w:r>
      <w:r>
        <w:rPr>
          <w:rFonts w:ascii="Cambria Math"/>
          <w:spacing w:val="-2"/>
          <w:sz w:val="21"/>
        </w:rPr>
        <w:t>Income</w:t>
      </w:r>
    </w:p>
    <w:p w14:paraId="56D5ABDE" w14:textId="77777777" w:rsidR="005D1AC1" w:rsidRDefault="00000000">
      <w:pPr>
        <w:spacing w:line="327" w:lineRule="exact"/>
        <w:ind w:left="82" w:right="2"/>
        <w:jc w:val="center"/>
        <w:rPr>
          <w:rFonts w:ascii="Cambria Math"/>
          <w:sz w:val="21"/>
        </w:rPr>
      </w:pPr>
      <w:r>
        <w:rPr>
          <w:rFonts w:ascii="Cambria Math"/>
          <w:noProof/>
          <w:sz w:val="21"/>
        </w:rPr>
        <mc:AlternateContent>
          <mc:Choice Requires="wps">
            <w:drawing>
              <wp:anchor distT="0" distB="0" distL="0" distR="0" simplePos="0" relativeHeight="487273984" behindDoc="1" locked="0" layoutInCell="1" allowOverlap="1" wp14:anchorId="0DB9B611" wp14:editId="288A5663">
                <wp:simplePos x="0" y="0"/>
                <wp:positionH relativeFrom="page">
                  <wp:posOffset>2019554</wp:posOffset>
                </wp:positionH>
                <wp:positionV relativeFrom="paragraph">
                  <wp:posOffset>53266</wp:posOffset>
                </wp:positionV>
                <wp:extent cx="659130" cy="76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130" cy="7620"/>
                        </a:xfrm>
                        <a:custGeom>
                          <a:avLst/>
                          <a:gdLst/>
                          <a:ahLst/>
                          <a:cxnLst/>
                          <a:rect l="l" t="t" r="r" b="b"/>
                          <a:pathLst>
                            <a:path w="659130" h="7620">
                              <a:moveTo>
                                <a:pt x="658672" y="0"/>
                              </a:moveTo>
                              <a:lnTo>
                                <a:pt x="0" y="0"/>
                              </a:lnTo>
                              <a:lnTo>
                                <a:pt x="0" y="7620"/>
                              </a:lnTo>
                              <a:lnTo>
                                <a:pt x="658672" y="7620"/>
                              </a:lnTo>
                              <a:lnTo>
                                <a:pt x="658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1BFC8E" id="Graphic 13" o:spid="_x0000_s1026" style="position:absolute;margin-left:159pt;margin-top:4.2pt;width:51.9pt;height:.6pt;z-index:-16042496;visibility:visible;mso-wrap-style:square;mso-wrap-distance-left:0;mso-wrap-distance-top:0;mso-wrap-distance-right:0;mso-wrap-distance-bottom:0;mso-position-horizontal:absolute;mso-position-horizontal-relative:page;mso-position-vertical:absolute;mso-position-vertical-relative:text;v-text-anchor:top" coordsize="6591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" path="m658672,l,,,7620r658672,l658672,xe" fillcolor="black" stroked="f">
                <v:path arrowok="t"/>
                <w10:wrap anchorx="page"/>
              </v:shape>
            </w:pict>
          </mc:Fallback>
        </mc:AlternateContent>
      </w:r>
      <w:r>
        <w:rPr>
          <w:rFonts w:ascii="Cambria Math"/>
          <w:position w:val="13"/>
          <w:sz w:val="20"/>
        </w:rPr>
        <w:t>ROA</w:t>
      </w:r>
      <w:r>
        <w:rPr>
          <w:rFonts w:ascii="Cambria Math"/>
          <w:spacing w:val="-12"/>
          <w:position w:val="13"/>
          <w:sz w:val="20"/>
        </w:rPr>
        <w:t xml:space="preserve"> </w:t>
      </w:r>
      <w:r>
        <w:rPr>
          <w:rFonts w:ascii="Cambria Math"/>
          <w:position w:val="13"/>
          <w:sz w:val="20"/>
        </w:rPr>
        <w:t>=</w:t>
      </w:r>
      <w:r>
        <w:rPr>
          <w:rFonts w:ascii="Cambria Math"/>
          <w:spacing w:val="16"/>
          <w:position w:val="13"/>
          <w:sz w:val="20"/>
        </w:rPr>
        <w:t xml:space="preserve"> </w:t>
      </w:r>
      <w:r>
        <w:rPr>
          <w:rFonts w:ascii="Cambria Math"/>
          <w:sz w:val="21"/>
        </w:rPr>
        <w:t>Total</w:t>
      </w:r>
      <w:r>
        <w:rPr>
          <w:rFonts w:ascii="Cambria Math"/>
          <w:spacing w:val="-12"/>
          <w:sz w:val="21"/>
        </w:rPr>
        <w:t xml:space="preserve"> </w:t>
      </w:r>
      <w:r>
        <w:rPr>
          <w:rFonts w:ascii="Cambria Math"/>
          <w:spacing w:val="-2"/>
          <w:sz w:val="21"/>
        </w:rPr>
        <w:t>Assets</w:t>
      </w:r>
    </w:p>
    <w:p w14:paraId="5E2F4C06" w14:textId="77777777" w:rsidR="005D1AC1" w:rsidRDefault="005D1AC1">
      <w:pPr>
        <w:pStyle w:val="BodyText"/>
        <w:spacing w:before="58"/>
        <w:jc w:val="left"/>
        <w:rPr>
          <w:rFonts w:ascii="Cambria Math"/>
          <w:sz w:val="21"/>
        </w:rPr>
      </w:pPr>
    </w:p>
    <w:p w14:paraId="57845CFE" w14:textId="77777777" w:rsidR="005D1AC1" w:rsidRDefault="00000000">
      <w:pPr>
        <w:pStyle w:val="ListParagraph"/>
        <w:numPr>
          <w:ilvl w:val="2"/>
          <w:numId w:val="5"/>
        </w:numPr>
        <w:tabs>
          <w:tab w:val="left" w:pos="512"/>
        </w:tabs>
        <w:ind w:left="512" w:hanging="222"/>
        <w:rPr>
          <w:i/>
          <w:sz w:val="20"/>
        </w:rPr>
      </w:pPr>
      <w:r>
        <w:rPr>
          <w:i/>
          <w:sz w:val="20"/>
        </w:rPr>
        <w:t>Firm</w:t>
      </w:r>
      <w:r>
        <w:rPr>
          <w:i/>
          <w:spacing w:val="-7"/>
          <w:sz w:val="20"/>
        </w:rPr>
        <w:t xml:space="preserve"> </w:t>
      </w:r>
      <w:r>
        <w:rPr>
          <w:i/>
          <w:spacing w:val="-4"/>
          <w:sz w:val="20"/>
        </w:rPr>
        <w:t>Size</w:t>
      </w:r>
    </w:p>
    <w:p w14:paraId="0BF05BCF" w14:textId="40F67E7D" w:rsidR="005D1AC1" w:rsidRDefault="00000000">
      <w:pPr>
        <w:pStyle w:val="BodyText"/>
        <w:spacing w:before="58" w:line="252" w:lineRule="auto"/>
        <w:ind w:left="85" w:right="1" w:firstLine="201"/>
      </w:pPr>
      <w:r>
        <w:t xml:space="preserve">According to Adi </w:t>
      </w:r>
      <w:r>
        <w:rPr>
          <w:i/>
        </w:rPr>
        <w:t>et al</w:t>
      </w:r>
      <w:r>
        <w:t xml:space="preserve">. (2020) firm size is a scale </w:t>
      </w:r>
      <w:r w:rsidR="00045BAB">
        <w:t>on</w:t>
      </w:r>
      <w:r>
        <w:rPr>
          <w:spacing w:val="40"/>
        </w:rPr>
        <w:t xml:space="preserve"> </w:t>
      </w:r>
      <w:r>
        <w:t xml:space="preserve">which companies are classified according to their size based on the total assets of a company. The larger the total assets, the larger the size of the company (Adi </w:t>
      </w:r>
      <w:r>
        <w:rPr>
          <w:i/>
        </w:rPr>
        <w:t>et al</w:t>
      </w:r>
      <w:r>
        <w:t>., 2020). Company size in this study was measured using the natural logarithm of total assets, as referred to in his research Endri &amp; Fathony (2020), Makhdalena (2018), Sujoko (2006).</w:t>
      </w:r>
    </w:p>
    <w:p w14:paraId="1EFEDE61" w14:textId="77777777" w:rsidR="005D1AC1" w:rsidRDefault="005D1AC1">
      <w:pPr>
        <w:pStyle w:val="BodyText"/>
        <w:spacing w:before="1"/>
        <w:jc w:val="left"/>
      </w:pPr>
    </w:p>
    <w:p w14:paraId="32A60256" w14:textId="77777777" w:rsidR="005D1AC1" w:rsidRDefault="00000000">
      <w:pPr>
        <w:pStyle w:val="BodyText"/>
        <w:ind w:left="82" w:right="1"/>
        <w:jc w:val="center"/>
        <w:rPr>
          <w:rFonts w:ascii="Cambria Math"/>
        </w:rPr>
      </w:pPr>
      <w:r>
        <w:rPr>
          <w:rFonts w:ascii="Cambria Math"/>
        </w:rPr>
        <w:t>Firm</w:t>
      </w:r>
      <w:r>
        <w:rPr>
          <w:rFonts w:ascii="Cambria Math"/>
          <w:spacing w:val="-7"/>
        </w:rPr>
        <w:t xml:space="preserve"> </w:t>
      </w:r>
      <w:r>
        <w:rPr>
          <w:rFonts w:ascii="Cambria Math"/>
        </w:rPr>
        <w:t>Size</w:t>
      </w:r>
      <w:r>
        <w:rPr>
          <w:rFonts w:ascii="Cambria Math"/>
          <w:spacing w:val="-3"/>
        </w:rPr>
        <w:t xml:space="preserve"> </w:t>
      </w:r>
      <w:r>
        <w:rPr>
          <w:rFonts w:ascii="Cambria Math"/>
        </w:rPr>
        <w:t>=</w:t>
      </w:r>
      <w:r>
        <w:rPr>
          <w:rFonts w:ascii="Cambria Math"/>
          <w:spacing w:val="-3"/>
        </w:rPr>
        <w:t xml:space="preserve"> </w:t>
      </w:r>
      <w:r>
        <w:rPr>
          <w:rFonts w:ascii="Cambria Math"/>
        </w:rPr>
        <w:t>Ln</w:t>
      </w:r>
      <w:r>
        <w:rPr>
          <w:rFonts w:ascii="Cambria Math"/>
          <w:spacing w:val="-5"/>
        </w:rPr>
        <w:t xml:space="preserve"> </w:t>
      </w:r>
      <w:r>
        <w:rPr>
          <w:rFonts w:ascii="Cambria Math"/>
        </w:rPr>
        <w:t>(total</w:t>
      </w:r>
      <w:r>
        <w:rPr>
          <w:rFonts w:ascii="Cambria Math"/>
          <w:spacing w:val="-3"/>
        </w:rPr>
        <w:t xml:space="preserve"> </w:t>
      </w:r>
      <w:r>
        <w:rPr>
          <w:rFonts w:ascii="Cambria Math"/>
          <w:spacing w:val="-2"/>
        </w:rPr>
        <w:t>assets)</w:t>
      </w:r>
    </w:p>
    <w:p w14:paraId="25B46194" w14:textId="77777777" w:rsidR="005D1AC1" w:rsidRDefault="005D1AC1">
      <w:pPr>
        <w:pStyle w:val="BodyText"/>
        <w:spacing w:before="127"/>
        <w:jc w:val="left"/>
        <w:rPr>
          <w:rFonts w:ascii="Cambria Math"/>
        </w:rPr>
      </w:pPr>
    </w:p>
    <w:p w14:paraId="1410376C" w14:textId="77777777" w:rsidR="005D1AC1" w:rsidRDefault="00000000">
      <w:pPr>
        <w:pStyle w:val="ListParagraph"/>
        <w:numPr>
          <w:ilvl w:val="0"/>
          <w:numId w:val="5"/>
        </w:numPr>
        <w:tabs>
          <w:tab w:val="left" w:pos="556"/>
        </w:tabs>
        <w:spacing w:before="1"/>
        <w:ind w:left="556" w:hanging="326"/>
        <w:rPr>
          <w:i/>
          <w:sz w:val="20"/>
        </w:rPr>
      </w:pPr>
      <w:r>
        <w:rPr>
          <w:i/>
          <w:sz w:val="20"/>
        </w:rPr>
        <w:t>Data</w:t>
      </w:r>
      <w:r>
        <w:rPr>
          <w:i/>
          <w:spacing w:val="-5"/>
          <w:sz w:val="20"/>
        </w:rPr>
        <w:t xml:space="preserve"> </w:t>
      </w:r>
      <w:r>
        <w:rPr>
          <w:i/>
          <w:sz w:val="20"/>
        </w:rPr>
        <w:t>Analysis</w:t>
      </w:r>
      <w:r>
        <w:rPr>
          <w:i/>
          <w:spacing w:val="-6"/>
          <w:sz w:val="20"/>
        </w:rPr>
        <w:t xml:space="preserve"> </w:t>
      </w:r>
      <w:r>
        <w:rPr>
          <w:i/>
          <w:sz w:val="20"/>
        </w:rPr>
        <w:t>Techniques</w:t>
      </w:r>
      <w:r>
        <w:rPr>
          <w:i/>
          <w:spacing w:val="-6"/>
          <w:sz w:val="20"/>
        </w:rPr>
        <w:t xml:space="preserve"> </w:t>
      </w:r>
      <w:r>
        <w:rPr>
          <w:i/>
          <w:sz w:val="20"/>
        </w:rPr>
        <w:t>and</w:t>
      </w:r>
      <w:r>
        <w:rPr>
          <w:i/>
          <w:spacing w:val="-6"/>
          <w:sz w:val="20"/>
        </w:rPr>
        <w:t xml:space="preserve"> </w:t>
      </w:r>
      <w:r>
        <w:rPr>
          <w:i/>
          <w:sz w:val="20"/>
        </w:rPr>
        <w:t>Hypothesis</w:t>
      </w:r>
      <w:r>
        <w:rPr>
          <w:i/>
          <w:spacing w:val="-6"/>
          <w:sz w:val="20"/>
        </w:rPr>
        <w:t xml:space="preserve"> </w:t>
      </w:r>
      <w:r>
        <w:rPr>
          <w:i/>
          <w:spacing w:val="-2"/>
          <w:sz w:val="20"/>
        </w:rPr>
        <w:t>Testing</w:t>
      </w:r>
    </w:p>
    <w:p w14:paraId="4D2AD6BE" w14:textId="1BA328F9" w:rsidR="005D1AC1" w:rsidRDefault="00000000">
      <w:pPr>
        <w:pStyle w:val="BodyText"/>
        <w:spacing w:before="60" w:line="252" w:lineRule="auto"/>
        <w:ind w:left="85" w:right="3" w:firstLine="201"/>
      </w:pPr>
      <w:r>
        <w:t>This study uses panel data regression as the analysis method. The purpose of panel data regression analysis is to determine the influence and strength of the relationship between the independent variable and the dependent variable.</w:t>
      </w:r>
      <w:r>
        <w:rPr>
          <w:spacing w:val="-2"/>
        </w:rPr>
        <w:t xml:space="preserve"> </w:t>
      </w:r>
      <w:r>
        <w:t>Panel</w:t>
      </w:r>
      <w:r>
        <w:rPr>
          <w:spacing w:val="-6"/>
        </w:rPr>
        <w:t xml:space="preserve"> </w:t>
      </w:r>
      <w:r>
        <w:t>data</w:t>
      </w:r>
      <w:r>
        <w:rPr>
          <w:spacing w:val="-6"/>
        </w:rPr>
        <w:t xml:space="preserve"> </w:t>
      </w:r>
      <w:r>
        <w:t>regression</w:t>
      </w:r>
      <w:r>
        <w:rPr>
          <w:spacing w:val="-5"/>
        </w:rPr>
        <w:t xml:space="preserve"> </w:t>
      </w:r>
      <w:r>
        <w:t>analysis</w:t>
      </w:r>
      <w:r>
        <w:rPr>
          <w:spacing w:val="-5"/>
        </w:rPr>
        <w:t xml:space="preserve"> </w:t>
      </w:r>
      <w:r>
        <w:t>was</w:t>
      </w:r>
      <w:r>
        <w:rPr>
          <w:spacing w:val="-4"/>
        </w:rPr>
        <w:t xml:space="preserve"> </w:t>
      </w:r>
      <w:r>
        <w:t>performed</w:t>
      </w:r>
      <w:r>
        <w:rPr>
          <w:spacing w:val="-5"/>
        </w:rPr>
        <w:t xml:space="preserve"> </w:t>
      </w:r>
      <w:r>
        <w:t xml:space="preserve">using the statistical application software tool </w:t>
      </w:r>
      <w:r w:rsidR="00282F59">
        <w:t>EViews</w:t>
      </w:r>
      <w:r>
        <w:t xml:space="preserve"> 10. In general, the panel data regression equation is as follows:</w:t>
      </w:r>
    </w:p>
    <w:p w14:paraId="7F7D0CD0" w14:textId="77777777" w:rsidR="005D1AC1" w:rsidRDefault="005D1AC1">
      <w:pPr>
        <w:pStyle w:val="BodyText"/>
        <w:spacing w:before="12"/>
        <w:jc w:val="left"/>
      </w:pPr>
    </w:p>
    <w:p w14:paraId="7B6186F0" w14:textId="77777777" w:rsidR="005D1AC1" w:rsidRDefault="00000000">
      <w:pPr>
        <w:ind w:left="318"/>
        <w:rPr>
          <w:sz w:val="20"/>
        </w:rPr>
      </w:pPr>
      <w:r>
        <w:rPr>
          <w:sz w:val="20"/>
        </w:rPr>
        <w:t>PBV</w:t>
      </w:r>
      <w:r>
        <w:rPr>
          <w:sz w:val="16"/>
        </w:rPr>
        <w:t>it</w:t>
      </w:r>
      <w:r>
        <w:rPr>
          <w:spacing w:val="7"/>
          <w:sz w:val="16"/>
        </w:rPr>
        <w:t xml:space="preserve"> </w:t>
      </w:r>
      <w:r>
        <w:rPr>
          <w:sz w:val="20"/>
        </w:rPr>
        <w:t>=</w:t>
      </w:r>
      <w:r>
        <w:rPr>
          <w:spacing w:val="-3"/>
          <w:sz w:val="20"/>
        </w:rPr>
        <w:t xml:space="preserve"> </w:t>
      </w:r>
      <w:r>
        <w:rPr>
          <w:sz w:val="20"/>
        </w:rPr>
        <w:t>a</w:t>
      </w:r>
      <w:r>
        <w:rPr>
          <w:spacing w:val="-4"/>
          <w:sz w:val="20"/>
        </w:rPr>
        <w:t xml:space="preserve"> </w:t>
      </w:r>
      <w:r>
        <w:rPr>
          <w:sz w:val="20"/>
        </w:rPr>
        <w:t>+</w:t>
      </w:r>
      <w:r>
        <w:rPr>
          <w:spacing w:val="-3"/>
          <w:sz w:val="20"/>
        </w:rPr>
        <w:t xml:space="preserve"> </w:t>
      </w:r>
      <w:r>
        <w:rPr>
          <w:sz w:val="20"/>
        </w:rPr>
        <w:t>b1DPR</w:t>
      </w:r>
      <w:r>
        <w:rPr>
          <w:sz w:val="16"/>
        </w:rPr>
        <w:t>it</w:t>
      </w:r>
      <w:r>
        <w:rPr>
          <w:spacing w:val="7"/>
          <w:sz w:val="16"/>
        </w:rPr>
        <w:t xml:space="preserve"> </w:t>
      </w:r>
      <w:r>
        <w:rPr>
          <w:sz w:val="20"/>
        </w:rPr>
        <w:t>+</w:t>
      </w:r>
      <w:r>
        <w:rPr>
          <w:spacing w:val="-5"/>
          <w:sz w:val="20"/>
        </w:rPr>
        <w:t xml:space="preserve"> </w:t>
      </w:r>
      <w:r>
        <w:rPr>
          <w:sz w:val="20"/>
        </w:rPr>
        <w:t>b2TAG</w:t>
      </w:r>
      <w:r>
        <w:rPr>
          <w:sz w:val="16"/>
        </w:rPr>
        <w:t>it</w:t>
      </w:r>
      <w:r>
        <w:rPr>
          <w:spacing w:val="7"/>
          <w:sz w:val="16"/>
        </w:rPr>
        <w:t xml:space="preserve"> </w:t>
      </w:r>
      <w:r>
        <w:rPr>
          <w:sz w:val="20"/>
        </w:rPr>
        <w:t>+</w:t>
      </w:r>
      <w:r>
        <w:rPr>
          <w:spacing w:val="-3"/>
          <w:sz w:val="20"/>
        </w:rPr>
        <w:t xml:space="preserve"> </w:t>
      </w:r>
      <w:r>
        <w:rPr>
          <w:sz w:val="20"/>
        </w:rPr>
        <w:t>b3LEV</w:t>
      </w:r>
      <w:r>
        <w:rPr>
          <w:sz w:val="16"/>
        </w:rPr>
        <w:t>it</w:t>
      </w:r>
      <w:r>
        <w:rPr>
          <w:spacing w:val="-2"/>
          <w:sz w:val="16"/>
        </w:rPr>
        <w:t xml:space="preserve"> </w:t>
      </w:r>
      <w:r>
        <w:rPr>
          <w:sz w:val="20"/>
        </w:rPr>
        <w:t>+</w:t>
      </w:r>
      <w:r>
        <w:rPr>
          <w:spacing w:val="-5"/>
          <w:sz w:val="20"/>
        </w:rPr>
        <w:t xml:space="preserve"> </w:t>
      </w:r>
      <w:r>
        <w:rPr>
          <w:sz w:val="20"/>
        </w:rPr>
        <w:t>b4ROA</w:t>
      </w:r>
      <w:r>
        <w:rPr>
          <w:sz w:val="16"/>
        </w:rPr>
        <w:t>it</w:t>
      </w:r>
      <w:r>
        <w:rPr>
          <w:spacing w:val="7"/>
          <w:sz w:val="16"/>
        </w:rPr>
        <w:t xml:space="preserve"> </w:t>
      </w:r>
      <w:r>
        <w:rPr>
          <w:spacing w:val="-10"/>
          <w:sz w:val="20"/>
        </w:rPr>
        <w:t>+</w:t>
      </w:r>
    </w:p>
    <w:p w14:paraId="67829D4C" w14:textId="77777777" w:rsidR="005D1AC1" w:rsidRDefault="00000000">
      <w:pPr>
        <w:spacing w:before="10"/>
        <w:ind w:left="2450"/>
        <w:rPr>
          <w:sz w:val="16"/>
        </w:rPr>
      </w:pPr>
      <w:r>
        <w:rPr>
          <w:sz w:val="20"/>
        </w:rPr>
        <w:t>b5UK</w:t>
      </w:r>
      <w:r>
        <w:rPr>
          <w:sz w:val="16"/>
        </w:rPr>
        <w:t>it</w:t>
      </w:r>
      <w:r>
        <w:rPr>
          <w:spacing w:val="9"/>
          <w:sz w:val="16"/>
        </w:rPr>
        <w:t xml:space="preserve"> </w:t>
      </w:r>
      <w:r>
        <w:rPr>
          <w:sz w:val="20"/>
        </w:rPr>
        <w:t>+</w:t>
      </w:r>
      <w:r>
        <w:rPr>
          <w:spacing w:val="-4"/>
          <w:sz w:val="20"/>
        </w:rPr>
        <w:t xml:space="preserve"> </w:t>
      </w:r>
      <w:r>
        <w:rPr>
          <w:spacing w:val="-5"/>
          <w:sz w:val="20"/>
        </w:rPr>
        <w:t>E</w:t>
      </w:r>
      <w:r>
        <w:rPr>
          <w:spacing w:val="-5"/>
          <w:sz w:val="16"/>
        </w:rPr>
        <w:t>it</w:t>
      </w:r>
    </w:p>
    <w:p w14:paraId="18D94D0B" w14:textId="77777777" w:rsidR="005D1AC1" w:rsidRDefault="005D1AC1">
      <w:pPr>
        <w:pStyle w:val="BodyText"/>
        <w:spacing w:before="25"/>
        <w:jc w:val="left"/>
      </w:pPr>
    </w:p>
    <w:p w14:paraId="636D7011" w14:textId="7BFCC7EC" w:rsidR="005D1AC1" w:rsidRDefault="00282F59">
      <w:pPr>
        <w:pStyle w:val="BodyText"/>
        <w:ind w:left="287"/>
        <w:jc w:val="left"/>
      </w:pPr>
      <w:r>
        <w:rPr>
          <w:spacing w:val="-2"/>
        </w:rPr>
        <w:t>where,</w:t>
      </w:r>
    </w:p>
    <w:p w14:paraId="78712A8B" w14:textId="721D7DD6" w:rsidR="005D1AC1" w:rsidRDefault="00000000">
      <w:pPr>
        <w:pStyle w:val="BodyText"/>
        <w:tabs>
          <w:tab w:val="left" w:pos="875"/>
        </w:tabs>
        <w:spacing w:before="10"/>
        <w:ind w:left="287"/>
        <w:jc w:val="left"/>
      </w:pPr>
      <w:r>
        <w:rPr>
          <w:spacing w:val="-5"/>
        </w:rPr>
        <w:t>PBV</w:t>
      </w:r>
      <w:r>
        <w:tab/>
        <w:t>=</w:t>
      </w:r>
      <w:r>
        <w:rPr>
          <w:spacing w:val="-3"/>
        </w:rPr>
        <w:t xml:space="preserve"> </w:t>
      </w:r>
      <w:r>
        <w:t>Firm</w:t>
      </w:r>
      <w:r>
        <w:rPr>
          <w:spacing w:val="-2"/>
        </w:rPr>
        <w:t xml:space="preserve"> </w:t>
      </w:r>
      <w:r w:rsidR="00282F59">
        <w:rPr>
          <w:spacing w:val="-2"/>
        </w:rPr>
        <w:t>Value.</w:t>
      </w:r>
    </w:p>
    <w:p w14:paraId="287A05B1" w14:textId="4C472A81" w:rsidR="005D1AC1" w:rsidRDefault="00000000">
      <w:pPr>
        <w:pStyle w:val="BodyText"/>
        <w:tabs>
          <w:tab w:val="left" w:pos="907"/>
        </w:tabs>
        <w:spacing w:before="12"/>
        <w:ind w:left="287"/>
        <w:jc w:val="left"/>
      </w:pPr>
      <w:r>
        <w:rPr>
          <w:spacing w:val="-10"/>
        </w:rPr>
        <w:t>a</w:t>
      </w:r>
      <w:r>
        <w:tab/>
        <w:t>=</w:t>
      </w:r>
      <w:r>
        <w:rPr>
          <w:spacing w:val="-2"/>
        </w:rPr>
        <w:t xml:space="preserve"> </w:t>
      </w:r>
      <w:r w:rsidR="00282F59">
        <w:rPr>
          <w:spacing w:val="-2"/>
        </w:rPr>
        <w:t>Constanta.</w:t>
      </w:r>
    </w:p>
    <w:p w14:paraId="6C39200E" w14:textId="03A217A2" w:rsidR="005D1AC1" w:rsidRDefault="00000000">
      <w:pPr>
        <w:pStyle w:val="BodyText"/>
        <w:tabs>
          <w:tab w:val="left" w:pos="907"/>
        </w:tabs>
        <w:spacing w:before="10" w:line="252" w:lineRule="auto"/>
        <w:ind w:left="287" w:right="1998"/>
        <w:jc w:val="left"/>
      </w:pPr>
      <w:r>
        <w:rPr>
          <w:spacing w:val="-10"/>
        </w:rPr>
        <w:t>b</w:t>
      </w:r>
      <w:r>
        <w:tab/>
        <w:t>=</w:t>
      </w:r>
      <w:r>
        <w:rPr>
          <w:spacing w:val="-13"/>
        </w:rPr>
        <w:t xml:space="preserve"> </w:t>
      </w:r>
      <w:r>
        <w:t>Regression</w:t>
      </w:r>
      <w:r>
        <w:rPr>
          <w:spacing w:val="-12"/>
        </w:rPr>
        <w:t xml:space="preserve"> </w:t>
      </w:r>
      <w:r>
        <w:t xml:space="preserve">Coefficient; </w:t>
      </w:r>
      <w:r>
        <w:rPr>
          <w:spacing w:val="-4"/>
        </w:rPr>
        <w:t>DPR</w:t>
      </w:r>
      <w:r>
        <w:tab/>
        <w:t xml:space="preserve">= Dividend </w:t>
      </w:r>
      <w:r w:rsidR="00282F59">
        <w:t>Policy.</w:t>
      </w:r>
    </w:p>
    <w:p w14:paraId="668FA13C" w14:textId="2053E6AD" w:rsidR="005D1AC1" w:rsidRDefault="00000000">
      <w:pPr>
        <w:pStyle w:val="BodyText"/>
        <w:tabs>
          <w:tab w:val="left" w:pos="899"/>
        </w:tabs>
        <w:spacing w:before="2" w:line="252" w:lineRule="auto"/>
        <w:ind w:left="287" w:right="2118"/>
        <w:jc w:val="left"/>
      </w:pPr>
      <w:r>
        <w:rPr>
          <w:spacing w:val="-4"/>
        </w:rPr>
        <w:t>TAG</w:t>
      </w:r>
      <w:r>
        <w:tab/>
        <w:t>=</w:t>
      </w:r>
      <w:r>
        <w:rPr>
          <w:spacing w:val="-13"/>
        </w:rPr>
        <w:t xml:space="preserve"> </w:t>
      </w:r>
      <w:r>
        <w:t>Investment</w:t>
      </w:r>
      <w:r>
        <w:rPr>
          <w:spacing w:val="-12"/>
        </w:rPr>
        <w:t xml:space="preserve"> </w:t>
      </w:r>
      <w:r>
        <w:t xml:space="preserve">Decisions; </w:t>
      </w:r>
      <w:r>
        <w:rPr>
          <w:spacing w:val="-4"/>
        </w:rPr>
        <w:t>LEV</w:t>
      </w:r>
      <w:r>
        <w:tab/>
      </w:r>
      <w:r>
        <w:rPr>
          <w:spacing w:val="-40"/>
        </w:rPr>
        <w:t xml:space="preserve"> </w:t>
      </w:r>
      <w:r>
        <w:t xml:space="preserve">= </w:t>
      </w:r>
      <w:r w:rsidR="00282F59">
        <w:t>Leverage.</w:t>
      </w:r>
    </w:p>
    <w:p w14:paraId="2F296738" w14:textId="2357D7C1" w:rsidR="005D1AC1" w:rsidRDefault="00000000">
      <w:pPr>
        <w:pStyle w:val="BodyText"/>
        <w:tabs>
          <w:tab w:val="left" w:pos="907"/>
        </w:tabs>
        <w:spacing w:line="252" w:lineRule="auto"/>
        <w:ind w:left="287" w:right="2867"/>
        <w:jc w:val="left"/>
      </w:pPr>
      <w:r>
        <w:rPr>
          <w:spacing w:val="-4"/>
        </w:rPr>
        <w:t>ROA</w:t>
      </w:r>
      <w:r>
        <w:tab/>
      </w:r>
      <w:r>
        <w:rPr>
          <w:spacing w:val="-48"/>
        </w:rPr>
        <w:t xml:space="preserve"> </w:t>
      </w:r>
      <w:r>
        <w:t>=</w:t>
      </w:r>
      <w:r>
        <w:rPr>
          <w:spacing w:val="-13"/>
        </w:rPr>
        <w:t xml:space="preserve"> </w:t>
      </w:r>
      <w:r>
        <w:t xml:space="preserve">Profitability; </w:t>
      </w:r>
      <w:r>
        <w:rPr>
          <w:spacing w:val="-6"/>
        </w:rPr>
        <w:t>UK</w:t>
      </w:r>
      <w:r>
        <w:tab/>
        <w:t xml:space="preserve">= Firm </w:t>
      </w:r>
      <w:r w:rsidR="00282F59">
        <w:t>Size.</w:t>
      </w:r>
    </w:p>
    <w:p w14:paraId="6269A2D0" w14:textId="77777777" w:rsidR="005D1AC1" w:rsidRDefault="00000000">
      <w:pPr>
        <w:pStyle w:val="BodyText"/>
        <w:tabs>
          <w:tab w:val="left" w:pos="907"/>
        </w:tabs>
        <w:spacing w:line="229" w:lineRule="exact"/>
        <w:ind w:left="287"/>
        <w:jc w:val="left"/>
      </w:pPr>
      <w:r>
        <w:rPr>
          <w:spacing w:val="-10"/>
        </w:rPr>
        <w:t>E</w:t>
      </w:r>
      <w:r>
        <w:tab/>
        <w:t>=</w:t>
      </w:r>
      <w:r>
        <w:rPr>
          <w:spacing w:val="-4"/>
        </w:rPr>
        <w:t xml:space="preserve"> </w:t>
      </w:r>
      <w:r>
        <w:t>Error</w:t>
      </w:r>
      <w:r>
        <w:rPr>
          <w:spacing w:val="-4"/>
        </w:rPr>
        <w:t xml:space="preserve"> </w:t>
      </w:r>
      <w:r>
        <w:rPr>
          <w:spacing w:val="-2"/>
        </w:rPr>
        <w:t>Term.</w:t>
      </w:r>
    </w:p>
    <w:p w14:paraId="0997ECBE" w14:textId="77777777" w:rsidR="005D1AC1" w:rsidRDefault="005D1AC1">
      <w:pPr>
        <w:pStyle w:val="BodyText"/>
        <w:jc w:val="left"/>
      </w:pPr>
    </w:p>
    <w:p w14:paraId="2461ED12" w14:textId="77777777" w:rsidR="005D1AC1" w:rsidRDefault="005D1AC1">
      <w:pPr>
        <w:pStyle w:val="BodyText"/>
        <w:spacing w:before="33"/>
        <w:jc w:val="left"/>
      </w:pPr>
    </w:p>
    <w:p w14:paraId="5BD0A048" w14:textId="77777777" w:rsidR="005D1AC1" w:rsidRDefault="00000000">
      <w:pPr>
        <w:pStyle w:val="ListParagraph"/>
        <w:numPr>
          <w:ilvl w:val="0"/>
          <w:numId w:val="6"/>
        </w:numPr>
        <w:tabs>
          <w:tab w:val="left" w:pos="1680"/>
        </w:tabs>
        <w:ind w:left="1680" w:hanging="375"/>
        <w:jc w:val="left"/>
        <w:rPr>
          <w:sz w:val="20"/>
        </w:rPr>
      </w:pPr>
      <w:r>
        <w:rPr>
          <w:smallCaps/>
          <w:sz w:val="20"/>
        </w:rPr>
        <w:t>Result</w:t>
      </w:r>
      <w:r>
        <w:rPr>
          <w:smallCaps/>
          <w:spacing w:val="-3"/>
          <w:sz w:val="20"/>
        </w:rPr>
        <w:t xml:space="preserve"> </w:t>
      </w:r>
      <w:r>
        <w:rPr>
          <w:smallCaps/>
          <w:sz w:val="20"/>
        </w:rPr>
        <w:t>and</w:t>
      </w:r>
      <w:r>
        <w:rPr>
          <w:smallCaps/>
          <w:spacing w:val="-3"/>
          <w:sz w:val="20"/>
        </w:rPr>
        <w:t xml:space="preserve"> </w:t>
      </w:r>
      <w:r>
        <w:rPr>
          <w:smallCaps/>
          <w:spacing w:val="-2"/>
          <w:sz w:val="20"/>
        </w:rPr>
        <w:t>Discussion</w:t>
      </w:r>
    </w:p>
    <w:p w14:paraId="6DA1D4B4" w14:textId="77777777" w:rsidR="005D1AC1" w:rsidRDefault="00000000">
      <w:pPr>
        <w:pStyle w:val="ListParagraph"/>
        <w:numPr>
          <w:ilvl w:val="0"/>
          <w:numId w:val="4"/>
        </w:numPr>
        <w:tabs>
          <w:tab w:val="left" w:pos="546"/>
        </w:tabs>
        <w:spacing w:before="120"/>
        <w:ind w:left="546" w:hanging="316"/>
        <w:jc w:val="both"/>
        <w:rPr>
          <w:i/>
          <w:sz w:val="20"/>
        </w:rPr>
      </w:pPr>
      <w:r>
        <w:rPr>
          <w:i/>
          <w:sz w:val="20"/>
        </w:rPr>
        <w:t>Descriptive</w:t>
      </w:r>
      <w:r>
        <w:rPr>
          <w:i/>
          <w:spacing w:val="-10"/>
          <w:sz w:val="20"/>
        </w:rPr>
        <w:t xml:space="preserve"> </w:t>
      </w:r>
      <w:r>
        <w:rPr>
          <w:i/>
          <w:spacing w:val="-2"/>
          <w:sz w:val="20"/>
        </w:rPr>
        <w:t>Statistics</w:t>
      </w:r>
    </w:p>
    <w:p w14:paraId="7469E277" w14:textId="77777777" w:rsidR="005D1AC1" w:rsidRDefault="00000000">
      <w:pPr>
        <w:pStyle w:val="BodyText"/>
        <w:spacing w:before="61" w:line="252" w:lineRule="auto"/>
        <w:ind w:left="85" w:firstLine="201"/>
      </w:pPr>
      <w:r>
        <w:t>The results of the descriptive statistical test in Table I show the maximum value, minimum value, mean, and standard</w:t>
      </w:r>
      <w:r>
        <w:rPr>
          <w:spacing w:val="-2"/>
        </w:rPr>
        <w:t xml:space="preserve"> </w:t>
      </w:r>
      <w:r>
        <w:t>deviation</w:t>
      </w:r>
      <w:r>
        <w:rPr>
          <w:spacing w:val="-2"/>
        </w:rPr>
        <w:t xml:space="preserve"> </w:t>
      </w:r>
      <w:r>
        <w:t>of</w:t>
      </w:r>
      <w:r>
        <w:rPr>
          <w:spacing w:val="-2"/>
        </w:rPr>
        <w:t xml:space="preserve"> </w:t>
      </w:r>
      <w:r>
        <w:t>each</w:t>
      </w:r>
      <w:r>
        <w:rPr>
          <w:spacing w:val="-2"/>
        </w:rPr>
        <w:t xml:space="preserve"> </w:t>
      </w:r>
      <w:r>
        <w:t>variable</w:t>
      </w:r>
      <w:r>
        <w:rPr>
          <w:spacing w:val="-3"/>
        </w:rPr>
        <w:t xml:space="preserve"> </w:t>
      </w:r>
      <w:r>
        <w:t>in</w:t>
      </w:r>
      <w:r>
        <w:rPr>
          <w:spacing w:val="-2"/>
        </w:rPr>
        <w:t xml:space="preserve"> </w:t>
      </w:r>
      <w:r>
        <w:t>this</w:t>
      </w:r>
      <w:r>
        <w:rPr>
          <w:spacing w:val="-4"/>
        </w:rPr>
        <w:t xml:space="preserve"> </w:t>
      </w:r>
      <w:r>
        <w:t>study. Descriptive statistical test results:</w:t>
      </w:r>
    </w:p>
    <w:p w14:paraId="1D21F0C9" w14:textId="77777777" w:rsidR="005D1AC1" w:rsidRDefault="00000000">
      <w:pPr>
        <w:tabs>
          <w:tab w:val="left" w:pos="854"/>
          <w:tab w:val="left" w:pos="5093"/>
        </w:tabs>
        <w:spacing w:before="103"/>
        <w:ind w:right="13"/>
        <w:jc w:val="center"/>
        <w:rPr>
          <w:sz w:val="16"/>
        </w:rPr>
      </w:pPr>
      <w:r>
        <w:br w:type="column"/>
      </w:r>
      <w:r>
        <w:rPr>
          <w:smallCaps/>
          <w:sz w:val="16"/>
          <w:u w:val="single"/>
        </w:rPr>
        <w:tab/>
        <w:t>TABLE</w:t>
      </w:r>
      <w:r>
        <w:rPr>
          <w:smallCaps/>
          <w:spacing w:val="-9"/>
          <w:sz w:val="16"/>
          <w:u w:val="single"/>
        </w:rPr>
        <w:t xml:space="preserve"> </w:t>
      </w:r>
      <w:r>
        <w:rPr>
          <w:smallCaps/>
          <w:sz w:val="16"/>
          <w:u w:val="single"/>
        </w:rPr>
        <w:t>I:</w:t>
      </w:r>
      <w:r>
        <w:rPr>
          <w:smallCaps/>
          <w:spacing w:val="-9"/>
          <w:sz w:val="16"/>
          <w:u w:val="single"/>
        </w:rPr>
        <w:t xml:space="preserve"> </w:t>
      </w:r>
      <w:r>
        <w:rPr>
          <w:smallCaps/>
          <w:sz w:val="16"/>
          <w:u w:val="single"/>
        </w:rPr>
        <w:t>Descriptive</w:t>
      </w:r>
      <w:r>
        <w:rPr>
          <w:smallCaps/>
          <w:spacing w:val="-8"/>
          <w:sz w:val="16"/>
          <w:u w:val="single"/>
        </w:rPr>
        <w:t xml:space="preserve"> </w:t>
      </w:r>
      <w:r>
        <w:rPr>
          <w:smallCaps/>
          <w:sz w:val="16"/>
          <w:u w:val="single"/>
        </w:rPr>
        <w:t>Statistical</w:t>
      </w:r>
      <w:r>
        <w:rPr>
          <w:smallCaps/>
          <w:spacing w:val="-5"/>
          <w:sz w:val="16"/>
          <w:u w:val="single"/>
        </w:rPr>
        <w:t xml:space="preserve"> </w:t>
      </w:r>
      <w:r>
        <w:rPr>
          <w:smallCaps/>
          <w:sz w:val="16"/>
          <w:u w:val="single"/>
        </w:rPr>
        <w:t>Test</w:t>
      </w:r>
      <w:r>
        <w:rPr>
          <w:smallCaps/>
          <w:spacing w:val="-5"/>
          <w:sz w:val="16"/>
          <w:u w:val="single"/>
        </w:rPr>
        <w:t xml:space="preserve"> </w:t>
      </w:r>
      <w:r>
        <w:rPr>
          <w:smallCaps/>
          <w:spacing w:val="-2"/>
          <w:sz w:val="16"/>
          <w:u w:val="single"/>
        </w:rPr>
        <w:t>Results</w:t>
      </w:r>
      <w:r>
        <w:rPr>
          <w:smallCaps/>
          <w:sz w:val="16"/>
          <w:u w:val="single"/>
        </w:rPr>
        <w:tab/>
      </w:r>
    </w:p>
    <w:tbl>
      <w:tblPr>
        <w:tblW w:w="0" w:type="auto"/>
        <w:tblInd w:w="93" w:type="dxa"/>
        <w:tblLayout w:type="fixed"/>
        <w:tblCellMar>
          <w:left w:w="0" w:type="dxa"/>
          <w:right w:w="0" w:type="dxa"/>
        </w:tblCellMar>
        <w:tblLook w:val="01E0" w:firstRow="1" w:lastRow="1" w:firstColumn="1" w:lastColumn="1" w:noHBand="0" w:noVBand="0"/>
      </w:tblPr>
      <w:tblGrid>
        <w:gridCol w:w="943"/>
        <w:gridCol w:w="537"/>
        <w:gridCol w:w="920"/>
        <w:gridCol w:w="946"/>
        <w:gridCol w:w="879"/>
        <w:gridCol w:w="887"/>
      </w:tblGrid>
      <w:tr w:rsidR="005D1AC1" w14:paraId="774AFB47" w14:textId="77777777">
        <w:trPr>
          <w:trHeight w:val="195"/>
        </w:trPr>
        <w:tc>
          <w:tcPr>
            <w:tcW w:w="943" w:type="dxa"/>
          </w:tcPr>
          <w:p w14:paraId="3A1F04BE" w14:textId="77777777" w:rsidR="005D1AC1" w:rsidRDefault="00000000">
            <w:pPr>
              <w:pStyle w:val="TableParagraph"/>
              <w:tabs>
                <w:tab w:val="left" w:pos="1171"/>
              </w:tabs>
              <w:ind w:left="14" w:right="-231"/>
              <w:rPr>
                <w:sz w:val="16"/>
              </w:rPr>
            </w:pPr>
            <w:r>
              <w:rPr>
                <w:spacing w:val="62"/>
                <w:sz w:val="16"/>
                <w:u w:val="single"/>
              </w:rPr>
              <w:t xml:space="preserve">  </w:t>
            </w:r>
            <w:r>
              <w:rPr>
                <w:spacing w:val="-2"/>
                <w:sz w:val="16"/>
                <w:u w:val="single"/>
              </w:rPr>
              <w:t>Variable</w:t>
            </w:r>
            <w:r>
              <w:rPr>
                <w:sz w:val="16"/>
                <w:u w:val="single"/>
              </w:rPr>
              <w:tab/>
            </w:r>
          </w:p>
        </w:tc>
        <w:tc>
          <w:tcPr>
            <w:tcW w:w="537" w:type="dxa"/>
          </w:tcPr>
          <w:p w14:paraId="5305CFEE" w14:textId="77777777" w:rsidR="005D1AC1" w:rsidRDefault="00000000">
            <w:pPr>
              <w:pStyle w:val="TableParagraph"/>
              <w:tabs>
                <w:tab w:val="left" w:pos="670"/>
              </w:tabs>
              <w:ind w:left="228" w:right="-144"/>
              <w:rPr>
                <w:sz w:val="16"/>
              </w:rPr>
            </w:pPr>
            <w:r>
              <w:rPr>
                <w:spacing w:val="-10"/>
                <w:sz w:val="16"/>
                <w:u w:val="single"/>
              </w:rPr>
              <w:t>N</w:t>
            </w:r>
            <w:r>
              <w:rPr>
                <w:sz w:val="16"/>
                <w:u w:val="single"/>
              </w:rPr>
              <w:tab/>
            </w:r>
          </w:p>
        </w:tc>
        <w:tc>
          <w:tcPr>
            <w:tcW w:w="920" w:type="dxa"/>
          </w:tcPr>
          <w:p w14:paraId="2106AE50" w14:textId="77777777" w:rsidR="005D1AC1" w:rsidRDefault="00000000">
            <w:pPr>
              <w:pStyle w:val="TableParagraph"/>
              <w:tabs>
                <w:tab w:val="left" w:pos="1054"/>
              </w:tabs>
              <w:ind w:left="133" w:right="-144"/>
              <w:rPr>
                <w:sz w:val="16"/>
              </w:rPr>
            </w:pPr>
            <w:r>
              <w:rPr>
                <w:spacing w:val="-2"/>
                <w:sz w:val="16"/>
                <w:u w:val="single"/>
              </w:rPr>
              <w:t>Minimum</w:t>
            </w:r>
            <w:r>
              <w:rPr>
                <w:sz w:val="16"/>
                <w:u w:val="single"/>
              </w:rPr>
              <w:tab/>
            </w:r>
          </w:p>
        </w:tc>
        <w:tc>
          <w:tcPr>
            <w:tcW w:w="946" w:type="dxa"/>
          </w:tcPr>
          <w:p w14:paraId="1859E62B" w14:textId="77777777" w:rsidR="005D1AC1" w:rsidRDefault="00000000">
            <w:pPr>
              <w:pStyle w:val="TableParagraph"/>
              <w:tabs>
                <w:tab w:val="left" w:pos="1200"/>
              </w:tabs>
              <w:ind w:left="134" w:right="-260"/>
              <w:rPr>
                <w:sz w:val="16"/>
              </w:rPr>
            </w:pPr>
            <w:r>
              <w:rPr>
                <w:spacing w:val="-2"/>
                <w:sz w:val="16"/>
                <w:u w:val="single"/>
              </w:rPr>
              <w:t>Maximum</w:t>
            </w:r>
            <w:r>
              <w:rPr>
                <w:sz w:val="16"/>
                <w:u w:val="single"/>
              </w:rPr>
              <w:tab/>
            </w:r>
          </w:p>
        </w:tc>
        <w:tc>
          <w:tcPr>
            <w:tcW w:w="879" w:type="dxa"/>
          </w:tcPr>
          <w:p w14:paraId="4BDFAE73" w14:textId="77777777" w:rsidR="005D1AC1" w:rsidRDefault="00000000">
            <w:pPr>
              <w:pStyle w:val="TableParagraph"/>
              <w:tabs>
                <w:tab w:val="left" w:pos="1013"/>
              </w:tabs>
              <w:ind w:left="254" w:right="-144"/>
              <w:rPr>
                <w:sz w:val="16"/>
              </w:rPr>
            </w:pPr>
            <w:r>
              <w:rPr>
                <w:spacing w:val="-4"/>
                <w:sz w:val="16"/>
                <w:u w:val="single"/>
              </w:rPr>
              <w:t>Mean</w:t>
            </w:r>
            <w:r>
              <w:rPr>
                <w:sz w:val="16"/>
                <w:u w:val="single"/>
              </w:rPr>
              <w:tab/>
            </w:r>
          </w:p>
        </w:tc>
        <w:tc>
          <w:tcPr>
            <w:tcW w:w="887" w:type="dxa"/>
          </w:tcPr>
          <w:p w14:paraId="5F345FC5" w14:textId="77777777" w:rsidR="005D1AC1" w:rsidRDefault="00000000">
            <w:pPr>
              <w:pStyle w:val="TableParagraph"/>
              <w:ind w:left="134"/>
              <w:rPr>
                <w:sz w:val="16"/>
              </w:rPr>
            </w:pPr>
            <w:r>
              <w:rPr>
                <w:sz w:val="16"/>
                <w:u w:val="single"/>
              </w:rPr>
              <w:t>Std.</w:t>
            </w:r>
            <w:r>
              <w:rPr>
                <w:spacing w:val="-3"/>
                <w:sz w:val="16"/>
                <w:u w:val="single"/>
              </w:rPr>
              <w:t xml:space="preserve"> </w:t>
            </w:r>
            <w:r>
              <w:rPr>
                <w:spacing w:val="-4"/>
                <w:sz w:val="16"/>
                <w:u w:val="single"/>
              </w:rPr>
              <w:t>Dev.</w:t>
            </w:r>
            <w:r>
              <w:rPr>
                <w:spacing w:val="40"/>
                <w:sz w:val="16"/>
                <w:u w:val="single"/>
              </w:rPr>
              <w:t xml:space="preserve"> </w:t>
            </w:r>
          </w:p>
        </w:tc>
      </w:tr>
      <w:tr w:rsidR="005D1AC1" w14:paraId="725A0A1C" w14:textId="77777777">
        <w:trPr>
          <w:trHeight w:val="207"/>
        </w:trPr>
        <w:tc>
          <w:tcPr>
            <w:tcW w:w="943" w:type="dxa"/>
          </w:tcPr>
          <w:p w14:paraId="1296D685" w14:textId="77777777" w:rsidR="005D1AC1" w:rsidRDefault="00000000">
            <w:pPr>
              <w:pStyle w:val="TableParagraph"/>
              <w:spacing w:before="11"/>
              <w:ind w:left="343"/>
              <w:rPr>
                <w:sz w:val="16"/>
              </w:rPr>
            </w:pPr>
            <w:r>
              <w:rPr>
                <w:spacing w:val="-5"/>
                <w:sz w:val="16"/>
              </w:rPr>
              <w:t>PBV</w:t>
            </w:r>
          </w:p>
        </w:tc>
        <w:tc>
          <w:tcPr>
            <w:tcW w:w="537" w:type="dxa"/>
          </w:tcPr>
          <w:p w14:paraId="3FB06C61" w14:textId="77777777" w:rsidR="005D1AC1" w:rsidRDefault="00000000">
            <w:pPr>
              <w:pStyle w:val="TableParagraph"/>
              <w:spacing w:before="11"/>
              <w:ind w:left="166"/>
              <w:rPr>
                <w:sz w:val="16"/>
              </w:rPr>
            </w:pPr>
            <w:r>
              <w:rPr>
                <w:spacing w:val="-5"/>
                <w:sz w:val="16"/>
              </w:rPr>
              <w:t>150</w:t>
            </w:r>
          </w:p>
        </w:tc>
        <w:tc>
          <w:tcPr>
            <w:tcW w:w="920" w:type="dxa"/>
          </w:tcPr>
          <w:p w14:paraId="6E3AAAB0" w14:textId="77777777" w:rsidR="005D1AC1" w:rsidRDefault="00000000">
            <w:pPr>
              <w:pStyle w:val="TableParagraph"/>
              <w:spacing w:before="11"/>
              <w:ind w:left="154"/>
              <w:rPr>
                <w:sz w:val="16"/>
              </w:rPr>
            </w:pPr>
            <w:r>
              <w:rPr>
                <w:spacing w:val="-2"/>
                <w:sz w:val="16"/>
              </w:rPr>
              <w:t>0.136084</w:t>
            </w:r>
          </w:p>
        </w:tc>
        <w:tc>
          <w:tcPr>
            <w:tcW w:w="946" w:type="dxa"/>
          </w:tcPr>
          <w:p w14:paraId="5BB31FE4" w14:textId="77777777" w:rsidR="005D1AC1" w:rsidRDefault="00000000">
            <w:pPr>
              <w:pStyle w:val="TableParagraph"/>
              <w:spacing w:before="11"/>
              <w:ind w:left="168"/>
              <w:rPr>
                <w:sz w:val="16"/>
              </w:rPr>
            </w:pPr>
            <w:r>
              <w:rPr>
                <w:spacing w:val="-2"/>
                <w:sz w:val="16"/>
              </w:rPr>
              <w:t>16.06011</w:t>
            </w:r>
          </w:p>
        </w:tc>
        <w:tc>
          <w:tcPr>
            <w:tcW w:w="879" w:type="dxa"/>
          </w:tcPr>
          <w:p w14:paraId="01DB54B5" w14:textId="77777777" w:rsidR="005D1AC1" w:rsidRDefault="00000000">
            <w:pPr>
              <w:pStyle w:val="TableParagraph"/>
              <w:spacing w:before="11"/>
              <w:ind w:left="137"/>
              <w:rPr>
                <w:sz w:val="16"/>
              </w:rPr>
            </w:pPr>
            <w:r>
              <w:rPr>
                <w:spacing w:val="-2"/>
                <w:sz w:val="16"/>
              </w:rPr>
              <w:t>2.832117</w:t>
            </w:r>
          </w:p>
        </w:tc>
        <w:tc>
          <w:tcPr>
            <w:tcW w:w="887" w:type="dxa"/>
          </w:tcPr>
          <w:p w14:paraId="564D664A" w14:textId="77777777" w:rsidR="005D1AC1" w:rsidRDefault="00000000">
            <w:pPr>
              <w:pStyle w:val="TableParagraph"/>
              <w:spacing w:before="11"/>
              <w:ind w:left="134"/>
              <w:rPr>
                <w:sz w:val="16"/>
              </w:rPr>
            </w:pPr>
            <w:r>
              <w:rPr>
                <w:spacing w:val="-2"/>
                <w:sz w:val="16"/>
              </w:rPr>
              <w:t>3.098794</w:t>
            </w:r>
          </w:p>
        </w:tc>
      </w:tr>
      <w:tr w:rsidR="005D1AC1" w14:paraId="6688B677" w14:textId="77777777">
        <w:trPr>
          <w:trHeight w:val="201"/>
        </w:trPr>
        <w:tc>
          <w:tcPr>
            <w:tcW w:w="943" w:type="dxa"/>
          </w:tcPr>
          <w:p w14:paraId="0342D43A" w14:textId="77777777" w:rsidR="005D1AC1" w:rsidRDefault="00000000">
            <w:pPr>
              <w:pStyle w:val="TableParagraph"/>
              <w:spacing w:before="6"/>
              <w:ind w:left="343"/>
              <w:rPr>
                <w:sz w:val="16"/>
              </w:rPr>
            </w:pPr>
            <w:r>
              <w:rPr>
                <w:spacing w:val="-5"/>
                <w:sz w:val="16"/>
              </w:rPr>
              <w:t>DPR</w:t>
            </w:r>
          </w:p>
        </w:tc>
        <w:tc>
          <w:tcPr>
            <w:tcW w:w="537" w:type="dxa"/>
          </w:tcPr>
          <w:p w14:paraId="35D478E2" w14:textId="77777777" w:rsidR="005D1AC1" w:rsidRDefault="00000000">
            <w:pPr>
              <w:pStyle w:val="TableParagraph"/>
              <w:spacing w:before="6"/>
              <w:ind w:left="166"/>
              <w:rPr>
                <w:sz w:val="16"/>
              </w:rPr>
            </w:pPr>
            <w:r>
              <w:rPr>
                <w:spacing w:val="-5"/>
                <w:sz w:val="16"/>
              </w:rPr>
              <w:t>150</w:t>
            </w:r>
          </w:p>
        </w:tc>
        <w:tc>
          <w:tcPr>
            <w:tcW w:w="920" w:type="dxa"/>
          </w:tcPr>
          <w:p w14:paraId="332E3857" w14:textId="77777777" w:rsidR="005D1AC1" w:rsidRDefault="00000000">
            <w:pPr>
              <w:pStyle w:val="TableParagraph"/>
              <w:spacing w:before="6"/>
              <w:ind w:left="128"/>
              <w:rPr>
                <w:sz w:val="16"/>
              </w:rPr>
            </w:pPr>
            <w:r>
              <w:rPr>
                <w:spacing w:val="-2"/>
                <w:sz w:val="16"/>
              </w:rPr>
              <w:t>-0.604595</w:t>
            </w:r>
          </w:p>
        </w:tc>
        <w:tc>
          <w:tcPr>
            <w:tcW w:w="946" w:type="dxa"/>
          </w:tcPr>
          <w:p w14:paraId="0F3441F7" w14:textId="77777777" w:rsidR="005D1AC1" w:rsidRDefault="00000000">
            <w:pPr>
              <w:pStyle w:val="TableParagraph"/>
              <w:spacing w:before="6"/>
              <w:ind w:left="168"/>
              <w:rPr>
                <w:sz w:val="16"/>
              </w:rPr>
            </w:pPr>
            <w:r>
              <w:rPr>
                <w:spacing w:val="-2"/>
                <w:sz w:val="16"/>
              </w:rPr>
              <w:t>3.521127</w:t>
            </w:r>
          </w:p>
        </w:tc>
        <w:tc>
          <w:tcPr>
            <w:tcW w:w="879" w:type="dxa"/>
          </w:tcPr>
          <w:p w14:paraId="62D36AD5" w14:textId="77777777" w:rsidR="005D1AC1" w:rsidRDefault="00000000">
            <w:pPr>
              <w:pStyle w:val="TableParagraph"/>
              <w:spacing w:before="6"/>
              <w:ind w:left="137"/>
              <w:rPr>
                <w:sz w:val="16"/>
              </w:rPr>
            </w:pPr>
            <w:r>
              <w:rPr>
                <w:spacing w:val="-2"/>
                <w:sz w:val="16"/>
              </w:rPr>
              <w:t>0.504977</w:t>
            </w:r>
          </w:p>
        </w:tc>
        <w:tc>
          <w:tcPr>
            <w:tcW w:w="887" w:type="dxa"/>
          </w:tcPr>
          <w:p w14:paraId="63B65FDE" w14:textId="77777777" w:rsidR="005D1AC1" w:rsidRDefault="00000000">
            <w:pPr>
              <w:pStyle w:val="TableParagraph"/>
              <w:spacing w:before="6"/>
              <w:ind w:left="134"/>
              <w:rPr>
                <w:sz w:val="16"/>
              </w:rPr>
            </w:pPr>
            <w:r>
              <w:rPr>
                <w:spacing w:val="-2"/>
                <w:sz w:val="16"/>
              </w:rPr>
              <w:t>0.431494</w:t>
            </w:r>
          </w:p>
        </w:tc>
      </w:tr>
      <w:tr w:rsidR="005D1AC1" w14:paraId="49A02221" w14:textId="77777777">
        <w:trPr>
          <w:trHeight w:val="202"/>
        </w:trPr>
        <w:tc>
          <w:tcPr>
            <w:tcW w:w="943" w:type="dxa"/>
          </w:tcPr>
          <w:p w14:paraId="25CCE5DF" w14:textId="77777777" w:rsidR="005D1AC1" w:rsidRDefault="00000000">
            <w:pPr>
              <w:pStyle w:val="TableParagraph"/>
              <w:spacing w:before="5" w:line="177" w:lineRule="exact"/>
              <w:ind w:left="336"/>
              <w:rPr>
                <w:sz w:val="16"/>
              </w:rPr>
            </w:pPr>
            <w:r>
              <w:rPr>
                <w:spacing w:val="-5"/>
                <w:sz w:val="16"/>
              </w:rPr>
              <w:t>TAG</w:t>
            </w:r>
          </w:p>
        </w:tc>
        <w:tc>
          <w:tcPr>
            <w:tcW w:w="537" w:type="dxa"/>
          </w:tcPr>
          <w:p w14:paraId="409B7268" w14:textId="77777777" w:rsidR="005D1AC1" w:rsidRDefault="00000000">
            <w:pPr>
              <w:pStyle w:val="TableParagraph"/>
              <w:spacing w:before="5" w:line="177" w:lineRule="exact"/>
              <w:ind w:left="166"/>
              <w:rPr>
                <w:sz w:val="16"/>
              </w:rPr>
            </w:pPr>
            <w:r>
              <w:rPr>
                <w:spacing w:val="-5"/>
                <w:sz w:val="16"/>
              </w:rPr>
              <w:t>150</w:t>
            </w:r>
          </w:p>
        </w:tc>
        <w:tc>
          <w:tcPr>
            <w:tcW w:w="920" w:type="dxa"/>
          </w:tcPr>
          <w:p w14:paraId="2680C3D1" w14:textId="77777777" w:rsidR="005D1AC1" w:rsidRDefault="00000000">
            <w:pPr>
              <w:pStyle w:val="TableParagraph"/>
              <w:spacing w:before="5" w:line="177" w:lineRule="exact"/>
              <w:ind w:left="128"/>
              <w:rPr>
                <w:sz w:val="16"/>
              </w:rPr>
            </w:pPr>
            <w:r>
              <w:rPr>
                <w:spacing w:val="-2"/>
                <w:sz w:val="16"/>
              </w:rPr>
              <w:t>-0.148089</w:t>
            </w:r>
          </w:p>
        </w:tc>
        <w:tc>
          <w:tcPr>
            <w:tcW w:w="946" w:type="dxa"/>
          </w:tcPr>
          <w:p w14:paraId="34E50012" w14:textId="77777777" w:rsidR="005D1AC1" w:rsidRDefault="00000000">
            <w:pPr>
              <w:pStyle w:val="TableParagraph"/>
              <w:spacing w:before="5" w:line="177" w:lineRule="exact"/>
              <w:ind w:left="168"/>
              <w:rPr>
                <w:sz w:val="16"/>
              </w:rPr>
            </w:pPr>
            <w:r>
              <w:rPr>
                <w:spacing w:val="-2"/>
                <w:sz w:val="16"/>
              </w:rPr>
              <w:t>0.932742</w:t>
            </w:r>
          </w:p>
        </w:tc>
        <w:tc>
          <w:tcPr>
            <w:tcW w:w="879" w:type="dxa"/>
          </w:tcPr>
          <w:p w14:paraId="50406F88" w14:textId="77777777" w:rsidR="005D1AC1" w:rsidRDefault="00000000">
            <w:pPr>
              <w:pStyle w:val="TableParagraph"/>
              <w:spacing w:before="5" w:line="177" w:lineRule="exact"/>
              <w:ind w:left="137"/>
              <w:rPr>
                <w:sz w:val="16"/>
              </w:rPr>
            </w:pPr>
            <w:r>
              <w:rPr>
                <w:spacing w:val="-2"/>
                <w:sz w:val="16"/>
              </w:rPr>
              <w:t>0.114684</w:t>
            </w:r>
          </w:p>
        </w:tc>
        <w:tc>
          <w:tcPr>
            <w:tcW w:w="887" w:type="dxa"/>
          </w:tcPr>
          <w:p w14:paraId="530388B3" w14:textId="77777777" w:rsidR="005D1AC1" w:rsidRDefault="00000000">
            <w:pPr>
              <w:pStyle w:val="TableParagraph"/>
              <w:spacing w:before="5" w:line="177" w:lineRule="exact"/>
              <w:ind w:left="134"/>
              <w:rPr>
                <w:sz w:val="16"/>
              </w:rPr>
            </w:pPr>
            <w:r>
              <w:rPr>
                <w:spacing w:val="-2"/>
                <w:sz w:val="16"/>
              </w:rPr>
              <w:t>0.167172</w:t>
            </w:r>
          </w:p>
        </w:tc>
      </w:tr>
      <w:tr w:rsidR="005D1AC1" w14:paraId="30A54536" w14:textId="77777777">
        <w:trPr>
          <w:trHeight w:val="202"/>
        </w:trPr>
        <w:tc>
          <w:tcPr>
            <w:tcW w:w="943" w:type="dxa"/>
          </w:tcPr>
          <w:p w14:paraId="1F4A236F" w14:textId="77777777" w:rsidR="005D1AC1" w:rsidRDefault="00000000">
            <w:pPr>
              <w:pStyle w:val="TableParagraph"/>
              <w:spacing w:before="7"/>
              <w:ind w:left="343"/>
              <w:rPr>
                <w:sz w:val="16"/>
              </w:rPr>
            </w:pPr>
            <w:r>
              <w:rPr>
                <w:spacing w:val="-5"/>
                <w:sz w:val="16"/>
              </w:rPr>
              <w:t>LEV</w:t>
            </w:r>
          </w:p>
        </w:tc>
        <w:tc>
          <w:tcPr>
            <w:tcW w:w="537" w:type="dxa"/>
          </w:tcPr>
          <w:p w14:paraId="7A3E0BD3" w14:textId="77777777" w:rsidR="005D1AC1" w:rsidRDefault="00000000">
            <w:pPr>
              <w:pStyle w:val="TableParagraph"/>
              <w:spacing w:before="7"/>
              <w:ind w:left="166"/>
              <w:rPr>
                <w:sz w:val="16"/>
              </w:rPr>
            </w:pPr>
            <w:r>
              <w:rPr>
                <w:spacing w:val="-5"/>
                <w:sz w:val="16"/>
              </w:rPr>
              <w:t>150</w:t>
            </w:r>
          </w:p>
        </w:tc>
        <w:tc>
          <w:tcPr>
            <w:tcW w:w="920" w:type="dxa"/>
          </w:tcPr>
          <w:p w14:paraId="395887D4" w14:textId="77777777" w:rsidR="005D1AC1" w:rsidRDefault="00000000">
            <w:pPr>
              <w:pStyle w:val="TableParagraph"/>
              <w:spacing w:before="7"/>
              <w:ind w:left="154"/>
              <w:rPr>
                <w:sz w:val="16"/>
              </w:rPr>
            </w:pPr>
            <w:r>
              <w:rPr>
                <w:spacing w:val="-2"/>
                <w:sz w:val="16"/>
              </w:rPr>
              <w:t>0.070740</w:t>
            </w:r>
          </w:p>
        </w:tc>
        <w:tc>
          <w:tcPr>
            <w:tcW w:w="946" w:type="dxa"/>
          </w:tcPr>
          <w:p w14:paraId="145F9255" w14:textId="77777777" w:rsidR="005D1AC1" w:rsidRDefault="00000000">
            <w:pPr>
              <w:pStyle w:val="TableParagraph"/>
              <w:spacing w:before="7"/>
              <w:ind w:left="168"/>
              <w:rPr>
                <w:sz w:val="16"/>
              </w:rPr>
            </w:pPr>
            <w:r>
              <w:rPr>
                <w:spacing w:val="-2"/>
                <w:sz w:val="16"/>
              </w:rPr>
              <w:t>0.819719</w:t>
            </w:r>
          </w:p>
        </w:tc>
        <w:tc>
          <w:tcPr>
            <w:tcW w:w="879" w:type="dxa"/>
          </w:tcPr>
          <w:p w14:paraId="317D70D7" w14:textId="77777777" w:rsidR="005D1AC1" w:rsidRDefault="00000000">
            <w:pPr>
              <w:pStyle w:val="TableParagraph"/>
              <w:spacing w:before="7"/>
              <w:ind w:left="137"/>
              <w:rPr>
                <w:sz w:val="16"/>
              </w:rPr>
            </w:pPr>
            <w:r>
              <w:rPr>
                <w:spacing w:val="-2"/>
                <w:sz w:val="16"/>
              </w:rPr>
              <w:t>0.358206</w:t>
            </w:r>
          </w:p>
        </w:tc>
        <w:tc>
          <w:tcPr>
            <w:tcW w:w="887" w:type="dxa"/>
          </w:tcPr>
          <w:p w14:paraId="345EB728" w14:textId="77777777" w:rsidR="005D1AC1" w:rsidRDefault="00000000">
            <w:pPr>
              <w:pStyle w:val="TableParagraph"/>
              <w:spacing w:before="7"/>
              <w:ind w:left="134"/>
              <w:rPr>
                <w:sz w:val="16"/>
              </w:rPr>
            </w:pPr>
            <w:r>
              <w:rPr>
                <w:spacing w:val="-2"/>
                <w:sz w:val="16"/>
              </w:rPr>
              <w:t>0.181001</w:t>
            </w:r>
          </w:p>
        </w:tc>
      </w:tr>
      <w:tr w:rsidR="005D1AC1" w14:paraId="582A8A9A" w14:textId="77777777">
        <w:trPr>
          <w:trHeight w:val="201"/>
        </w:trPr>
        <w:tc>
          <w:tcPr>
            <w:tcW w:w="943" w:type="dxa"/>
          </w:tcPr>
          <w:p w14:paraId="4F5CEDA0" w14:textId="77777777" w:rsidR="005D1AC1" w:rsidRDefault="00000000">
            <w:pPr>
              <w:pStyle w:val="TableParagraph"/>
              <w:spacing w:before="5"/>
              <w:ind w:left="331"/>
              <w:rPr>
                <w:sz w:val="16"/>
              </w:rPr>
            </w:pPr>
            <w:r>
              <w:rPr>
                <w:spacing w:val="-5"/>
                <w:sz w:val="16"/>
              </w:rPr>
              <w:t>ROA</w:t>
            </w:r>
          </w:p>
        </w:tc>
        <w:tc>
          <w:tcPr>
            <w:tcW w:w="537" w:type="dxa"/>
          </w:tcPr>
          <w:p w14:paraId="3B14F821" w14:textId="77777777" w:rsidR="005D1AC1" w:rsidRDefault="00000000">
            <w:pPr>
              <w:pStyle w:val="TableParagraph"/>
              <w:spacing w:before="5"/>
              <w:ind w:left="166"/>
              <w:rPr>
                <w:sz w:val="16"/>
              </w:rPr>
            </w:pPr>
            <w:r>
              <w:rPr>
                <w:spacing w:val="-5"/>
                <w:sz w:val="16"/>
              </w:rPr>
              <w:t>150</w:t>
            </w:r>
          </w:p>
        </w:tc>
        <w:tc>
          <w:tcPr>
            <w:tcW w:w="920" w:type="dxa"/>
          </w:tcPr>
          <w:p w14:paraId="2E7FDE22" w14:textId="77777777" w:rsidR="005D1AC1" w:rsidRDefault="00000000">
            <w:pPr>
              <w:pStyle w:val="TableParagraph"/>
              <w:spacing w:before="5"/>
              <w:ind w:left="128"/>
              <w:rPr>
                <w:sz w:val="16"/>
              </w:rPr>
            </w:pPr>
            <w:r>
              <w:rPr>
                <w:spacing w:val="-2"/>
                <w:sz w:val="16"/>
              </w:rPr>
              <w:t>-0.012206</w:t>
            </w:r>
          </w:p>
        </w:tc>
        <w:tc>
          <w:tcPr>
            <w:tcW w:w="946" w:type="dxa"/>
          </w:tcPr>
          <w:p w14:paraId="7A799783" w14:textId="77777777" w:rsidR="005D1AC1" w:rsidRDefault="00000000">
            <w:pPr>
              <w:pStyle w:val="TableParagraph"/>
              <w:spacing w:before="5"/>
              <w:ind w:left="168"/>
              <w:rPr>
                <w:sz w:val="16"/>
              </w:rPr>
            </w:pPr>
            <w:r>
              <w:rPr>
                <w:spacing w:val="-2"/>
                <w:sz w:val="16"/>
              </w:rPr>
              <w:t>0.466601</w:t>
            </w:r>
          </w:p>
        </w:tc>
        <w:tc>
          <w:tcPr>
            <w:tcW w:w="879" w:type="dxa"/>
          </w:tcPr>
          <w:p w14:paraId="25B682A3" w14:textId="77777777" w:rsidR="005D1AC1" w:rsidRDefault="00000000">
            <w:pPr>
              <w:pStyle w:val="TableParagraph"/>
              <w:spacing w:before="5"/>
              <w:ind w:left="137"/>
              <w:rPr>
                <w:sz w:val="16"/>
              </w:rPr>
            </w:pPr>
            <w:r>
              <w:rPr>
                <w:spacing w:val="-2"/>
                <w:sz w:val="16"/>
              </w:rPr>
              <w:t>0.100145</w:t>
            </w:r>
          </w:p>
        </w:tc>
        <w:tc>
          <w:tcPr>
            <w:tcW w:w="887" w:type="dxa"/>
          </w:tcPr>
          <w:p w14:paraId="65BE7F67" w14:textId="77777777" w:rsidR="005D1AC1" w:rsidRDefault="00000000">
            <w:pPr>
              <w:pStyle w:val="TableParagraph"/>
              <w:spacing w:before="5"/>
              <w:ind w:left="134"/>
              <w:rPr>
                <w:sz w:val="16"/>
              </w:rPr>
            </w:pPr>
            <w:r>
              <w:rPr>
                <w:spacing w:val="-2"/>
                <w:sz w:val="16"/>
              </w:rPr>
              <w:t>0.087016</w:t>
            </w:r>
          </w:p>
        </w:tc>
      </w:tr>
      <w:tr w:rsidR="005D1AC1" w14:paraId="2CE1C46B" w14:textId="77777777">
        <w:trPr>
          <w:trHeight w:val="210"/>
        </w:trPr>
        <w:tc>
          <w:tcPr>
            <w:tcW w:w="943" w:type="dxa"/>
            <w:tcBorders>
              <w:bottom w:val="single" w:sz="4" w:space="0" w:color="000000"/>
            </w:tcBorders>
          </w:tcPr>
          <w:p w14:paraId="73141D45" w14:textId="77777777" w:rsidR="005D1AC1" w:rsidRDefault="00000000">
            <w:pPr>
              <w:pStyle w:val="TableParagraph"/>
              <w:spacing w:before="5" w:line="240" w:lineRule="auto"/>
              <w:ind w:left="56"/>
              <w:jc w:val="center"/>
              <w:rPr>
                <w:sz w:val="16"/>
              </w:rPr>
            </w:pPr>
            <w:r>
              <w:rPr>
                <w:spacing w:val="-5"/>
                <w:sz w:val="16"/>
              </w:rPr>
              <w:t>UK</w:t>
            </w:r>
          </w:p>
        </w:tc>
        <w:tc>
          <w:tcPr>
            <w:tcW w:w="537" w:type="dxa"/>
            <w:tcBorders>
              <w:bottom w:val="single" w:sz="4" w:space="0" w:color="000000"/>
            </w:tcBorders>
          </w:tcPr>
          <w:p w14:paraId="65B3CC69" w14:textId="77777777" w:rsidR="005D1AC1" w:rsidRDefault="00000000">
            <w:pPr>
              <w:pStyle w:val="TableParagraph"/>
              <w:spacing w:before="5" w:line="240" w:lineRule="auto"/>
              <w:ind w:left="166"/>
              <w:rPr>
                <w:sz w:val="16"/>
              </w:rPr>
            </w:pPr>
            <w:r>
              <w:rPr>
                <w:spacing w:val="-5"/>
                <w:sz w:val="16"/>
              </w:rPr>
              <w:t>150</w:t>
            </w:r>
          </w:p>
        </w:tc>
        <w:tc>
          <w:tcPr>
            <w:tcW w:w="920" w:type="dxa"/>
            <w:tcBorders>
              <w:bottom w:val="single" w:sz="4" w:space="0" w:color="000000"/>
            </w:tcBorders>
          </w:tcPr>
          <w:p w14:paraId="3DB5CB29" w14:textId="77777777" w:rsidR="005D1AC1" w:rsidRDefault="00000000">
            <w:pPr>
              <w:pStyle w:val="TableParagraph"/>
              <w:spacing w:before="5" w:line="240" w:lineRule="auto"/>
              <w:ind w:left="154"/>
              <w:rPr>
                <w:sz w:val="16"/>
              </w:rPr>
            </w:pPr>
            <w:r>
              <w:rPr>
                <w:spacing w:val="-2"/>
                <w:sz w:val="16"/>
              </w:rPr>
              <w:t>26.33816</w:t>
            </w:r>
          </w:p>
        </w:tc>
        <w:tc>
          <w:tcPr>
            <w:tcW w:w="946" w:type="dxa"/>
            <w:tcBorders>
              <w:bottom w:val="single" w:sz="4" w:space="0" w:color="000000"/>
            </w:tcBorders>
          </w:tcPr>
          <w:p w14:paraId="023FB6C5" w14:textId="77777777" w:rsidR="005D1AC1" w:rsidRDefault="00000000">
            <w:pPr>
              <w:pStyle w:val="TableParagraph"/>
              <w:spacing w:before="5" w:line="240" w:lineRule="auto"/>
              <w:ind w:left="168"/>
              <w:rPr>
                <w:sz w:val="16"/>
              </w:rPr>
            </w:pPr>
            <w:r>
              <w:rPr>
                <w:spacing w:val="-2"/>
                <w:sz w:val="16"/>
              </w:rPr>
              <w:t>33.49453</w:t>
            </w:r>
          </w:p>
        </w:tc>
        <w:tc>
          <w:tcPr>
            <w:tcW w:w="879" w:type="dxa"/>
            <w:tcBorders>
              <w:bottom w:val="single" w:sz="4" w:space="0" w:color="000000"/>
            </w:tcBorders>
          </w:tcPr>
          <w:p w14:paraId="615352FF" w14:textId="77777777" w:rsidR="005D1AC1" w:rsidRDefault="00000000">
            <w:pPr>
              <w:pStyle w:val="TableParagraph"/>
              <w:spacing w:before="5" w:line="240" w:lineRule="auto"/>
              <w:ind w:left="137"/>
              <w:rPr>
                <w:sz w:val="16"/>
              </w:rPr>
            </w:pPr>
            <w:r>
              <w:rPr>
                <w:spacing w:val="-2"/>
                <w:sz w:val="16"/>
              </w:rPr>
              <w:t>29.34851</w:t>
            </w:r>
          </w:p>
        </w:tc>
        <w:tc>
          <w:tcPr>
            <w:tcW w:w="887" w:type="dxa"/>
            <w:tcBorders>
              <w:bottom w:val="single" w:sz="4" w:space="0" w:color="000000"/>
            </w:tcBorders>
          </w:tcPr>
          <w:p w14:paraId="54A3D9A7" w14:textId="77777777" w:rsidR="005D1AC1" w:rsidRDefault="00000000">
            <w:pPr>
              <w:pStyle w:val="TableParagraph"/>
              <w:spacing w:before="5" w:line="240" w:lineRule="auto"/>
              <w:ind w:left="134"/>
              <w:rPr>
                <w:sz w:val="16"/>
              </w:rPr>
            </w:pPr>
            <w:r>
              <w:rPr>
                <w:spacing w:val="-2"/>
                <w:sz w:val="16"/>
              </w:rPr>
              <w:t>1.734654</w:t>
            </w:r>
          </w:p>
        </w:tc>
      </w:tr>
    </w:tbl>
    <w:p w14:paraId="6C391429" w14:textId="77777777" w:rsidR="005D1AC1" w:rsidRDefault="00000000">
      <w:pPr>
        <w:spacing w:before="18"/>
        <w:ind w:left="208"/>
        <w:rPr>
          <w:sz w:val="16"/>
        </w:rPr>
      </w:pPr>
      <w:r>
        <w:rPr>
          <w:sz w:val="16"/>
        </w:rPr>
        <w:t>Source:</w:t>
      </w:r>
      <w:r>
        <w:rPr>
          <w:spacing w:val="-6"/>
          <w:sz w:val="16"/>
        </w:rPr>
        <w:t xml:space="preserve"> </w:t>
      </w:r>
      <w:r>
        <w:rPr>
          <w:sz w:val="16"/>
        </w:rPr>
        <w:t>Data</w:t>
      </w:r>
      <w:r>
        <w:rPr>
          <w:spacing w:val="-6"/>
          <w:sz w:val="16"/>
        </w:rPr>
        <w:t xml:space="preserve"> </w:t>
      </w:r>
      <w:r>
        <w:rPr>
          <w:sz w:val="16"/>
        </w:rPr>
        <w:t>processed</w:t>
      </w:r>
      <w:r>
        <w:rPr>
          <w:spacing w:val="-5"/>
          <w:sz w:val="16"/>
        </w:rPr>
        <w:t xml:space="preserve"> </w:t>
      </w:r>
      <w:r>
        <w:rPr>
          <w:sz w:val="16"/>
        </w:rPr>
        <w:t>using</w:t>
      </w:r>
      <w:r>
        <w:rPr>
          <w:spacing w:val="-6"/>
          <w:sz w:val="16"/>
        </w:rPr>
        <w:t xml:space="preserve"> </w:t>
      </w:r>
      <w:r>
        <w:rPr>
          <w:sz w:val="16"/>
        </w:rPr>
        <w:t>Eviews</w:t>
      </w:r>
      <w:r>
        <w:rPr>
          <w:spacing w:val="-8"/>
          <w:sz w:val="16"/>
        </w:rPr>
        <w:t xml:space="preserve"> </w:t>
      </w:r>
      <w:r>
        <w:rPr>
          <w:spacing w:val="-5"/>
          <w:sz w:val="16"/>
        </w:rPr>
        <w:t>10.</w:t>
      </w:r>
    </w:p>
    <w:p w14:paraId="64C75A2F" w14:textId="77777777" w:rsidR="005D1AC1" w:rsidRDefault="005D1AC1">
      <w:pPr>
        <w:pStyle w:val="BodyText"/>
        <w:spacing w:before="68"/>
        <w:jc w:val="left"/>
        <w:rPr>
          <w:sz w:val="16"/>
        </w:rPr>
      </w:pPr>
    </w:p>
    <w:p w14:paraId="4EDBAF7D" w14:textId="77777777" w:rsidR="005D1AC1" w:rsidRDefault="00000000">
      <w:pPr>
        <w:pStyle w:val="BodyText"/>
        <w:spacing w:line="252" w:lineRule="auto"/>
        <w:ind w:left="208" w:right="222" w:firstLine="202"/>
      </w:pPr>
      <w:r>
        <w:t>The results of the descriptive statistical test in Table I show that the firm value variable (PBV), has a mean value</w:t>
      </w:r>
      <w:r>
        <w:rPr>
          <w:spacing w:val="40"/>
        </w:rPr>
        <w:t xml:space="preserve"> </w:t>
      </w:r>
      <w:r>
        <w:t xml:space="preserve">of 2.832117 and for a minimum value of 0.136084, the maximum value is 16.06011, with a standard deviation of </w:t>
      </w:r>
      <w:r>
        <w:rPr>
          <w:spacing w:val="-2"/>
        </w:rPr>
        <w:t>3.098794.</w:t>
      </w:r>
    </w:p>
    <w:p w14:paraId="5CE83642" w14:textId="77777777" w:rsidR="005D1AC1" w:rsidRDefault="00000000">
      <w:pPr>
        <w:pStyle w:val="BodyText"/>
        <w:spacing w:line="252" w:lineRule="auto"/>
        <w:ind w:left="208" w:right="222" w:firstLine="202"/>
      </w:pPr>
      <w:r>
        <w:t xml:space="preserve">The dividend policy variable (DPR) has a mean value of 0.504977 and for a minimum value of -0.604595, the maximum value is 3.521127, with a standard deviation of </w:t>
      </w:r>
      <w:r>
        <w:rPr>
          <w:spacing w:val="-2"/>
        </w:rPr>
        <w:t>0.431494.</w:t>
      </w:r>
    </w:p>
    <w:p w14:paraId="537678BD" w14:textId="77777777" w:rsidR="005D1AC1" w:rsidRDefault="00000000">
      <w:pPr>
        <w:pStyle w:val="BodyText"/>
        <w:spacing w:before="2" w:line="252" w:lineRule="auto"/>
        <w:ind w:left="208" w:right="222" w:firstLine="202"/>
      </w:pPr>
      <w:r>
        <w:t>The</w:t>
      </w:r>
      <w:r>
        <w:rPr>
          <w:spacing w:val="-4"/>
        </w:rPr>
        <w:t xml:space="preserve"> </w:t>
      </w:r>
      <w:r>
        <w:t>investment</w:t>
      </w:r>
      <w:r>
        <w:rPr>
          <w:spacing w:val="-5"/>
        </w:rPr>
        <w:t xml:space="preserve"> </w:t>
      </w:r>
      <w:r>
        <w:t>decision</w:t>
      </w:r>
      <w:r>
        <w:rPr>
          <w:spacing w:val="-3"/>
        </w:rPr>
        <w:t xml:space="preserve"> </w:t>
      </w:r>
      <w:r>
        <w:t>variable</w:t>
      </w:r>
      <w:r>
        <w:rPr>
          <w:spacing w:val="-4"/>
        </w:rPr>
        <w:t xml:space="preserve"> </w:t>
      </w:r>
      <w:r>
        <w:t>(TAG) has</w:t>
      </w:r>
      <w:r>
        <w:rPr>
          <w:spacing w:val="-5"/>
        </w:rPr>
        <w:t xml:space="preserve"> </w:t>
      </w:r>
      <w:r>
        <w:t>a</w:t>
      </w:r>
      <w:r>
        <w:rPr>
          <w:spacing w:val="-4"/>
        </w:rPr>
        <w:t xml:space="preserve"> </w:t>
      </w:r>
      <w:r>
        <w:t>mean</w:t>
      </w:r>
      <w:r>
        <w:rPr>
          <w:spacing w:val="-3"/>
        </w:rPr>
        <w:t xml:space="preserve"> </w:t>
      </w:r>
      <w:r>
        <w:t xml:space="preserve">value of 0.114684 and for a minimum value of -0.148089, the maximum value is 0.932742, with a standard deviation of </w:t>
      </w:r>
      <w:r>
        <w:rPr>
          <w:spacing w:val="-2"/>
        </w:rPr>
        <w:t>0.167172.</w:t>
      </w:r>
    </w:p>
    <w:p w14:paraId="0302C0AF" w14:textId="77777777" w:rsidR="005D1AC1" w:rsidRDefault="00000000">
      <w:pPr>
        <w:pStyle w:val="BodyText"/>
        <w:spacing w:line="252" w:lineRule="auto"/>
        <w:ind w:left="208" w:right="222" w:firstLine="202"/>
      </w:pPr>
      <w:r>
        <w:t xml:space="preserve">The leverage variable (LEV) has a mean value of 0.358206 and for a minimum value of 0.070740, the maximum value is 0.819719, with a standard deviation of </w:t>
      </w:r>
      <w:r>
        <w:rPr>
          <w:spacing w:val="-2"/>
        </w:rPr>
        <w:t>0.181001.</w:t>
      </w:r>
    </w:p>
    <w:p w14:paraId="1BA69AC5" w14:textId="77777777" w:rsidR="005D1AC1" w:rsidRDefault="00000000">
      <w:pPr>
        <w:pStyle w:val="BodyText"/>
        <w:spacing w:line="252" w:lineRule="auto"/>
        <w:ind w:left="208" w:right="222" w:firstLine="202"/>
      </w:pPr>
      <w:r>
        <w:t xml:space="preserve">The profitability variable (ROA) has a mean value of 0.100145 and for a minimum value of -0.012206, the maximum value is 0.466601, with a standard deviation of </w:t>
      </w:r>
      <w:r>
        <w:rPr>
          <w:spacing w:val="-2"/>
        </w:rPr>
        <w:t>0.087016.</w:t>
      </w:r>
    </w:p>
    <w:p w14:paraId="618C3CF3" w14:textId="77777777" w:rsidR="005D1AC1" w:rsidRDefault="00000000">
      <w:pPr>
        <w:pStyle w:val="BodyText"/>
        <w:spacing w:line="252" w:lineRule="auto"/>
        <w:ind w:left="208" w:right="221" w:firstLine="202"/>
      </w:pPr>
      <w:r>
        <w:t>Firm size variable (UK) has a mean value of 29.34851</w:t>
      </w:r>
      <w:r>
        <w:rPr>
          <w:spacing w:val="40"/>
        </w:rPr>
        <w:t xml:space="preserve"> </w:t>
      </w:r>
      <w:r>
        <w:t>and for a minimum value of 26,33816, the maximum value</w:t>
      </w:r>
      <w:r>
        <w:rPr>
          <w:spacing w:val="40"/>
        </w:rPr>
        <w:t xml:space="preserve"> </w:t>
      </w:r>
      <w:r>
        <w:t>is 33,49453, with a standard deviation of 1.734654.</w:t>
      </w:r>
    </w:p>
    <w:p w14:paraId="5C0B2EC3" w14:textId="77777777" w:rsidR="005D1AC1" w:rsidRDefault="00000000">
      <w:pPr>
        <w:pStyle w:val="ListParagraph"/>
        <w:numPr>
          <w:ilvl w:val="0"/>
          <w:numId w:val="4"/>
        </w:numPr>
        <w:tabs>
          <w:tab w:val="left" w:pos="667"/>
        </w:tabs>
        <w:spacing w:before="119"/>
        <w:ind w:left="667" w:hanging="315"/>
        <w:jc w:val="both"/>
        <w:rPr>
          <w:i/>
          <w:sz w:val="20"/>
        </w:rPr>
      </w:pPr>
      <w:r>
        <w:rPr>
          <w:i/>
          <w:sz w:val="20"/>
        </w:rPr>
        <w:t>Regression</w:t>
      </w:r>
      <w:r>
        <w:rPr>
          <w:i/>
          <w:spacing w:val="-9"/>
          <w:sz w:val="20"/>
        </w:rPr>
        <w:t xml:space="preserve"> </w:t>
      </w:r>
      <w:r>
        <w:rPr>
          <w:i/>
          <w:spacing w:val="-2"/>
          <w:sz w:val="20"/>
        </w:rPr>
        <w:t>Analysis</w:t>
      </w:r>
    </w:p>
    <w:p w14:paraId="340DCBAD" w14:textId="77777777" w:rsidR="005D1AC1" w:rsidRDefault="00000000">
      <w:pPr>
        <w:pStyle w:val="BodyText"/>
        <w:spacing w:before="61" w:line="252" w:lineRule="auto"/>
        <w:ind w:left="208" w:right="228" w:firstLine="202"/>
      </w:pPr>
      <w:r>
        <w:t>This study uses panel data regression as the analysis method. The regression model to determine the panel data regression equation that has been selected is the random effect model.</w:t>
      </w:r>
    </w:p>
    <w:p w14:paraId="104B87B7" w14:textId="77777777" w:rsidR="005D1AC1" w:rsidRDefault="00000000">
      <w:pPr>
        <w:tabs>
          <w:tab w:val="left" w:pos="815"/>
          <w:tab w:val="left" w:pos="4162"/>
        </w:tabs>
        <w:spacing w:before="182"/>
        <w:ind w:right="12"/>
        <w:jc w:val="center"/>
        <w:rPr>
          <w:sz w:val="16"/>
        </w:rPr>
      </w:pPr>
      <w:r>
        <w:rPr>
          <w:smallCaps/>
          <w:sz w:val="16"/>
          <w:u w:val="single"/>
        </w:rPr>
        <w:tab/>
        <w:t>TABEL</w:t>
      </w:r>
      <w:r>
        <w:rPr>
          <w:smallCaps/>
          <w:spacing w:val="-9"/>
          <w:sz w:val="16"/>
          <w:u w:val="single"/>
        </w:rPr>
        <w:t xml:space="preserve"> </w:t>
      </w:r>
      <w:r>
        <w:rPr>
          <w:smallCaps/>
          <w:sz w:val="16"/>
          <w:u w:val="single"/>
        </w:rPr>
        <w:t>II:</w:t>
      </w:r>
      <w:r>
        <w:rPr>
          <w:smallCaps/>
          <w:spacing w:val="-9"/>
          <w:sz w:val="16"/>
          <w:u w:val="single"/>
        </w:rPr>
        <w:t xml:space="preserve"> </w:t>
      </w:r>
      <w:r>
        <w:rPr>
          <w:smallCaps/>
          <w:sz w:val="16"/>
          <w:u w:val="single"/>
        </w:rPr>
        <w:t>Regression</w:t>
      </w:r>
      <w:r>
        <w:rPr>
          <w:smallCaps/>
          <w:spacing w:val="-8"/>
          <w:sz w:val="16"/>
          <w:u w:val="single"/>
        </w:rPr>
        <w:t xml:space="preserve"> </w:t>
      </w:r>
      <w:r>
        <w:rPr>
          <w:smallCaps/>
          <w:sz w:val="16"/>
          <w:u w:val="single"/>
        </w:rPr>
        <w:t>Test</w:t>
      </w:r>
      <w:r>
        <w:rPr>
          <w:smallCaps/>
          <w:spacing w:val="-6"/>
          <w:sz w:val="16"/>
          <w:u w:val="single"/>
        </w:rPr>
        <w:t xml:space="preserve"> </w:t>
      </w:r>
      <w:r>
        <w:rPr>
          <w:smallCaps/>
          <w:spacing w:val="-2"/>
          <w:sz w:val="16"/>
          <w:u w:val="single"/>
        </w:rPr>
        <w:t>Results</w:t>
      </w:r>
      <w:r>
        <w:rPr>
          <w:smallCaps/>
          <w:sz w:val="16"/>
          <w:u w:val="single"/>
        </w:rPr>
        <w:tab/>
      </w:r>
    </w:p>
    <w:tbl>
      <w:tblPr>
        <w:tblW w:w="0" w:type="auto"/>
        <w:tblInd w:w="573" w:type="dxa"/>
        <w:tblLayout w:type="fixed"/>
        <w:tblCellMar>
          <w:left w:w="0" w:type="dxa"/>
          <w:right w:w="0" w:type="dxa"/>
        </w:tblCellMar>
        <w:tblLook w:val="01E0" w:firstRow="1" w:lastRow="1" w:firstColumn="1" w:lastColumn="1" w:noHBand="0" w:noVBand="0"/>
      </w:tblPr>
      <w:tblGrid>
        <w:gridCol w:w="1356"/>
        <w:gridCol w:w="808"/>
        <w:gridCol w:w="723"/>
        <w:gridCol w:w="743"/>
        <w:gridCol w:w="529"/>
      </w:tblGrid>
      <w:tr w:rsidR="005D1AC1" w14:paraId="4F781A58" w14:textId="77777777">
        <w:trPr>
          <w:trHeight w:val="195"/>
        </w:trPr>
        <w:tc>
          <w:tcPr>
            <w:tcW w:w="1356" w:type="dxa"/>
            <w:tcBorders>
              <w:bottom w:val="single" w:sz="4" w:space="0" w:color="000000"/>
            </w:tcBorders>
          </w:tcPr>
          <w:p w14:paraId="3CA21F1E" w14:textId="77777777" w:rsidR="005D1AC1" w:rsidRDefault="00000000">
            <w:pPr>
              <w:pStyle w:val="TableParagraph"/>
              <w:ind w:left="2" w:right="6"/>
              <w:jc w:val="center"/>
              <w:rPr>
                <w:sz w:val="16"/>
              </w:rPr>
            </w:pPr>
            <w:r>
              <w:rPr>
                <w:spacing w:val="-2"/>
                <w:sz w:val="16"/>
              </w:rPr>
              <w:t>Variable</w:t>
            </w:r>
          </w:p>
        </w:tc>
        <w:tc>
          <w:tcPr>
            <w:tcW w:w="808" w:type="dxa"/>
            <w:tcBorders>
              <w:bottom w:val="single" w:sz="4" w:space="0" w:color="000000"/>
            </w:tcBorders>
          </w:tcPr>
          <w:p w14:paraId="32909F1C" w14:textId="77777777" w:rsidR="005D1AC1" w:rsidRDefault="00000000">
            <w:pPr>
              <w:pStyle w:val="TableParagraph"/>
              <w:ind w:left="43"/>
              <w:rPr>
                <w:sz w:val="16"/>
              </w:rPr>
            </w:pPr>
            <w:r>
              <w:rPr>
                <w:spacing w:val="-2"/>
                <w:sz w:val="16"/>
              </w:rPr>
              <w:t>Coefficient</w:t>
            </w:r>
          </w:p>
        </w:tc>
        <w:tc>
          <w:tcPr>
            <w:tcW w:w="723" w:type="dxa"/>
            <w:tcBorders>
              <w:bottom w:val="single" w:sz="4" w:space="0" w:color="000000"/>
            </w:tcBorders>
          </w:tcPr>
          <w:p w14:paraId="7134CD82" w14:textId="77777777" w:rsidR="005D1AC1" w:rsidRDefault="00000000">
            <w:pPr>
              <w:pStyle w:val="TableParagraph"/>
              <w:ind w:left="3"/>
              <w:jc w:val="center"/>
              <w:rPr>
                <w:sz w:val="16"/>
              </w:rPr>
            </w:pPr>
            <w:r>
              <w:rPr>
                <w:sz w:val="16"/>
              </w:rPr>
              <w:t>Std.</w:t>
            </w:r>
            <w:r>
              <w:rPr>
                <w:spacing w:val="-3"/>
                <w:sz w:val="16"/>
              </w:rPr>
              <w:t xml:space="preserve"> </w:t>
            </w:r>
            <w:r>
              <w:rPr>
                <w:spacing w:val="-4"/>
                <w:sz w:val="16"/>
              </w:rPr>
              <w:t>Error</w:t>
            </w:r>
          </w:p>
        </w:tc>
        <w:tc>
          <w:tcPr>
            <w:tcW w:w="743" w:type="dxa"/>
            <w:tcBorders>
              <w:bottom w:val="single" w:sz="4" w:space="0" w:color="000000"/>
            </w:tcBorders>
          </w:tcPr>
          <w:p w14:paraId="11BCFA5A" w14:textId="77777777" w:rsidR="005D1AC1" w:rsidRDefault="00000000">
            <w:pPr>
              <w:pStyle w:val="TableParagraph"/>
              <w:ind w:left="3"/>
              <w:jc w:val="center"/>
              <w:rPr>
                <w:sz w:val="16"/>
              </w:rPr>
            </w:pPr>
            <w:r>
              <w:rPr>
                <w:spacing w:val="-2"/>
                <w:sz w:val="16"/>
              </w:rPr>
              <w:t>t-Statistic</w:t>
            </w:r>
          </w:p>
        </w:tc>
        <w:tc>
          <w:tcPr>
            <w:tcW w:w="529" w:type="dxa"/>
            <w:tcBorders>
              <w:bottom w:val="single" w:sz="4" w:space="0" w:color="000000"/>
            </w:tcBorders>
          </w:tcPr>
          <w:p w14:paraId="19DD0792" w14:textId="77777777" w:rsidR="005D1AC1" w:rsidRDefault="00000000">
            <w:pPr>
              <w:pStyle w:val="TableParagraph"/>
              <w:ind w:left="6"/>
              <w:jc w:val="center"/>
              <w:rPr>
                <w:sz w:val="16"/>
              </w:rPr>
            </w:pPr>
            <w:r>
              <w:rPr>
                <w:spacing w:val="-2"/>
                <w:sz w:val="16"/>
              </w:rPr>
              <w:t>Prob.</w:t>
            </w:r>
          </w:p>
        </w:tc>
      </w:tr>
      <w:tr w:rsidR="005D1AC1" w14:paraId="6B25A87B" w14:textId="77777777">
        <w:trPr>
          <w:trHeight w:val="195"/>
        </w:trPr>
        <w:tc>
          <w:tcPr>
            <w:tcW w:w="1356" w:type="dxa"/>
            <w:tcBorders>
              <w:top w:val="single" w:sz="4" w:space="0" w:color="000000"/>
            </w:tcBorders>
          </w:tcPr>
          <w:p w14:paraId="4D97858C" w14:textId="77777777" w:rsidR="005D1AC1" w:rsidRDefault="00000000">
            <w:pPr>
              <w:pStyle w:val="TableParagraph"/>
              <w:spacing w:line="175" w:lineRule="exact"/>
              <w:ind w:left="3" w:right="6"/>
              <w:jc w:val="center"/>
              <w:rPr>
                <w:sz w:val="16"/>
              </w:rPr>
            </w:pPr>
            <w:r>
              <w:rPr>
                <w:spacing w:val="-10"/>
                <w:sz w:val="16"/>
              </w:rPr>
              <w:t>C</w:t>
            </w:r>
          </w:p>
        </w:tc>
        <w:tc>
          <w:tcPr>
            <w:tcW w:w="808" w:type="dxa"/>
            <w:tcBorders>
              <w:top w:val="single" w:sz="4" w:space="0" w:color="000000"/>
            </w:tcBorders>
          </w:tcPr>
          <w:p w14:paraId="48EB350F" w14:textId="77777777" w:rsidR="005D1AC1" w:rsidRDefault="00000000">
            <w:pPr>
              <w:pStyle w:val="TableParagraph"/>
              <w:spacing w:line="175" w:lineRule="exact"/>
              <w:ind w:left="76"/>
              <w:rPr>
                <w:sz w:val="16"/>
              </w:rPr>
            </w:pPr>
            <w:r>
              <w:rPr>
                <w:spacing w:val="-2"/>
                <w:sz w:val="16"/>
              </w:rPr>
              <w:t>-7.810639</w:t>
            </w:r>
          </w:p>
        </w:tc>
        <w:tc>
          <w:tcPr>
            <w:tcW w:w="723" w:type="dxa"/>
            <w:tcBorders>
              <w:top w:val="single" w:sz="4" w:space="0" w:color="000000"/>
            </w:tcBorders>
          </w:tcPr>
          <w:p w14:paraId="025F5B31" w14:textId="77777777" w:rsidR="005D1AC1" w:rsidRDefault="00000000">
            <w:pPr>
              <w:pStyle w:val="TableParagraph"/>
              <w:spacing w:line="175" w:lineRule="exact"/>
              <w:ind w:left="3" w:right="3"/>
              <w:jc w:val="center"/>
              <w:rPr>
                <w:sz w:val="16"/>
              </w:rPr>
            </w:pPr>
            <w:r>
              <w:rPr>
                <w:spacing w:val="-2"/>
                <w:sz w:val="16"/>
              </w:rPr>
              <w:t>4.532724</w:t>
            </w:r>
          </w:p>
        </w:tc>
        <w:tc>
          <w:tcPr>
            <w:tcW w:w="743" w:type="dxa"/>
            <w:tcBorders>
              <w:top w:val="single" w:sz="4" w:space="0" w:color="000000"/>
            </w:tcBorders>
          </w:tcPr>
          <w:p w14:paraId="1F3A1901" w14:textId="77777777" w:rsidR="005D1AC1" w:rsidRDefault="00000000">
            <w:pPr>
              <w:pStyle w:val="TableParagraph"/>
              <w:spacing w:line="175" w:lineRule="exact"/>
              <w:ind w:left="3"/>
              <w:jc w:val="center"/>
              <w:rPr>
                <w:sz w:val="16"/>
              </w:rPr>
            </w:pPr>
            <w:r>
              <w:rPr>
                <w:spacing w:val="-2"/>
                <w:sz w:val="16"/>
              </w:rPr>
              <w:t>-1.723167</w:t>
            </w:r>
          </w:p>
        </w:tc>
        <w:tc>
          <w:tcPr>
            <w:tcW w:w="529" w:type="dxa"/>
            <w:tcBorders>
              <w:top w:val="single" w:sz="4" w:space="0" w:color="000000"/>
            </w:tcBorders>
          </w:tcPr>
          <w:p w14:paraId="12DE09AB" w14:textId="77777777" w:rsidR="005D1AC1" w:rsidRDefault="00000000">
            <w:pPr>
              <w:pStyle w:val="TableParagraph"/>
              <w:spacing w:line="175" w:lineRule="exact"/>
              <w:ind w:left="6" w:right="1"/>
              <w:jc w:val="center"/>
              <w:rPr>
                <w:sz w:val="16"/>
              </w:rPr>
            </w:pPr>
            <w:r>
              <w:rPr>
                <w:spacing w:val="-2"/>
                <w:sz w:val="16"/>
              </w:rPr>
              <w:t>0.0870</w:t>
            </w:r>
          </w:p>
        </w:tc>
      </w:tr>
      <w:tr w:rsidR="005D1AC1" w14:paraId="5C6BEE8A" w14:textId="77777777">
        <w:trPr>
          <w:trHeight w:val="202"/>
        </w:trPr>
        <w:tc>
          <w:tcPr>
            <w:tcW w:w="1356" w:type="dxa"/>
          </w:tcPr>
          <w:p w14:paraId="1EBD5BD7" w14:textId="77777777" w:rsidR="005D1AC1" w:rsidRDefault="00000000">
            <w:pPr>
              <w:pStyle w:val="TableParagraph"/>
              <w:spacing w:before="5" w:line="177" w:lineRule="exact"/>
              <w:ind w:right="6"/>
              <w:jc w:val="center"/>
              <w:rPr>
                <w:sz w:val="16"/>
              </w:rPr>
            </w:pPr>
            <w:r>
              <w:rPr>
                <w:spacing w:val="-5"/>
                <w:sz w:val="16"/>
              </w:rPr>
              <w:t>DPR</w:t>
            </w:r>
          </w:p>
        </w:tc>
        <w:tc>
          <w:tcPr>
            <w:tcW w:w="808" w:type="dxa"/>
          </w:tcPr>
          <w:p w14:paraId="617902F9" w14:textId="77777777" w:rsidR="005D1AC1" w:rsidRDefault="00000000">
            <w:pPr>
              <w:pStyle w:val="TableParagraph"/>
              <w:spacing w:before="5" w:line="177" w:lineRule="exact"/>
              <w:ind w:left="103"/>
              <w:rPr>
                <w:sz w:val="16"/>
              </w:rPr>
            </w:pPr>
            <w:r>
              <w:rPr>
                <w:spacing w:val="-2"/>
                <w:sz w:val="16"/>
              </w:rPr>
              <w:t>0.239969</w:t>
            </w:r>
          </w:p>
        </w:tc>
        <w:tc>
          <w:tcPr>
            <w:tcW w:w="723" w:type="dxa"/>
          </w:tcPr>
          <w:p w14:paraId="7A73E950" w14:textId="77777777" w:rsidR="005D1AC1" w:rsidRDefault="00000000">
            <w:pPr>
              <w:pStyle w:val="TableParagraph"/>
              <w:spacing w:before="5" w:line="177" w:lineRule="exact"/>
              <w:ind w:left="3" w:right="3"/>
              <w:jc w:val="center"/>
              <w:rPr>
                <w:sz w:val="16"/>
              </w:rPr>
            </w:pPr>
            <w:r>
              <w:rPr>
                <w:spacing w:val="-2"/>
                <w:sz w:val="16"/>
              </w:rPr>
              <w:t>0.428952</w:t>
            </w:r>
          </w:p>
        </w:tc>
        <w:tc>
          <w:tcPr>
            <w:tcW w:w="743" w:type="dxa"/>
          </w:tcPr>
          <w:p w14:paraId="4BCAA09E" w14:textId="77777777" w:rsidR="005D1AC1" w:rsidRDefault="00000000">
            <w:pPr>
              <w:pStyle w:val="TableParagraph"/>
              <w:spacing w:before="5" w:line="177" w:lineRule="exact"/>
              <w:ind w:left="3"/>
              <w:jc w:val="center"/>
              <w:rPr>
                <w:sz w:val="16"/>
              </w:rPr>
            </w:pPr>
            <w:r>
              <w:rPr>
                <w:spacing w:val="-2"/>
                <w:sz w:val="16"/>
              </w:rPr>
              <w:t>0.559431</w:t>
            </w:r>
          </w:p>
        </w:tc>
        <w:tc>
          <w:tcPr>
            <w:tcW w:w="529" w:type="dxa"/>
          </w:tcPr>
          <w:p w14:paraId="37809F4C" w14:textId="77777777" w:rsidR="005D1AC1" w:rsidRDefault="00000000">
            <w:pPr>
              <w:pStyle w:val="TableParagraph"/>
              <w:spacing w:before="5" w:line="177" w:lineRule="exact"/>
              <w:ind w:left="6" w:right="1"/>
              <w:jc w:val="center"/>
              <w:rPr>
                <w:sz w:val="16"/>
              </w:rPr>
            </w:pPr>
            <w:r>
              <w:rPr>
                <w:spacing w:val="-2"/>
                <w:sz w:val="16"/>
              </w:rPr>
              <w:t>0.5767</w:t>
            </w:r>
          </w:p>
        </w:tc>
      </w:tr>
      <w:tr w:rsidR="005D1AC1" w14:paraId="6A1C1E8F" w14:textId="77777777">
        <w:trPr>
          <w:trHeight w:val="202"/>
        </w:trPr>
        <w:tc>
          <w:tcPr>
            <w:tcW w:w="1356" w:type="dxa"/>
          </w:tcPr>
          <w:p w14:paraId="33AB0C5C" w14:textId="77777777" w:rsidR="005D1AC1" w:rsidRDefault="00000000">
            <w:pPr>
              <w:pStyle w:val="TableParagraph"/>
              <w:spacing w:before="7"/>
              <w:ind w:left="5" w:right="6"/>
              <w:jc w:val="center"/>
              <w:rPr>
                <w:sz w:val="16"/>
              </w:rPr>
            </w:pPr>
            <w:r>
              <w:rPr>
                <w:spacing w:val="-5"/>
                <w:sz w:val="16"/>
              </w:rPr>
              <w:t>TAG</w:t>
            </w:r>
          </w:p>
        </w:tc>
        <w:tc>
          <w:tcPr>
            <w:tcW w:w="808" w:type="dxa"/>
          </w:tcPr>
          <w:p w14:paraId="4405F24C" w14:textId="77777777" w:rsidR="005D1AC1" w:rsidRDefault="00000000">
            <w:pPr>
              <w:pStyle w:val="TableParagraph"/>
              <w:spacing w:before="7"/>
              <w:ind w:left="76"/>
              <w:rPr>
                <w:sz w:val="16"/>
              </w:rPr>
            </w:pPr>
            <w:r>
              <w:rPr>
                <w:spacing w:val="-2"/>
                <w:sz w:val="16"/>
              </w:rPr>
              <w:t>-0.799194</w:t>
            </w:r>
          </w:p>
        </w:tc>
        <w:tc>
          <w:tcPr>
            <w:tcW w:w="723" w:type="dxa"/>
          </w:tcPr>
          <w:p w14:paraId="332D3563" w14:textId="77777777" w:rsidR="005D1AC1" w:rsidRDefault="00000000">
            <w:pPr>
              <w:pStyle w:val="TableParagraph"/>
              <w:spacing w:before="7"/>
              <w:ind w:left="3" w:right="3"/>
              <w:jc w:val="center"/>
              <w:rPr>
                <w:sz w:val="16"/>
              </w:rPr>
            </w:pPr>
            <w:r>
              <w:rPr>
                <w:spacing w:val="-2"/>
                <w:sz w:val="16"/>
              </w:rPr>
              <w:t>0.876584</w:t>
            </w:r>
          </w:p>
        </w:tc>
        <w:tc>
          <w:tcPr>
            <w:tcW w:w="743" w:type="dxa"/>
          </w:tcPr>
          <w:p w14:paraId="6865E064" w14:textId="77777777" w:rsidR="005D1AC1" w:rsidRDefault="00000000">
            <w:pPr>
              <w:pStyle w:val="TableParagraph"/>
              <w:spacing w:before="7"/>
              <w:ind w:left="3"/>
              <w:jc w:val="center"/>
              <w:rPr>
                <w:sz w:val="16"/>
              </w:rPr>
            </w:pPr>
            <w:r>
              <w:rPr>
                <w:spacing w:val="-2"/>
                <w:sz w:val="16"/>
              </w:rPr>
              <w:t>-0.911715</w:t>
            </w:r>
          </w:p>
        </w:tc>
        <w:tc>
          <w:tcPr>
            <w:tcW w:w="529" w:type="dxa"/>
          </w:tcPr>
          <w:p w14:paraId="275E5CD5" w14:textId="77777777" w:rsidR="005D1AC1" w:rsidRDefault="00000000">
            <w:pPr>
              <w:pStyle w:val="TableParagraph"/>
              <w:spacing w:before="7"/>
              <w:ind w:left="6" w:right="1"/>
              <w:jc w:val="center"/>
              <w:rPr>
                <w:sz w:val="16"/>
              </w:rPr>
            </w:pPr>
            <w:r>
              <w:rPr>
                <w:spacing w:val="-2"/>
                <w:sz w:val="16"/>
              </w:rPr>
              <w:t>0.3634</w:t>
            </w:r>
          </w:p>
        </w:tc>
      </w:tr>
      <w:tr w:rsidR="005D1AC1" w14:paraId="6B802FFE" w14:textId="77777777">
        <w:trPr>
          <w:trHeight w:val="201"/>
        </w:trPr>
        <w:tc>
          <w:tcPr>
            <w:tcW w:w="1356" w:type="dxa"/>
          </w:tcPr>
          <w:p w14:paraId="53CD4338" w14:textId="77777777" w:rsidR="005D1AC1" w:rsidRDefault="00000000">
            <w:pPr>
              <w:pStyle w:val="TableParagraph"/>
              <w:spacing w:before="5"/>
              <w:ind w:left="2" w:right="6"/>
              <w:jc w:val="center"/>
              <w:rPr>
                <w:sz w:val="16"/>
              </w:rPr>
            </w:pPr>
            <w:r>
              <w:rPr>
                <w:spacing w:val="-5"/>
                <w:sz w:val="16"/>
              </w:rPr>
              <w:t>LEV</w:t>
            </w:r>
          </w:p>
        </w:tc>
        <w:tc>
          <w:tcPr>
            <w:tcW w:w="808" w:type="dxa"/>
          </w:tcPr>
          <w:p w14:paraId="04988B12" w14:textId="77777777" w:rsidR="005D1AC1" w:rsidRDefault="00000000">
            <w:pPr>
              <w:pStyle w:val="TableParagraph"/>
              <w:spacing w:before="5"/>
              <w:ind w:left="103"/>
              <w:rPr>
                <w:sz w:val="16"/>
              </w:rPr>
            </w:pPr>
            <w:r>
              <w:rPr>
                <w:spacing w:val="-2"/>
                <w:sz w:val="16"/>
              </w:rPr>
              <w:t>3.524169</w:t>
            </w:r>
          </w:p>
        </w:tc>
        <w:tc>
          <w:tcPr>
            <w:tcW w:w="723" w:type="dxa"/>
          </w:tcPr>
          <w:p w14:paraId="6B1BEF34" w14:textId="77777777" w:rsidR="005D1AC1" w:rsidRDefault="00000000">
            <w:pPr>
              <w:pStyle w:val="TableParagraph"/>
              <w:spacing w:before="5"/>
              <w:ind w:left="3" w:right="3"/>
              <w:jc w:val="center"/>
              <w:rPr>
                <w:sz w:val="16"/>
              </w:rPr>
            </w:pPr>
            <w:r>
              <w:rPr>
                <w:spacing w:val="-2"/>
                <w:sz w:val="16"/>
              </w:rPr>
              <w:t>1.399363</w:t>
            </w:r>
          </w:p>
        </w:tc>
        <w:tc>
          <w:tcPr>
            <w:tcW w:w="743" w:type="dxa"/>
          </w:tcPr>
          <w:p w14:paraId="29B48A8A" w14:textId="77777777" w:rsidR="005D1AC1" w:rsidRDefault="00000000">
            <w:pPr>
              <w:pStyle w:val="TableParagraph"/>
              <w:spacing w:before="5"/>
              <w:ind w:left="3"/>
              <w:jc w:val="center"/>
              <w:rPr>
                <w:sz w:val="16"/>
              </w:rPr>
            </w:pPr>
            <w:r>
              <w:rPr>
                <w:spacing w:val="-2"/>
                <w:sz w:val="16"/>
              </w:rPr>
              <w:t>2.518409</w:t>
            </w:r>
          </w:p>
        </w:tc>
        <w:tc>
          <w:tcPr>
            <w:tcW w:w="529" w:type="dxa"/>
          </w:tcPr>
          <w:p w14:paraId="0E33924C" w14:textId="77777777" w:rsidR="005D1AC1" w:rsidRDefault="00000000">
            <w:pPr>
              <w:pStyle w:val="TableParagraph"/>
              <w:spacing w:before="5"/>
              <w:ind w:left="6" w:right="1"/>
              <w:jc w:val="center"/>
              <w:rPr>
                <w:sz w:val="16"/>
              </w:rPr>
            </w:pPr>
            <w:r>
              <w:rPr>
                <w:spacing w:val="-2"/>
                <w:sz w:val="16"/>
              </w:rPr>
              <w:t>0.0129</w:t>
            </w:r>
          </w:p>
        </w:tc>
      </w:tr>
      <w:tr w:rsidR="005D1AC1" w14:paraId="32685980" w14:textId="77777777">
        <w:trPr>
          <w:trHeight w:val="202"/>
        </w:trPr>
        <w:tc>
          <w:tcPr>
            <w:tcW w:w="1356" w:type="dxa"/>
          </w:tcPr>
          <w:p w14:paraId="2FBE20EE" w14:textId="77777777" w:rsidR="005D1AC1" w:rsidRDefault="00000000">
            <w:pPr>
              <w:pStyle w:val="TableParagraph"/>
              <w:spacing w:before="5" w:line="177" w:lineRule="exact"/>
              <w:ind w:left="4" w:right="6"/>
              <w:jc w:val="center"/>
              <w:rPr>
                <w:sz w:val="16"/>
              </w:rPr>
            </w:pPr>
            <w:r>
              <w:rPr>
                <w:spacing w:val="-5"/>
                <w:sz w:val="16"/>
              </w:rPr>
              <w:t>ROA</w:t>
            </w:r>
          </w:p>
        </w:tc>
        <w:tc>
          <w:tcPr>
            <w:tcW w:w="808" w:type="dxa"/>
          </w:tcPr>
          <w:p w14:paraId="2C021577" w14:textId="77777777" w:rsidR="005D1AC1" w:rsidRDefault="00000000">
            <w:pPr>
              <w:pStyle w:val="TableParagraph"/>
              <w:spacing w:before="5" w:line="177" w:lineRule="exact"/>
              <w:ind w:left="103"/>
              <w:rPr>
                <w:sz w:val="16"/>
              </w:rPr>
            </w:pPr>
            <w:r>
              <w:rPr>
                <w:spacing w:val="-2"/>
                <w:sz w:val="16"/>
              </w:rPr>
              <w:t>21.92533</w:t>
            </w:r>
          </w:p>
        </w:tc>
        <w:tc>
          <w:tcPr>
            <w:tcW w:w="723" w:type="dxa"/>
          </w:tcPr>
          <w:p w14:paraId="66FE4940" w14:textId="77777777" w:rsidR="005D1AC1" w:rsidRDefault="00000000">
            <w:pPr>
              <w:pStyle w:val="TableParagraph"/>
              <w:spacing w:before="5" w:line="177" w:lineRule="exact"/>
              <w:ind w:left="3" w:right="3"/>
              <w:jc w:val="center"/>
              <w:rPr>
                <w:sz w:val="16"/>
              </w:rPr>
            </w:pPr>
            <w:r>
              <w:rPr>
                <w:spacing w:val="-2"/>
                <w:sz w:val="16"/>
              </w:rPr>
              <w:t>2.881649</w:t>
            </w:r>
          </w:p>
        </w:tc>
        <w:tc>
          <w:tcPr>
            <w:tcW w:w="743" w:type="dxa"/>
          </w:tcPr>
          <w:p w14:paraId="444CFFFB" w14:textId="77777777" w:rsidR="005D1AC1" w:rsidRDefault="00000000">
            <w:pPr>
              <w:pStyle w:val="TableParagraph"/>
              <w:spacing w:before="5" w:line="177" w:lineRule="exact"/>
              <w:ind w:left="3"/>
              <w:jc w:val="center"/>
              <w:rPr>
                <w:sz w:val="16"/>
              </w:rPr>
            </w:pPr>
            <w:r>
              <w:rPr>
                <w:spacing w:val="-2"/>
                <w:sz w:val="16"/>
              </w:rPr>
              <w:t>7.608607</w:t>
            </w:r>
          </w:p>
        </w:tc>
        <w:tc>
          <w:tcPr>
            <w:tcW w:w="529" w:type="dxa"/>
          </w:tcPr>
          <w:p w14:paraId="590510F5" w14:textId="77777777" w:rsidR="005D1AC1" w:rsidRDefault="00000000">
            <w:pPr>
              <w:pStyle w:val="TableParagraph"/>
              <w:spacing w:before="5" w:line="177" w:lineRule="exact"/>
              <w:ind w:left="6" w:right="1"/>
              <w:jc w:val="center"/>
              <w:rPr>
                <w:sz w:val="16"/>
              </w:rPr>
            </w:pPr>
            <w:r>
              <w:rPr>
                <w:spacing w:val="-2"/>
                <w:sz w:val="16"/>
              </w:rPr>
              <w:t>0.0000</w:t>
            </w:r>
          </w:p>
        </w:tc>
      </w:tr>
      <w:tr w:rsidR="005D1AC1" w14:paraId="38FA6E34" w14:textId="77777777">
        <w:trPr>
          <w:trHeight w:val="208"/>
        </w:trPr>
        <w:tc>
          <w:tcPr>
            <w:tcW w:w="1356" w:type="dxa"/>
            <w:tcBorders>
              <w:bottom w:val="single" w:sz="4" w:space="0" w:color="000000"/>
            </w:tcBorders>
          </w:tcPr>
          <w:p w14:paraId="683E5CD0" w14:textId="77777777" w:rsidR="005D1AC1" w:rsidRDefault="00000000">
            <w:pPr>
              <w:pStyle w:val="TableParagraph"/>
              <w:spacing w:before="7" w:line="182" w:lineRule="exact"/>
              <w:ind w:left="1" w:right="6"/>
              <w:jc w:val="center"/>
              <w:rPr>
                <w:sz w:val="16"/>
              </w:rPr>
            </w:pPr>
            <w:r>
              <w:rPr>
                <w:spacing w:val="-5"/>
                <w:sz w:val="16"/>
              </w:rPr>
              <w:t>UK</w:t>
            </w:r>
          </w:p>
        </w:tc>
        <w:tc>
          <w:tcPr>
            <w:tcW w:w="808" w:type="dxa"/>
            <w:tcBorders>
              <w:bottom w:val="single" w:sz="4" w:space="0" w:color="000000"/>
            </w:tcBorders>
          </w:tcPr>
          <w:p w14:paraId="3B7B852F" w14:textId="77777777" w:rsidR="005D1AC1" w:rsidRDefault="00000000">
            <w:pPr>
              <w:pStyle w:val="TableParagraph"/>
              <w:spacing w:before="7" w:line="182" w:lineRule="exact"/>
              <w:ind w:left="103"/>
              <w:rPr>
                <w:sz w:val="16"/>
              </w:rPr>
            </w:pPr>
            <w:r>
              <w:rPr>
                <w:spacing w:val="-2"/>
                <w:sz w:val="16"/>
              </w:rPr>
              <w:t>0.243799</w:t>
            </w:r>
          </w:p>
        </w:tc>
        <w:tc>
          <w:tcPr>
            <w:tcW w:w="723" w:type="dxa"/>
            <w:tcBorders>
              <w:bottom w:val="single" w:sz="4" w:space="0" w:color="000000"/>
            </w:tcBorders>
          </w:tcPr>
          <w:p w14:paraId="0CB12BF4" w14:textId="77777777" w:rsidR="005D1AC1" w:rsidRDefault="00000000">
            <w:pPr>
              <w:pStyle w:val="TableParagraph"/>
              <w:spacing w:before="7" w:line="182" w:lineRule="exact"/>
              <w:ind w:left="3" w:right="3"/>
              <w:jc w:val="center"/>
              <w:rPr>
                <w:sz w:val="16"/>
              </w:rPr>
            </w:pPr>
            <w:r>
              <w:rPr>
                <w:spacing w:val="-2"/>
                <w:sz w:val="16"/>
              </w:rPr>
              <w:t>0.157744</w:t>
            </w:r>
          </w:p>
        </w:tc>
        <w:tc>
          <w:tcPr>
            <w:tcW w:w="743" w:type="dxa"/>
            <w:tcBorders>
              <w:bottom w:val="single" w:sz="4" w:space="0" w:color="000000"/>
            </w:tcBorders>
          </w:tcPr>
          <w:p w14:paraId="03EFD4E2" w14:textId="77777777" w:rsidR="005D1AC1" w:rsidRDefault="00000000">
            <w:pPr>
              <w:pStyle w:val="TableParagraph"/>
              <w:spacing w:before="7" w:line="182" w:lineRule="exact"/>
              <w:ind w:left="3"/>
              <w:jc w:val="center"/>
              <w:rPr>
                <w:sz w:val="16"/>
              </w:rPr>
            </w:pPr>
            <w:r>
              <w:rPr>
                <w:spacing w:val="-2"/>
                <w:sz w:val="16"/>
              </w:rPr>
              <w:t>1.545537</w:t>
            </w:r>
          </w:p>
        </w:tc>
        <w:tc>
          <w:tcPr>
            <w:tcW w:w="529" w:type="dxa"/>
            <w:tcBorders>
              <w:bottom w:val="single" w:sz="4" w:space="0" w:color="000000"/>
            </w:tcBorders>
          </w:tcPr>
          <w:p w14:paraId="22C6A025" w14:textId="77777777" w:rsidR="005D1AC1" w:rsidRDefault="00000000">
            <w:pPr>
              <w:pStyle w:val="TableParagraph"/>
              <w:spacing w:before="7" w:line="182" w:lineRule="exact"/>
              <w:ind w:left="6" w:right="1"/>
              <w:jc w:val="center"/>
              <w:rPr>
                <w:sz w:val="16"/>
              </w:rPr>
            </w:pPr>
            <w:r>
              <w:rPr>
                <w:spacing w:val="-2"/>
                <w:sz w:val="16"/>
              </w:rPr>
              <w:t>0.1244</w:t>
            </w:r>
          </w:p>
        </w:tc>
      </w:tr>
      <w:tr w:rsidR="005D1AC1" w14:paraId="5551ACE8" w14:textId="77777777">
        <w:trPr>
          <w:trHeight w:val="195"/>
        </w:trPr>
        <w:tc>
          <w:tcPr>
            <w:tcW w:w="1356" w:type="dxa"/>
            <w:tcBorders>
              <w:top w:val="single" w:sz="4" w:space="0" w:color="000000"/>
            </w:tcBorders>
          </w:tcPr>
          <w:p w14:paraId="7A6294A8" w14:textId="77777777" w:rsidR="005D1AC1" w:rsidRDefault="00000000">
            <w:pPr>
              <w:pStyle w:val="TableParagraph"/>
              <w:spacing w:line="175" w:lineRule="exact"/>
              <w:ind w:left="2" w:right="6"/>
              <w:jc w:val="center"/>
              <w:rPr>
                <w:sz w:val="16"/>
              </w:rPr>
            </w:pPr>
            <w:r>
              <w:rPr>
                <w:spacing w:val="-2"/>
                <w:sz w:val="16"/>
              </w:rPr>
              <w:t>R-squared</w:t>
            </w:r>
          </w:p>
        </w:tc>
        <w:tc>
          <w:tcPr>
            <w:tcW w:w="808" w:type="dxa"/>
            <w:tcBorders>
              <w:top w:val="single" w:sz="4" w:space="0" w:color="000000"/>
            </w:tcBorders>
          </w:tcPr>
          <w:p w14:paraId="32EDF415" w14:textId="77777777" w:rsidR="005D1AC1" w:rsidRDefault="00000000">
            <w:pPr>
              <w:pStyle w:val="TableParagraph"/>
              <w:spacing w:line="175" w:lineRule="exact"/>
              <w:ind w:left="103"/>
              <w:rPr>
                <w:sz w:val="16"/>
              </w:rPr>
            </w:pPr>
            <w:r>
              <w:rPr>
                <w:spacing w:val="-2"/>
                <w:sz w:val="16"/>
              </w:rPr>
              <w:t>0.334313</w:t>
            </w:r>
          </w:p>
        </w:tc>
        <w:tc>
          <w:tcPr>
            <w:tcW w:w="723" w:type="dxa"/>
            <w:tcBorders>
              <w:top w:val="single" w:sz="4" w:space="0" w:color="000000"/>
            </w:tcBorders>
          </w:tcPr>
          <w:p w14:paraId="6DB997A0" w14:textId="77777777" w:rsidR="005D1AC1" w:rsidRDefault="005D1AC1">
            <w:pPr>
              <w:pStyle w:val="TableParagraph"/>
              <w:spacing w:line="240" w:lineRule="auto"/>
              <w:rPr>
                <w:sz w:val="12"/>
              </w:rPr>
            </w:pPr>
          </w:p>
        </w:tc>
        <w:tc>
          <w:tcPr>
            <w:tcW w:w="743" w:type="dxa"/>
            <w:tcBorders>
              <w:top w:val="single" w:sz="4" w:space="0" w:color="000000"/>
            </w:tcBorders>
          </w:tcPr>
          <w:p w14:paraId="03FAD8B4" w14:textId="77777777" w:rsidR="005D1AC1" w:rsidRDefault="005D1AC1">
            <w:pPr>
              <w:pStyle w:val="TableParagraph"/>
              <w:spacing w:line="240" w:lineRule="auto"/>
              <w:rPr>
                <w:sz w:val="12"/>
              </w:rPr>
            </w:pPr>
          </w:p>
        </w:tc>
        <w:tc>
          <w:tcPr>
            <w:tcW w:w="529" w:type="dxa"/>
            <w:tcBorders>
              <w:top w:val="single" w:sz="4" w:space="0" w:color="000000"/>
            </w:tcBorders>
          </w:tcPr>
          <w:p w14:paraId="4958235E" w14:textId="77777777" w:rsidR="005D1AC1" w:rsidRDefault="005D1AC1">
            <w:pPr>
              <w:pStyle w:val="TableParagraph"/>
              <w:spacing w:line="240" w:lineRule="auto"/>
              <w:rPr>
                <w:sz w:val="12"/>
              </w:rPr>
            </w:pPr>
          </w:p>
        </w:tc>
      </w:tr>
      <w:tr w:rsidR="005D1AC1" w14:paraId="31523328" w14:textId="77777777">
        <w:trPr>
          <w:trHeight w:val="203"/>
        </w:trPr>
        <w:tc>
          <w:tcPr>
            <w:tcW w:w="1356" w:type="dxa"/>
          </w:tcPr>
          <w:p w14:paraId="39631F5E" w14:textId="77777777" w:rsidR="005D1AC1" w:rsidRDefault="00000000">
            <w:pPr>
              <w:pStyle w:val="TableParagraph"/>
              <w:spacing w:before="6" w:line="177" w:lineRule="exact"/>
              <w:ind w:left="5" w:right="6"/>
              <w:jc w:val="center"/>
              <w:rPr>
                <w:sz w:val="16"/>
              </w:rPr>
            </w:pPr>
            <w:r>
              <w:rPr>
                <w:sz w:val="16"/>
              </w:rPr>
              <w:t>Adjusted</w:t>
            </w:r>
            <w:r>
              <w:rPr>
                <w:spacing w:val="-8"/>
                <w:sz w:val="16"/>
              </w:rPr>
              <w:t xml:space="preserve"> </w:t>
            </w:r>
            <w:r>
              <w:rPr>
                <w:sz w:val="16"/>
              </w:rPr>
              <w:t>R-</w:t>
            </w:r>
            <w:r>
              <w:rPr>
                <w:spacing w:val="-2"/>
                <w:sz w:val="16"/>
              </w:rPr>
              <w:t>squared</w:t>
            </w:r>
          </w:p>
        </w:tc>
        <w:tc>
          <w:tcPr>
            <w:tcW w:w="808" w:type="dxa"/>
          </w:tcPr>
          <w:p w14:paraId="2AB71FE2" w14:textId="77777777" w:rsidR="005D1AC1" w:rsidRDefault="00000000">
            <w:pPr>
              <w:pStyle w:val="TableParagraph"/>
              <w:spacing w:before="6" w:line="177" w:lineRule="exact"/>
              <w:ind w:left="103"/>
              <w:rPr>
                <w:sz w:val="16"/>
              </w:rPr>
            </w:pPr>
            <w:r>
              <w:rPr>
                <w:spacing w:val="-2"/>
                <w:sz w:val="16"/>
              </w:rPr>
              <w:t>0.311199</w:t>
            </w:r>
          </w:p>
        </w:tc>
        <w:tc>
          <w:tcPr>
            <w:tcW w:w="723" w:type="dxa"/>
          </w:tcPr>
          <w:p w14:paraId="4E4EE68F" w14:textId="77777777" w:rsidR="005D1AC1" w:rsidRDefault="005D1AC1">
            <w:pPr>
              <w:pStyle w:val="TableParagraph"/>
              <w:spacing w:line="240" w:lineRule="auto"/>
              <w:rPr>
                <w:sz w:val="14"/>
              </w:rPr>
            </w:pPr>
          </w:p>
        </w:tc>
        <w:tc>
          <w:tcPr>
            <w:tcW w:w="743" w:type="dxa"/>
          </w:tcPr>
          <w:p w14:paraId="43EFE466" w14:textId="77777777" w:rsidR="005D1AC1" w:rsidRDefault="005D1AC1">
            <w:pPr>
              <w:pStyle w:val="TableParagraph"/>
              <w:spacing w:line="240" w:lineRule="auto"/>
              <w:rPr>
                <w:sz w:val="14"/>
              </w:rPr>
            </w:pPr>
          </w:p>
        </w:tc>
        <w:tc>
          <w:tcPr>
            <w:tcW w:w="529" w:type="dxa"/>
          </w:tcPr>
          <w:p w14:paraId="6519FED6" w14:textId="77777777" w:rsidR="005D1AC1" w:rsidRDefault="005D1AC1">
            <w:pPr>
              <w:pStyle w:val="TableParagraph"/>
              <w:spacing w:line="240" w:lineRule="auto"/>
              <w:rPr>
                <w:sz w:val="14"/>
              </w:rPr>
            </w:pPr>
          </w:p>
        </w:tc>
      </w:tr>
      <w:tr w:rsidR="005D1AC1" w14:paraId="5C3FB31D" w14:textId="77777777">
        <w:trPr>
          <w:trHeight w:val="202"/>
        </w:trPr>
        <w:tc>
          <w:tcPr>
            <w:tcW w:w="1356" w:type="dxa"/>
          </w:tcPr>
          <w:p w14:paraId="39815016" w14:textId="77777777" w:rsidR="005D1AC1" w:rsidRDefault="00000000">
            <w:pPr>
              <w:pStyle w:val="TableParagraph"/>
              <w:spacing w:before="7"/>
              <w:ind w:left="5" w:right="6"/>
              <w:jc w:val="center"/>
              <w:rPr>
                <w:sz w:val="16"/>
              </w:rPr>
            </w:pPr>
            <w:r>
              <w:rPr>
                <w:spacing w:val="-2"/>
                <w:sz w:val="16"/>
              </w:rPr>
              <w:t>F-statistic</w:t>
            </w:r>
          </w:p>
        </w:tc>
        <w:tc>
          <w:tcPr>
            <w:tcW w:w="808" w:type="dxa"/>
          </w:tcPr>
          <w:p w14:paraId="30EA2B91" w14:textId="77777777" w:rsidR="005D1AC1" w:rsidRDefault="00000000">
            <w:pPr>
              <w:pStyle w:val="TableParagraph"/>
              <w:spacing w:before="7"/>
              <w:ind w:left="103"/>
              <w:rPr>
                <w:sz w:val="16"/>
              </w:rPr>
            </w:pPr>
            <w:r>
              <w:rPr>
                <w:spacing w:val="-2"/>
                <w:sz w:val="16"/>
              </w:rPr>
              <w:t>14.46358</w:t>
            </w:r>
          </w:p>
        </w:tc>
        <w:tc>
          <w:tcPr>
            <w:tcW w:w="723" w:type="dxa"/>
          </w:tcPr>
          <w:p w14:paraId="22962FC5" w14:textId="77777777" w:rsidR="005D1AC1" w:rsidRDefault="005D1AC1">
            <w:pPr>
              <w:pStyle w:val="TableParagraph"/>
              <w:spacing w:line="240" w:lineRule="auto"/>
              <w:rPr>
                <w:sz w:val="14"/>
              </w:rPr>
            </w:pPr>
          </w:p>
        </w:tc>
        <w:tc>
          <w:tcPr>
            <w:tcW w:w="743" w:type="dxa"/>
          </w:tcPr>
          <w:p w14:paraId="76B36717" w14:textId="77777777" w:rsidR="005D1AC1" w:rsidRDefault="005D1AC1">
            <w:pPr>
              <w:pStyle w:val="TableParagraph"/>
              <w:spacing w:line="240" w:lineRule="auto"/>
              <w:rPr>
                <w:sz w:val="14"/>
              </w:rPr>
            </w:pPr>
          </w:p>
        </w:tc>
        <w:tc>
          <w:tcPr>
            <w:tcW w:w="529" w:type="dxa"/>
          </w:tcPr>
          <w:p w14:paraId="5B86C4FB" w14:textId="77777777" w:rsidR="005D1AC1" w:rsidRDefault="005D1AC1">
            <w:pPr>
              <w:pStyle w:val="TableParagraph"/>
              <w:spacing w:line="240" w:lineRule="auto"/>
              <w:rPr>
                <w:sz w:val="14"/>
              </w:rPr>
            </w:pPr>
          </w:p>
        </w:tc>
      </w:tr>
      <w:tr w:rsidR="005D1AC1" w14:paraId="7B50F6CD" w14:textId="77777777">
        <w:trPr>
          <w:trHeight w:val="189"/>
        </w:trPr>
        <w:tc>
          <w:tcPr>
            <w:tcW w:w="1356" w:type="dxa"/>
          </w:tcPr>
          <w:p w14:paraId="12C748E3" w14:textId="77777777" w:rsidR="005D1AC1" w:rsidRDefault="00000000">
            <w:pPr>
              <w:pStyle w:val="TableParagraph"/>
              <w:tabs>
                <w:tab w:val="left" w:pos="1459"/>
              </w:tabs>
              <w:spacing w:before="5" w:line="164" w:lineRule="exact"/>
              <w:ind w:left="-15" w:right="-116"/>
              <w:jc w:val="center"/>
              <w:rPr>
                <w:sz w:val="16"/>
              </w:rPr>
            </w:pPr>
            <w:r>
              <w:rPr>
                <w:spacing w:val="30"/>
                <w:sz w:val="16"/>
                <w:u w:val="single"/>
              </w:rPr>
              <w:t xml:space="preserve">  </w:t>
            </w:r>
            <w:r>
              <w:rPr>
                <w:sz w:val="16"/>
                <w:u w:val="single"/>
              </w:rPr>
              <w:t>Prob</w:t>
            </w:r>
            <w:r>
              <w:rPr>
                <w:spacing w:val="1"/>
                <w:sz w:val="16"/>
                <w:u w:val="single"/>
              </w:rPr>
              <w:t xml:space="preserve"> </w:t>
            </w:r>
            <w:r>
              <w:rPr>
                <w:sz w:val="16"/>
                <w:u w:val="single"/>
              </w:rPr>
              <w:t>(F-</w:t>
            </w:r>
            <w:r>
              <w:rPr>
                <w:spacing w:val="-2"/>
                <w:sz w:val="16"/>
                <w:u w:val="single"/>
              </w:rPr>
              <w:t>statistic)</w:t>
            </w:r>
            <w:r>
              <w:rPr>
                <w:sz w:val="16"/>
                <w:u w:val="single"/>
              </w:rPr>
              <w:tab/>
            </w:r>
          </w:p>
        </w:tc>
        <w:tc>
          <w:tcPr>
            <w:tcW w:w="808" w:type="dxa"/>
          </w:tcPr>
          <w:p w14:paraId="0243EEC8" w14:textId="77777777" w:rsidR="005D1AC1" w:rsidRDefault="00000000">
            <w:pPr>
              <w:pStyle w:val="TableParagraph"/>
              <w:tabs>
                <w:tab w:val="left" w:pos="2806"/>
              </w:tabs>
              <w:spacing w:before="5" w:line="164" w:lineRule="exact"/>
              <w:ind w:left="103" w:right="-2002"/>
              <w:rPr>
                <w:sz w:val="16"/>
              </w:rPr>
            </w:pPr>
            <w:r>
              <w:rPr>
                <w:spacing w:val="-2"/>
                <w:sz w:val="16"/>
                <w:u w:val="single"/>
              </w:rPr>
              <w:t>0.000000</w:t>
            </w:r>
            <w:r>
              <w:rPr>
                <w:sz w:val="16"/>
                <w:u w:val="single"/>
              </w:rPr>
              <w:tab/>
            </w:r>
          </w:p>
        </w:tc>
        <w:tc>
          <w:tcPr>
            <w:tcW w:w="723" w:type="dxa"/>
          </w:tcPr>
          <w:p w14:paraId="032C189F" w14:textId="77777777" w:rsidR="005D1AC1" w:rsidRDefault="005D1AC1">
            <w:pPr>
              <w:pStyle w:val="TableParagraph"/>
              <w:spacing w:line="240" w:lineRule="auto"/>
              <w:rPr>
                <w:sz w:val="12"/>
              </w:rPr>
            </w:pPr>
          </w:p>
        </w:tc>
        <w:tc>
          <w:tcPr>
            <w:tcW w:w="743" w:type="dxa"/>
          </w:tcPr>
          <w:p w14:paraId="4DB93473" w14:textId="77777777" w:rsidR="005D1AC1" w:rsidRDefault="005D1AC1">
            <w:pPr>
              <w:pStyle w:val="TableParagraph"/>
              <w:spacing w:line="240" w:lineRule="auto"/>
              <w:rPr>
                <w:sz w:val="12"/>
              </w:rPr>
            </w:pPr>
          </w:p>
        </w:tc>
        <w:tc>
          <w:tcPr>
            <w:tcW w:w="529" w:type="dxa"/>
          </w:tcPr>
          <w:p w14:paraId="551E0274" w14:textId="77777777" w:rsidR="005D1AC1" w:rsidRDefault="005D1AC1">
            <w:pPr>
              <w:pStyle w:val="TableParagraph"/>
              <w:spacing w:line="240" w:lineRule="auto"/>
              <w:rPr>
                <w:sz w:val="12"/>
              </w:rPr>
            </w:pPr>
          </w:p>
        </w:tc>
      </w:tr>
    </w:tbl>
    <w:p w14:paraId="6C190E6E" w14:textId="77777777" w:rsidR="005D1AC1" w:rsidRDefault="00000000">
      <w:pPr>
        <w:spacing w:before="53"/>
        <w:ind w:left="491"/>
        <w:rPr>
          <w:sz w:val="16"/>
        </w:rPr>
      </w:pPr>
      <w:r>
        <w:rPr>
          <w:sz w:val="16"/>
        </w:rPr>
        <w:t>Source:</w:t>
      </w:r>
      <w:r>
        <w:rPr>
          <w:spacing w:val="-6"/>
          <w:sz w:val="16"/>
        </w:rPr>
        <w:t xml:space="preserve"> </w:t>
      </w:r>
      <w:r>
        <w:rPr>
          <w:sz w:val="16"/>
        </w:rPr>
        <w:t>Data</w:t>
      </w:r>
      <w:r>
        <w:rPr>
          <w:spacing w:val="-6"/>
          <w:sz w:val="16"/>
        </w:rPr>
        <w:t xml:space="preserve"> </w:t>
      </w:r>
      <w:r>
        <w:rPr>
          <w:sz w:val="16"/>
        </w:rPr>
        <w:t>processed</w:t>
      </w:r>
      <w:r>
        <w:rPr>
          <w:spacing w:val="-5"/>
          <w:sz w:val="16"/>
        </w:rPr>
        <w:t xml:space="preserve"> </w:t>
      </w:r>
      <w:r>
        <w:rPr>
          <w:sz w:val="16"/>
        </w:rPr>
        <w:t>using</w:t>
      </w:r>
      <w:r>
        <w:rPr>
          <w:spacing w:val="-6"/>
          <w:sz w:val="16"/>
        </w:rPr>
        <w:t xml:space="preserve"> </w:t>
      </w:r>
      <w:r>
        <w:rPr>
          <w:sz w:val="16"/>
        </w:rPr>
        <w:t>Eviews</w:t>
      </w:r>
      <w:r>
        <w:rPr>
          <w:spacing w:val="-8"/>
          <w:sz w:val="16"/>
        </w:rPr>
        <w:t xml:space="preserve"> </w:t>
      </w:r>
      <w:r>
        <w:rPr>
          <w:spacing w:val="-5"/>
          <w:sz w:val="16"/>
        </w:rPr>
        <w:t>10.</w:t>
      </w:r>
    </w:p>
    <w:p w14:paraId="184B8AD3" w14:textId="77777777" w:rsidR="005D1AC1" w:rsidRDefault="005D1AC1">
      <w:pPr>
        <w:pStyle w:val="BodyText"/>
        <w:spacing w:before="68"/>
        <w:jc w:val="left"/>
        <w:rPr>
          <w:sz w:val="16"/>
        </w:rPr>
      </w:pPr>
    </w:p>
    <w:p w14:paraId="251973AE" w14:textId="77777777" w:rsidR="005D1AC1" w:rsidRDefault="00000000">
      <w:pPr>
        <w:pStyle w:val="BodyText"/>
        <w:spacing w:line="249" w:lineRule="auto"/>
        <w:ind w:left="208" w:right="226" w:firstLine="202"/>
      </w:pPr>
      <w:r>
        <w:t xml:space="preserve">The following is the panel data regression model in this </w:t>
      </w:r>
      <w:r>
        <w:rPr>
          <w:spacing w:val="-2"/>
        </w:rPr>
        <w:t>study:</w:t>
      </w:r>
    </w:p>
    <w:p w14:paraId="5C77A86F" w14:textId="77777777" w:rsidR="005D1AC1" w:rsidRDefault="005D1AC1">
      <w:pPr>
        <w:pStyle w:val="BodyText"/>
        <w:spacing w:before="16"/>
        <w:jc w:val="left"/>
      </w:pPr>
    </w:p>
    <w:p w14:paraId="75859C70" w14:textId="77777777" w:rsidR="005D1AC1" w:rsidRDefault="00000000">
      <w:pPr>
        <w:pStyle w:val="BodyText"/>
        <w:spacing w:line="249" w:lineRule="auto"/>
        <w:ind w:left="369" w:firstLine="81"/>
        <w:jc w:val="left"/>
      </w:pPr>
      <w:r>
        <w:t>PBVit</w:t>
      </w:r>
      <w:r>
        <w:rPr>
          <w:spacing w:val="-7"/>
        </w:rPr>
        <w:t xml:space="preserve"> </w:t>
      </w:r>
      <w:r>
        <w:t>=</w:t>
      </w:r>
      <w:r>
        <w:rPr>
          <w:spacing w:val="-5"/>
        </w:rPr>
        <w:t xml:space="preserve"> </w:t>
      </w:r>
      <w:r>
        <w:t>-7.810639</w:t>
      </w:r>
      <w:r>
        <w:rPr>
          <w:spacing w:val="-5"/>
        </w:rPr>
        <w:t xml:space="preserve"> </w:t>
      </w:r>
      <w:r>
        <w:t>+</w:t>
      </w:r>
      <w:r>
        <w:rPr>
          <w:spacing w:val="-6"/>
        </w:rPr>
        <w:t xml:space="preserve"> </w:t>
      </w:r>
      <w:r>
        <w:t>0.239969DPRit</w:t>
      </w:r>
      <w:r>
        <w:rPr>
          <w:spacing w:val="-3"/>
        </w:rPr>
        <w:t xml:space="preserve"> </w:t>
      </w:r>
      <w:r>
        <w:t>-</w:t>
      </w:r>
      <w:r>
        <w:rPr>
          <w:spacing w:val="-5"/>
        </w:rPr>
        <w:t xml:space="preserve"> </w:t>
      </w:r>
      <w:r>
        <w:t>0.799194TAGit</w:t>
      </w:r>
      <w:r>
        <w:rPr>
          <w:spacing w:val="-6"/>
        </w:rPr>
        <w:t xml:space="preserve"> </w:t>
      </w:r>
      <w:r>
        <w:t>+ 3.524169LEVit + 21.92533ROAit + 0.243799UKit + Eit</w:t>
      </w:r>
    </w:p>
    <w:p w14:paraId="21CF6708" w14:textId="77777777" w:rsidR="005D1AC1" w:rsidRDefault="005D1AC1">
      <w:pPr>
        <w:pStyle w:val="BodyText"/>
        <w:spacing w:before="14"/>
        <w:jc w:val="left"/>
      </w:pPr>
    </w:p>
    <w:p w14:paraId="2CB05894" w14:textId="77777777" w:rsidR="005D1AC1" w:rsidRDefault="00000000">
      <w:pPr>
        <w:pStyle w:val="BodyText"/>
        <w:spacing w:line="252" w:lineRule="auto"/>
        <w:ind w:left="208" w:right="222" w:firstLine="202"/>
      </w:pPr>
      <w:r>
        <w:t>Table II shows the results of the regression test, and the test is carried out by comparing the probability value with the</w:t>
      </w:r>
      <w:r>
        <w:rPr>
          <w:spacing w:val="-3"/>
        </w:rPr>
        <w:t xml:space="preserve"> </w:t>
      </w:r>
      <w:r>
        <w:t>error</w:t>
      </w:r>
      <w:r>
        <w:rPr>
          <w:spacing w:val="-5"/>
        </w:rPr>
        <w:t xml:space="preserve"> </w:t>
      </w:r>
      <w:r>
        <w:t>rate.</w:t>
      </w:r>
      <w:r>
        <w:rPr>
          <w:spacing w:val="-2"/>
        </w:rPr>
        <w:t xml:space="preserve"> </w:t>
      </w:r>
      <w:r>
        <w:t>In</w:t>
      </w:r>
      <w:r>
        <w:rPr>
          <w:spacing w:val="-2"/>
        </w:rPr>
        <w:t xml:space="preserve"> </w:t>
      </w:r>
      <w:r>
        <w:t>this</w:t>
      </w:r>
      <w:r>
        <w:rPr>
          <w:spacing w:val="-4"/>
        </w:rPr>
        <w:t xml:space="preserve"> </w:t>
      </w:r>
      <w:r>
        <w:t>study,</w:t>
      </w:r>
      <w:r>
        <w:rPr>
          <w:spacing w:val="-2"/>
        </w:rPr>
        <w:t xml:space="preserve"> </w:t>
      </w:r>
      <w:r>
        <w:t>the</w:t>
      </w:r>
      <w:r>
        <w:rPr>
          <w:spacing w:val="-3"/>
        </w:rPr>
        <w:t xml:space="preserve"> </w:t>
      </w:r>
      <w:r>
        <w:t>error</w:t>
      </w:r>
      <w:r>
        <w:rPr>
          <w:spacing w:val="-5"/>
        </w:rPr>
        <w:t xml:space="preserve"> </w:t>
      </w:r>
      <w:r>
        <w:t>rate</w:t>
      </w:r>
      <w:r>
        <w:rPr>
          <w:spacing w:val="-3"/>
        </w:rPr>
        <w:t xml:space="preserve"> </w:t>
      </w:r>
      <w:r>
        <w:t>was</w:t>
      </w:r>
      <w:r>
        <w:rPr>
          <w:spacing w:val="-4"/>
        </w:rPr>
        <w:t xml:space="preserve"> </w:t>
      </w:r>
      <w:r>
        <w:t>0.05</w:t>
      </w:r>
      <w:r>
        <w:rPr>
          <w:spacing w:val="-4"/>
        </w:rPr>
        <w:t xml:space="preserve"> </w:t>
      </w:r>
      <w:r>
        <w:t>(5%).</w:t>
      </w:r>
      <w:r>
        <w:rPr>
          <w:spacing w:val="-3"/>
        </w:rPr>
        <w:t xml:space="preserve"> </w:t>
      </w:r>
      <w:r>
        <w:t>The following is a discussion of the research results:</w:t>
      </w:r>
    </w:p>
    <w:p w14:paraId="0442E1DD" w14:textId="77777777" w:rsidR="005D1AC1" w:rsidRDefault="005D1AC1">
      <w:pPr>
        <w:pStyle w:val="BodyText"/>
        <w:spacing w:line="252" w:lineRule="auto"/>
        <w:sectPr w:rsidR="005D1AC1">
          <w:pgSz w:w="11910" w:h="16840"/>
          <w:pgMar w:top="900" w:right="708" w:bottom="680" w:left="850" w:header="14" w:footer="481" w:gutter="0"/>
          <w:cols w:num="2" w:space="720" w:equalWidth="0">
            <w:col w:w="4966" w:space="73"/>
            <w:col w:w="5313"/>
          </w:cols>
        </w:sectPr>
      </w:pPr>
    </w:p>
    <w:p w14:paraId="14DF8253" w14:textId="77777777" w:rsidR="005D1AC1" w:rsidRDefault="00000000">
      <w:pPr>
        <w:pStyle w:val="ListParagraph"/>
        <w:numPr>
          <w:ilvl w:val="0"/>
          <w:numId w:val="3"/>
        </w:numPr>
        <w:tabs>
          <w:tab w:val="left" w:pos="512"/>
        </w:tabs>
        <w:spacing w:before="102"/>
        <w:ind w:left="512" w:hanging="222"/>
        <w:jc w:val="both"/>
        <w:rPr>
          <w:i/>
          <w:sz w:val="20"/>
        </w:rPr>
      </w:pPr>
      <w:r>
        <w:rPr>
          <w:i/>
          <w:sz w:val="20"/>
        </w:rPr>
        <w:lastRenderedPageBreak/>
        <w:t>The</w:t>
      </w:r>
      <w:r>
        <w:rPr>
          <w:i/>
          <w:spacing w:val="-4"/>
          <w:sz w:val="20"/>
        </w:rPr>
        <w:t xml:space="preserve"> </w:t>
      </w:r>
      <w:r>
        <w:rPr>
          <w:i/>
          <w:sz w:val="20"/>
        </w:rPr>
        <w:t>Effect</w:t>
      </w:r>
      <w:r>
        <w:rPr>
          <w:i/>
          <w:spacing w:val="-3"/>
          <w:sz w:val="20"/>
        </w:rPr>
        <w:t xml:space="preserve"> </w:t>
      </w:r>
      <w:r>
        <w:rPr>
          <w:i/>
          <w:sz w:val="20"/>
        </w:rPr>
        <w:t>of</w:t>
      </w:r>
      <w:r>
        <w:rPr>
          <w:i/>
          <w:spacing w:val="-5"/>
          <w:sz w:val="20"/>
        </w:rPr>
        <w:t xml:space="preserve"> </w:t>
      </w:r>
      <w:r>
        <w:rPr>
          <w:i/>
          <w:sz w:val="20"/>
        </w:rPr>
        <w:t>Dividend</w:t>
      </w:r>
      <w:r>
        <w:rPr>
          <w:i/>
          <w:spacing w:val="-2"/>
          <w:sz w:val="20"/>
        </w:rPr>
        <w:t xml:space="preserve"> </w:t>
      </w:r>
      <w:r>
        <w:rPr>
          <w:i/>
          <w:sz w:val="20"/>
        </w:rPr>
        <w:t>Policy</w:t>
      </w:r>
      <w:r>
        <w:rPr>
          <w:i/>
          <w:spacing w:val="-5"/>
          <w:sz w:val="20"/>
        </w:rPr>
        <w:t xml:space="preserve"> </w:t>
      </w:r>
      <w:r>
        <w:rPr>
          <w:i/>
          <w:sz w:val="20"/>
        </w:rPr>
        <w:t>on</w:t>
      </w:r>
      <w:r>
        <w:rPr>
          <w:i/>
          <w:spacing w:val="-3"/>
          <w:sz w:val="20"/>
        </w:rPr>
        <w:t xml:space="preserve"> </w:t>
      </w:r>
      <w:r>
        <w:rPr>
          <w:i/>
          <w:sz w:val="20"/>
        </w:rPr>
        <w:t>Firm</w:t>
      </w:r>
      <w:r>
        <w:rPr>
          <w:i/>
          <w:spacing w:val="-3"/>
          <w:sz w:val="20"/>
        </w:rPr>
        <w:t xml:space="preserve"> </w:t>
      </w:r>
      <w:r>
        <w:rPr>
          <w:i/>
          <w:spacing w:val="-2"/>
          <w:sz w:val="20"/>
        </w:rPr>
        <w:t>Value</w:t>
      </w:r>
    </w:p>
    <w:p w14:paraId="5D9775FA" w14:textId="77777777" w:rsidR="005D1AC1" w:rsidRDefault="00000000">
      <w:pPr>
        <w:pStyle w:val="BodyText"/>
        <w:spacing w:before="61" w:line="252" w:lineRule="auto"/>
        <w:ind w:left="85" w:right="41" w:firstLine="201"/>
      </w:pPr>
      <w:r>
        <w:t>In this study, the first hypothesis is that dividend policy can affect positively on company value. Based on the test results between the dividend policy variable and company value, the coefficient value is 0.239969 with a probability value of 0.5767 &gt; 0.05, meaning that dividend policy does not affect firm value.</w:t>
      </w:r>
    </w:p>
    <w:p w14:paraId="1695F122" w14:textId="77777777" w:rsidR="005D1AC1" w:rsidRDefault="00000000">
      <w:pPr>
        <w:pStyle w:val="BodyText"/>
        <w:spacing w:before="1" w:line="252" w:lineRule="auto"/>
        <w:ind w:left="85" w:right="42" w:firstLine="201"/>
      </w:pPr>
      <w:r>
        <w:t xml:space="preserve">This result is in accordance with the research (Alvita &amp; Khairunnisa, 2019) and (Resti </w:t>
      </w:r>
      <w:r>
        <w:rPr>
          <w:i/>
        </w:rPr>
        <w:t>et al</w:t>
      </w:r>
      <w:r>
        <w:t>., 2019) who found that dividend policy does not affect firm value. The results of</w:t>
      </w:r>
      <w:r>
        <w:rPr>
          <w:spacing w:val="40"/>
        </w:rPr>
        <w:t xml:space="preserve"> </w:t>
      </w:r>
      <w:r>
        <w:t>this study indicate that the distribution of dividends is not</w:t>
      </w:r>
      <w:r>
        <w:rPr>
          <w:spacing w:val="40"/>
        </w:rPr>
        <w:t xml:space="preserve"> </w:t>
      </w:r>
      <w:r>
        <w:t xml:space="preserve">the main purpose of investors in buying shares. High dividend payouts do not always reflect good company value (Resti </w:t>
      </w:r>
      <w:r>
        <w:rPr>
          <w:i/>
        </w:rPr>
        <w:t>et al</w:t>
      </w:r>
      <w:r>
        <w:t>., 2019).</w:t>
      </w:r>
    </w:p>
    <w:p w14:paraId="11505BC1" w14:textId="72742547" w:rsidR="005D1AC1" w:rsidRDefault="00000000">
      <w:pPr>
        <w:pStyle w:val="BodyText"/>
        <w:spacing w:line="252" w:lineRule="auto"/>
        <w:ind w:left="85" w:right="40" w:firstLine="201"/>
      </w:pPr>
      <w:r>
        <w:t>The results of this study are in accordance with the Dividend Irrelevance Theory which has been stated that dividend policy has no effect on the company's stock price</w:t>
      </w:r>
      <w:r>
        <w:rPr>
          <w:spacing w:val="40"/>
        </w:rPr>
        <w:t xml:space="preserve"> </w:t>
      </w:r>
      <w:r>
        <w:t xml:space="preserve">or cost of capital (Brigham &amp; Daves, 2014). Merton Miller and Franco Modigliani (MM) argue that a firm's value depends only on the income generated by its firm's assets, not on how this income is divided between dividends and retained earnings (Brigham &amp; Daves, 2014). </w:t>
      </w:r>
      <w:r w:rsidR="00045BAB">
        <w:t>So,</w:t>
      </w:r>
      <w:r>
        <w:t xml:space="preserve"> the company's policy to divide the company's profits into dividends or retained earnings does not affect firm value (Pamungkas &amp; Puspaningsih, 2013).</w:t>
      </w:r>
    </w:p>
    <w:p w14:paraId="52DCA9A5" w14:textId="77777777" w:rsidR="005D1AC1" w:rsidRDefault="00000000">
      <w:pPr>
        <w:pStyle w:val="ListParagraph"/>
        <w:numPr>
          <w:ilvl w:val="0"/>
          <w:numId w:val="3"/>
        </w:numPr>
        <w:tabs>
          <w:tab w:val="left" w:pos="512"/>
        </w:tabs>
        <w:spacing w:before="120"/>
        <w:ind w:left="512" w:hanging="222"/>
        <w:jc w:val="both"/>
        <w:rPr>
          <w:i/>
          <w:sz w:val="20"/>
        </w:rPr>
      </w:pPr>
      <w:r>
        <w:rPr>
          <w:i/>
          <w:sz w:val="20"/>
        </w:rPr>
        <w:t>The</w:t>
      </w:r>
      <w:r>
        <w:rPr>
          <w:i/>
          <w:spacing w:val="-5"/>
          <w:sz w:val="20"/>
        </w:rPr>
        <w:t xml:space="preserve"> </w:t>
      </w:r>
      <w:r>
        <w:rPr>
          <w:i/>
          <w:sz w:val="20"/>
        </w:rPr>
        <w:t>Effect</w:t>
      </w:r>
      <w:r>
        <w:rPr>
          <w:i/>
          <w:spacing w:val="-4"/>
          <w:sz w:val="20"/>
        </w:rPr>
        <w:t xml:space="preserve"> </w:t>
      </w:r>
      <w:r>
        <w:rPr>
          <w:i/>
          <w:sz w:val="20"/>
        </w:rPr>
        <w:t>of</w:t>
      </w:r>
      <w:r>
        <w:rPr>
          <w:i/>
          <w:spacing w:val="-5"/>
          <w:sz w:val="20"/>
        </w:rPr>
        <w:t xml:space="preserve"> </w:t>
      </w:r>
      <w:r>
        <w:rPr>
          <w:i/>
          <w:sz w:val="20"/>
        </w:rPr>
        <w:t>Investment</w:t>
      </w:r>
      <w:r>
        <w:rPr>
          <w:i/>
          <w:spacing w:val="-5"/>
          <w:sz w:val="20"/>
        </w:rPr>
        <w:t xml:space="preserve"> </w:t>
      </w:r>
      <w:r>
        <w:rPr>
          <w:i/>
          <w:sz w:val="20"/>
        </w:rPr>
        <w:t>Decisions</w:t>
      </w:r>
      <w:r>
        <w:rPr>
          <w:i/>
          <w:spacing w:val="-5"/>
          <w:sz w:val="20"/>
        </w:rPr>
        <w:t xml:space="preserve"> </w:t>
      </w:r>
      <w:r>
        <w:rPr>
          <w:i/>
          <w:sz w:val="20"/>
        </w:rPr>
        <w:t>on</w:t>
      </w:r>
      <w:r>
        <w:rPr>
          <w:i/>
          <w:spacing w:val="-3"/>
          <w:sz w:val="20"/>
        </w:rPr>
        <w:t xml:space="preserve"> </w:t>
      </w:r>
      <w:r>
        <w:rPr>
          <w:i/>
          <w:sz w:val="20"/>
        </w:rPr>
        <w:t>Firm</w:t>
      </w:r>
      <w:r>
        <w:rPr>
          <w:i/>
          <w:spacing w:val="-4"/>
          <w:sz w:val="20"/>
        </w:rPr>
        <w:t xml:space="preserve"> </w:t>
      </w:r>
      <w:r>
        <w:rPr>
          <w:i/>
          <w:spacing w:val="-2"/>
          <w:sz w:val="20"/>
        </w:rPr>
        <w:t>Value</w:t>
      </w:r>
    </w:p>
    <w:p w14:paraId="7664F10F" w14:textId="77777777" w:rsidR="005D1AC1" w:rsidRDefault="00000000">
      <w:pPr>
        <w:pStyle w:val="BodyText"/>
        <w:spacing w:before="60" w:line="252" w:lineRule="auto"/>
        <w:ind w:left="85" w:right="39" w:firstLine="201"/>
      </w:pPr>
      <w:r>
        <w:t>In this study, the second hypothesis is that Investment Decisions can affect positively on company value. Based on the test results between investment decision variables and company value, the coefficient value is -0.799194 with a probability value of 0.3634 &gt; 0.05, meaning that investment decisions do not affect firm value.</w:t>
      </w:r>
    </w:p>
    <w:p w14:paraId="1980CFA7" w14:textId="4DFE75A2" w:rsidR="005D1AC1" w:rsidRDefault="00000000">
      <w:pPr>
        <w:pStyle w:val="BodyText"/>
        <w:spacing w:before="2" w:line="252" w:lineRule="auto"/>
        <w:ind w:left="85" w:right="38" w:firstLine="201"/>
      </w:pPr>
      <w:r>
        <w:t xml:space="preserve">This result is in accordance with the research (Alvita &amp; Khairunnisa, 2019) found that investment decisions do not affect firm value. The investment decision is a decision </w:t>
      </w:r>
      <w:r w:rsidR="00045BAB">
        <w:t>to allocate</w:t>
      </w:r>
      <w:r>
        <w:t xml:space="preserve"> </w:t>
      </w:r>
      <w:r w:rsidR="00045BAB">
        <w:t>several</w:t>
      </w:r>
      <w:r>
        <w:t xml:space="preserve"> funds in various forms of investment in the hope of obtaining profits in the future. Based on this, investment decisions are</w:t>
      </w:r>
      <w:r>
        <w:rPr>
          <w:spacing w:val="-2"/>
        </w:rPr>
        <w:t xml:space="preserve"> </w:t>
      </w:r>
      <w:r>
        <w:t>also</w:t>
      </w:r>
      <w:r>
        <w:rPr>
          <w:spacing w:val="-2"/>
        </w:rPr>
        <w:t xml:space="preserve"> </w:t>
      </w:r>
      <w:r>
        <w:t>very important</w:t>
      </w:r>
      <w:r>
        <w:rPr>
          <w:spacing w:val="-2"/>
        </w:rPr>
        <w:t xml:space="preserve"> </w:t>
      </w:r>
      <w:r>
        <w:t>for the</w:t>
      </w:r>
      <w:r>
        <w:rPr>
          <w:spacing w:val="-2"/>
        </w:rPr>
        <w:t xml:space="preserve"> </w:t>
      </w:r>
      <w:r>
        <w:t xml:space="preserve">survival of the company. However, investment has received less attention from investors. So, this makes the </w:t>
      </w:r>
      <w:r w:rsidR="00045BAB">
        <w:t>investment have</w:t>
      </w:r>
      <w:r>
        <w:t xml:space="preserve"> less impact on the assessment of investors.</w:t>
      </w:r>
    </w:p>
    <w:p w14:paraId="7DAAEF3D" w14:textId="7E52699F" w:rsidR="005D1AC1" w:rsidRDefault="00000000">
      <w:pPr>
        <w:pStyle w:val="BodyText"/>
        <w:spacing w:line="252" w:lineRule="auto"/>
        <w:ind w:left="85" w:right="39" w:firstLine="201"/>
      </w:pPr>
      <w:r>
        <w:t xml:space="preserve">The results of this study indicate that the level of investment made by the corporate does not </w:t>
      </w:r>
      <w:r w:rsidR="00045BAB">
        <w:t>affect the</w:t>
      </w:r>
      <w:r>
        <w:t xml:space="preserve"> </w:t>
      </w:r>
      <w:r w:rsidR="00045BAB">
        <w:t>company’s</w:t>
      </w:r>
      <w:r>
        <w:t xml:space="preserve"> value. This is because the high investment risk in the future, as well as the expected return on investment in</w:t>
      </w:r>
      <w:r>
        <w:rPr>
          <w:spacing w:val="40"/>
        </w:rPr>
        <w:t xml:space="preserve"> </w:t>
      </w:r>
      <w:r>
        <w:t>the future, which is uncertain, makes investors not make investment decisions as a reference in influencing the value of the company. Alvita &amp; Khairunnisa (2019) added the reason that investment decisions do not affect firm value because outside parties or investors use the company's external factors such as political conditions and others as a reference to influence firm value.</w:t>
      </w:r>
    </w:p>
    <w:p w14:paraId="21A8F27F" w14:textId="77777777" w:rsidR="005D1AC1" w:rsidRDefault="00000000">
      <w:pPr>
        <w:pStyle w:val="ListParagraph"/>
        <w:numPr>
          <w:ilvl w:val="0"/>
          <w:numId w:val="3"/>
        </w:numPr>
        <w:tabs>
          <w:tab w:val="left" w:pos="512"/>
        </w:tabs>
        <w:spacing w:before="119"/>
        <w:ind w:left="512" w:hanging="222"/>
        <w:jc w:val="both"/>
        <w:rPr>
          <w:i/>
          <w:sz w:val="20"/>
        </w:rPr>
      </w:pPr>
      <w:r>
        <w:rPr>
          <w:i/>
          <w:sz w:val="20"/>
        </w:rPr>
        <w:t>The</w:t>
      </w:r>
      <w:r>
        <w:rPr>
          <w:i/>
          <w:spacing w:val="-4"/>
          <w:sz w:val="20"/>
        </w:rPr>
        <w:t xml:space="preserve"> </w:t>
      </w:r>
      <w:r>
        <w:rPr>
          <w:i/>
          <w:sz w:val="20"/>
        </w:rPr>
        <w:t>Effect</w:t>
      </w:r>
      <w:r>
        <w:rPr>
          <w:i/>
          <w:spacing w:val="-4"/>
          <w:sz w:val="20"/>
        </w:rPr>
        <w:t xml:space="preserve"> </w:t>
      </w:r>
      <w:r>
        <w:rPr>
          <w:i/>
          <w:sz w:val="20"/>
        </w:rPr>
        <w:t>of</w:t>
      </w:r>
      <w:r>
        <w:rPr>
          <w:i/>
          <w:spacing w:val="-5"/>
          <w:sz w:val="20"/>
        </w:rPr>
        <w:t xml:space="preserve"> </w:t>
      </w:r>
      <w:r>
        <w:rPr>
          <w:i/>
          <w:sz w:val="20"/>
        </w:rPr>
        <w:t>Leverage</w:t>
      </w:r>
      <w:r>
        <w:rPr>
          <w:i/>
          <w:spacing w:val="-4"/>
          <w:sz w:val="20"/>
        </w:rPr>
        <w:t xml:space="preserve"> </w:t>
      </w:r>
      <w:r>
        <w:rPr>
          <w:i/>
          <w:sz w:val="20"/>
        </w:rPr>
        <w:t>on</w:t>
      </w:r>
      <w:r>
        <w:rPr>
          <w:i/>
          <w:spacing w:val="-3"/>
          <w:sz w:val="20"/>
        </w:rPr>
        <w:t xml:space="preserve"> </w:t>
      </w:r>
      <w:r>
        <w:rPr>
          <w:i/>
          <w:sz w:val="20"/>
        </w:rPr>
        <w:t>Firm</w:t>
      </w:r>
      <w:r>
        <w:rPr>
          <w:i/>
          <w:spacing w:val="-4"/>
          <w:sz w:val="20"/>
        </w:rPr>
        <w:t xml:space="preserve"> Value</w:t>
      </w:r>
    </w:p>
    <w:p w14:paraId="696BA503" w14:textId="7863E7ED" w:rsidR="005D1AC1" w:rsidRDefault="00000000">
      <w:pPr>
        <w:pStyle w:val="BodyText"/>
        <w:spacing w:before="61" w:line="252" w:lineRule="auto"/>
        <w:ind w:left="85" w:right="38" w:firstLine="201"/>
      </w:pPr>
      <w:r>
        <w:t xml:space="preserve">In this study, the third hypothesis is that leverage </w:t>
      </w:r>
      <w:r w:rsidR="00045BAB">
        <w:t>can</w:t>
      </w:r>
      <w:r>
        <w:t xml:space="preserve"> negatively on company value. Based on the test results between the leverage variable and firm value, the coefficient value is 3.524169 with a probability value of 0.0129 &lt; 0.05, meaning that leverage affects positively on firm's value.</w:t>
      </w:r>
    </w:p>
    <w:p w14:paraId="61A64ABD" w14:textId="4A4C426D" w:rsidR="005D1AC1" w:rsidRDefault="00000000">
      <w:pPr>
        <w:pStyle w:val="BodyText"/>
        <w:spacing w:before="102" w:line="252" w:lineRule="auto"/>
        <w:ind w:left="86" w:right="220" w:firstLine="202"/>
      </w:pPr>
      <w:r>
        <w:br w:type="column"/>
      </w:r>
      <w:r>
        <w:t>This result is in accordance with the research Jariah</w:t>
      </w:r>
      <w:r>
        <w:rPr>
          <w:spacing w:val="40"/>
        </w:rPr>
        <w:t xml:space="preserve"> </w:t>
      </w:r>
      <w:r>
        <w:t xml:space="preserve">(2016) who found that leverage </w:t>
      </w:r>
      <w:r w:rsidR="00045BAB">
        <w:t>influenced</w:t>
      </w:r>
      <w:r>
        <w:t xml:space="preserve"> firm value. Leverage can be defined as a measuring tool used to determine total funds obtained from debt, in financing the company's operational activities. A high level of leverage indicates</w:t>
      </w:r>
      <w:r>
        <w:rPr>
          <w:spacing w:val="-2"/>
        </w:rPr>
        <w:t xml:space="preserve"> </w:t>
      </w:r>
      <w:r>
        <w:t>that</w:t>
      </w:r>
      <w:r>
        <w:rPr>
          <w:spacing w:val="-2"/>
        </w:rPr>
        <w:t xml:space="preserve"> </w:t>
      </w:r>
      <w:r>
        <w:t>the</w:t>
      </w:r>
      <w:r>
        <w:rPr>
          <w:spacing w:val="-2"/>
        </w:rPr>
        <w:t xml:space="preserve"> </w:t>
      </w:r>
      <w:r>
        <w:t>company</w:t>
      </w:r>
      <w:r>
        <w:rPr>
          <w:spacing w:val="-3"/>
        </w:rPr>
        <w:t xml:space="preserve"> </w:t>
      </w:r>
      <w:r>
        <w:t>uses</w:t>
      </w:r>
      <w:r>
        <w:rPr>
          <w:spacing w:val="-2"/>
        </w:rPr>
        <w:t xml:space="preserve"> </w:t>
      </w:r>
      <w:r>
        <w:t>more</w:t>
      </w:r>
      <w:r>
        <w:rPr>
          <w:spacing w:val="-2"/>
        </w:rPr>
        <w:t xml:space="preserve"> </w:t>
      </w:r>
      <w:r>
        <w:t>debt</w:t>
      </w:r>
      <w:r>
        <w:rPr>
          <w:spacing w:val="-2"/>
        </w:rPr>
        <w:t xml:space="preserve"> </w:t>
      </w:r>
      <w:r>
        <w:t>as</w:t>
      </w:r>
      <w:r>
        <w:rPr>
          <w:spacing w:val="-2"/>
        </w:rPr>
        <w:t xml:space="preserve"> </w:t>
      </w:r>
      <w:r>
        <w:t>a wellspring of funding. The company's decision to use debt as a source of funds in financing operational activities can be a positive signal for investors and can affect the value of the company. This is because using debt as a wellspring of funding can optimize corporate operational activities so that the company's targets and objectives to earn profits can be achieved and this will make investors interested in investing and can impact increasing company value. According to Hermuningsih (2013) The existence of debt has benefits for the company because it can control the management who uses cash funds freely and excessively. If this control increases, it will ultimately escalate the value of the</w:t>
      </w:r>
      <w:r>
        <w:rPr>
          <w:spacing w:val="40"/>
        </w:rPr>
        <w:t xml:space="preserve"> </w:t>
      </w:r>
      <w:r>
        <w:t>company which is reflected in the escalation in stock prices (Hermuningsih, 2013).</w:t>
      </w:r>
    </w:p>
    <w:p w14:paraId="438E2F05" w14:textId="77777777" w:rsidR="005D1AC1" w:rsidRDefault="00000000">
      <w:pPr>
        <w:pStyle w:val="ListParagraph"/>
        <w:numPr>
          <w:ilvl w:val="0"/>
          <w:numId w:val="3"/>
        </w:numPr>
        <w:tabs>
          <w:tab w:val="left" w:pos="651"/>
        </w:tabs>
        <w:spacing w:before="123"/>
        <w:ind w:left="651" w:hanging="282"/>
        <w:jc w:val="both"/>
        <w:rPr>
          <w:i/>
          <w:sz w:val="20"/>
        </w:rPr>
      </w:pPr>
      <w:r>
        <w:rPr>
          <w:i/>
          <w:sz w:val="20"/>
        </w:rPr>
        <w:t>The</w:t>
      </w:r>
      <w:r>
        <w:rPr>
          <w:i/>
          <w:spacing w:val="-4"/>
          <w:sz w:val="20"/>
        </w:rPr>
        <w:t xml:space="preserve"> </w:t>
      </w:r>
      <w:r>
        <w:rPr>
          <w:i/>
          <w:sz w:val="20"/>
        </w:rPr>
        <w:t>Effect</w:t>
      </w:r>
      <w:r>
        <w:rPr>
          <w:i/>
          <w:spacing w:val="-4"/>
          <w:sz w:val="20"/>
        </w:rPr>
        <w:t xml:space="preserve"> </w:t>
      </w:r>
      <w:r>
        <w:rPr>
          <w:i/>
          <w:sz w:val="20"/>
        </w:rPr>
        <w:t>of</w:t>
      </w:r>
      <w:r>
        <w:rPr>
          <w:i/>
          <w:spacing w:val="-4"/>
          <w:sz w:val="20"/>
        </w:rPr>
        <w:t xml:space="preserve"> </w:t>
      </w:r>
      <w:r>
        <w:rPr>
          <w:i/>
          <w:sz w:val="20"/>
        </w:rPr>
        <w:t>Profitability</w:t>
      </w:r>
      <w:r>
        <w:rPr>
          <w:i/>
          <w:spacing w:val="-4"/>
          <w:sz w:val="20"/>
        </w:rPr>
        <w:t xml:space="preserve"> </w:t>
      </w:r>
      <w:r>
        <w:rPr>
          <w:i/>
          <w:sz w:val="20"/>
        </w:rPr>
        <w:t>on</w:t>
      </w:r>
      <w:r>
        <w:rPr>
          <w:i/>
          <w:spacing w:val="-4"/>
          <w:sz w:val="20"/>
        </w:rPr>
        <w:t xml:space="preserve"> </w:t>
      </w:r>
      <w:r>
        <w:rPr>
          <w:i/>
          <w:sz w:val="20"/>
        </w:rPr>
        <w:t>Firm</w:t>
      </w:r>
      <w:r>
        <w:rPr>
          <w:i/>
          <w:spacing w:val="-3"/>
          <w:sz w:val="20"/>
        </w:rPr>
        <w:t xml:space="preserve"> </w:t>
      </w:r>
      <w:r>
        <w:rPr>
          <w:i/>
          <w:spacing w:val="-2"/>
          <w:sz w:val="20"/>
        </w:rPr>
        <w:t>Value</w:t>
      </w:r>
    </w:p>
    <w:p w14:paraId="40AE9E0B" w14:textId="77777777" w:rsidR="005D1AC1" w:rsidRDefault="00000000">
      <w:pPr>
        <w:pStyle w:val="BodyText"/>
        <w:spacing w:before="60" w:line="252" w:lineRule="auto"/>
        <w:ind w:left="86" w:right="219" w:firstLine="202"/>
      </w:pPr>
      <w:r>
        <w:t>In this</w:t>
      </w:r>
      <w:r>
        <w:rPr>
          <w:spacing w:val="-2"/>
        </w:rPr>
        <w:t xml:space="preserve"> </w:t>
      </w:r>
      <w:r>
        <w:t>study,</w:t>
      </w:r>
      <w:r>
        <w:rPr>
          <w:spacing w:val="-1"/>
        </w:rPr>
        <w:t xml:space="preserve"> </w:t>
      </w:r>
      <w:r>
        <w:t>the fourth hypothesis</w:t>
      </w:r>
      <w:r>
        <w:rPr>
          <w:spacing w:val="-2"/>
        </w:rPr>
        <w:t xml:space="preserve"> </w:t>
      </w:r>
      <w:r>
        <w:t>is that</w:t>
      </w:r>
      <w:r>
        <w:rPr>
          <w:spacing w:val="-1"/>
        </w:rPr>
        <w:t xml:space="preserve"> </w:t>
      </w:r>
      <w:r>
        <w:t>profitability can affect positively company value. Based on the test results between the probability variable and firm value, the coefficient value of 21.92533 with a probability value of 0.0000 &lt; 0.05, meaning that profitability affects positively on firm value.</w:t>
      </w:r>
    </w:p>
    <w:p w14:paraId="05F1F3ED" w14:textId="51250E1E" w:rsidR="005D1AC1" w:rsidRDefault="00000000">
      <w:pPr>
        <w:pStyle w:val="BodyText"/>
        <w:spacing w:line="252" w:lineRule="auto"/>
        <w:ind w:left="86" w:right="221" w:firstLine="202"/>
      </w:pPr>
      <w:r>
        <w:t xml:space="preserve">This result is in accordance with the research (Hermuningsih, 2013) and (Kellen, 2011) who found that profitability had an affect company value. Hermuningsih (2013) Stating that high profitability shows good company </w:t>
      </w:r>
      <w:r w:rsidR="00045BAB">
        <w:t>prospects,</w:t>
      </w:r>
      <w:r>
        <w:t xml:space="preserve"> so it triggers stock demand by investors. The level of</w:t>
      </w:r>
      <w:r>
        <w:rPr>
          <w:spacing w:val="-1"/>
        </w:rPr>
        <w:t xml:space="preserve"> </w:t>
      </w:r>
      <w:r>
        <w:t>company</w:t>
      </w:r>
      <w:r>
        <w:rPr>
          <w:spacing w:val="-1"/>
        </w:rPr>
        <w:t xml:space="preserve"> </w:t>
      </w:r>
      <w:r>
        <w:t>profitability</w:t>
      </w:r>
      <w:r>
        <w:rPr>
          <w:spacing w:val="-1"/>
        </w:rPr>
        <w:t xml:space="preserve"> </w:t>
      </w:r>
      <w:r>
        <w:t>can</w:t>
      </w:r>
      <w:r>
        <w:rPr>
          <w:spacing w:val="-3"/>
        </w:rPr>
        <w:t xml:space="preserve"> </w:t>
      </w:r>
      <w:r>
        <w:t>describe</w:t>
      </w:r>
      <w:r>
        <w:rPr>
          <w:spacing w:val="-2"/>
        </w:rPr>
        <w:t xml:space="preserve"> </w:t>
      </w:r>
      <w:r>
        <w:t>the</w:t>
      </w:r>
      <w:r>
        <w:rPr>
          <w:spacing w:val="-2"/>
        </w:rPr>
        <w:t xml:space="preserve"> </w:t>
      </w:r>
      <w:r>
        <w:t>profits</w:t>
      </w:r>
      <w:r>
        <w:rPr>
          <w:spacing w:val="-2"/>
        </w:rPr>
        <w:t xml:space="preserve"> </w:t>
      </w:r>
      <w:r>
        <w:t>obtained</w:t>
      </w:r>
      <w:r>
        <w:rPr>
          <w:spacing w:val="-1"/>
        </w:rPr>
        <w:t xml:space="preserve"> </w:t>
      </w:r>
      <w:r>
        <w:t xml:space="preserve">by the company. The level of company profitability is a signal used by the </w:t>
      </w:r>
      <w:r w:rsidR="00045BAB">
        <w:t>corporation</w:t>
      </w:r>
      <w:r>
        <w:t xml:space="preserve"> to draw in investors to want to invest in the </w:t>
      </w:r>
      <w:r w:rsidR="00045BAB">
        <w:t>corporation</w:t>
      </w:r>
      <w:r>
        <w:t>. A high level of profitability will have an impact on investor assessment, and this will attract investors to invest. The more investors who are interested in</w:t>
      </w:r>
      <w:r>
        <w:rPr>
          <w:spacing w:val="-1"/>
        </w:rPr>
        <w:t xml:space="preserve"> </w:t>
      </w:r>
      <w:r>
        <w:t xml:space="preserve">investing </w:t>
      </w:r>
      <w:r w:rsidR="00045BAB">
        <w:t>in</w:t>
      </w:r>
      <w:r>
        <w:t xml:space="preserve"> a </w:t>
      </w:r>
      <w:r w:rsidR="00045BAB">
        <w:t>corporation</w:t>
      </w:r>
      <w:r>
        <w:t>, the stock</w:t>
      </w:r>
      <w:r>
        <w:rPr>
          <w:spacing w:val="-1"/>
        </w:rPr>
        <w:t xml:space="preserve"> </w:t>
      </w:r>
      <w:r>
        <w:t>price</w:t>
      </w:r>
      <w:r>
        <w:rPr>
          <w:spacing w:val="-2"/>
        </w:rPr>
        <w:t xml:space="preserve"> </w:t>
      </w:r>
      <w:r>
        <w:t>and firm value will</w:t>
      </w:r>
      <w:r>
        <w:rPr>
          <w:spacing w:val="-1"/>
        </w:rPr>
        <w:t xml:space="preserve"> </w:t>
      </w:r>
      <w:r>
        <w:t>be</w:t>
      </w:r>
      <w:r>
        <w:rPr>
          <w:spacing w:val="-2"/>
        </w:rPr>
        <w:t xml:space="preserve"> </w:t>
      </w:r>
      <w:r>
        <w:t>higher.</w:t>
      </w:r>
    </w:p>
    <w:p w14:paraId="2E277C1A" w14:textId="77777777" w:rsidR="005D1AC1" w:rsidRDefault="00000000">
      <w:pPr>
        <w:pStyle w:val="ListParagraph"/>
        <w:numPr>
          <w:ilvl w:val="0"/>
          <w:numId w:val="3"/>
        </w:numPr>
        <w:tabs>
          <w:tab w:val="left" w:pos="651"/>
        </w:tabs>
        <w:spacing w:before="120"/>
        <w:ind w:left="651" w:hanging="282"/>
        <w:jc w:val="both"/>
        <w:rPr>
          <w:i/>
          <w:sz w:val="20"/>
        </w:rPr>
      </w:pPr>
      <w:r>
        <w:rPr>
          <w:i/>
          <w:sz w:val="20"/>
        </w:rPr>
        <w:t>The</w:t>
      </w:r>
      <w:r>
        <w:rPr>
          <w:i/>
          <w:spacing w:val="-4"/>
          <w:sz w:val="20"/>
        </w:rPr>
        <w:t xml:space="preserve"> </w:t>
      </w:r>
      <w:r>
        <w:rPr>
          <w:i/>
          <w:sz w:val="20"/>
        </w:rPr>
        <w:t>Effect</w:t>
      </w:r>
      <w:r>
        <w:rPr>
          <w:i/>
          <w:spacing w:val="-3"/>
          <w:sz w:val="20"/>
        </w:rPr>
        <w:t xml:space="preserve"> </w:t>
      </w:r>
      <w:r>
        <w:rPr>
          <w:i/>
          <w:sz w:val="20"/>
        </w:rPr>
        <w:t>of</w:t>
      </w:r>
      <w:r>
        <w:rPr>
          <w:i/>
          <w:spacing w:val="-2"/>
          <w:sz w:val="20"/>
        </w:rPr>
        <w:t xml:space="preserve"> </w:t>
      </w:r>
      <w:r>
        <w:rPr>
          <w:i/>
          <w:sz w:val="20"/>
        </w:rPr>
        <w:t>Firm</w:t>
      </w:r>
      <w:r>
        <w:rPr>
          <w:i/>
          <w:spacing w:val="-3"/>
          <w:sz w:val="20"/>
        </w:rPr>
        <w:t xml:space="preserve"> </w:t>
      </w:r>
      <w:r>
        <w:rPr>
          <w:i/>
          <w:sz w:val="20"/>
        </w:rPr>
        <w:t>Size</w:t>
      </w:r>
      <w:r>
        <w:rPr>
          <w:i/>
          <w:spacing w:val="-3"/>
          <w:sz w:val="20"/>
        </w:rPr>
        <w:t xml:space="preserve"> </w:t>
      </w:r>
      <w:r>
        <w:rPr>
          <w:i/>
          <w:sz w:val="20"/>
        </w:rPr>
        <w:t>on</w:t>
      </w:r>
      <w:r>
        <w:rPr>
          <w:i/>
          <w:spacing w:val="-3"/>
          <w:sz w:val="20"/>
        </w:rPr>
        <w:t xml:space="preserve"> </w:t>
      </w:r>
      <w:r>
        <w:rPr>
          <w:i/>
          <w:sz w:val="20"/>
        </w:rPr>
        <w:t>Firm</w:t>
      </w:r>
      <w:r>
        <w:rPr>
          <w:i/>
          <w:spacing w:val="-3"/>
          <w:sz w:val="20"/>
        </w:rPr>
        <w:t xml:space="preserve"> </w:t>
      </w:r>
      <w:r>
        <w:rPr>
          <w:i/>
          <w:spacing w:val="-2"/>
          <w:sz w:val="20"/>
        </w:rPr>
        <w:t>Value</w:t>
      </w:r>
    </w:p>
    <w:p w14:paraId="3BD0C358" w14:textId="20A08DCD" w:rsidR="005D1AC1" w:rsidRDefault="00000000">
      <w:pPr>
        <w:pStyle w:val="BodyText"/>
        <w:spacing w:before="58" w:line="252" w:lineRule="auto"/>
        <w:ind w:left="86" w:right="220" w:firstLine="202"/>
      </w:pPr>
      <w:r>
        <w:t xml:space="preserve">In this study, the fifth hypothesis is that firm size can </w:t>
      </w:r>
      <w:r w:rsidR="00045BAB">
        <w:t>affect</w:t>
      </w:r>
      <w:r>
        <w:t xml:space="preserve"> positively on company value. Test results between company Size</w:t>
      </w:r>
      <w:r>
        <w:rPr>
          <w:spacing w:val="-3"/>
        </w:rPr>
        <w:t xml:space="preserve"> </w:t>
      </w:r>
      <w:r>
        <w:t>variable</w:t>
      </w:r>
      <w:r>
        <w:rPr>
          <w:spacing w:val="-5"/>
        </w:rPr>
        <w:t xml:space="preserve"> </w:t>
      </w:r>
      <w:r>
        <w:t>and</w:t>
      </w:r>
      <w:r>
        <w:rPr>
          <w:spacing w:val="-2"/>
        </w:rPr>
        <w:t xml:space="preserve"> </w:t>
      </w:r>
      <w:r>
        <w:t>Firm</w:t>
      </w:r>
      <w:r>
        <w:rPr>
          <w:spacing w:val="-2"/>
        </w:rPr>
        <w:t xml:space="preserve"> </w:t>
      </w:r>
      <w:r>
        <w:t>Value, the</w:t>
      </w:r>
      <w:r>
        <w:rPr>
          <w:spacing w:val="-2"/>
        </w:rPr>
        <w:t xml:space="preserve"> </w:t>
      </w:r>
      <w:r>
        <w:t>coefficient</w:t>
      </w:r>
      <w:r>
        <w:rPr>
          <w:spacing w:val="-6"/>
        </w:rPr>
        <w:t xml:space="preserve"> </w:t>
      </w:r>
      <w:r>
        <w:t>value is 0.243799 with a probability value of 0.1244 &gt; 0.05, meaning that firm size does not affect firm value.</w:t>
      </w:r>
    </w:p>
    <w:p w14:paraId="52E2CEE6" w14:textId="089D8732" w:rsidR="005D1AC1" w:rsidRDefault="00000000">
      <w:pPr>
        <w:pStyle w:val="BodyText"/>
        <w:spacing w:before="3" w:line="252" w:lineRule="auto"/>
        <w:ind w:left="86" w:right="221" w:firstLine="202"/>
      </w:pPr>
      <w:r>
        <w:t>This</w:t>
      </w:r>
      <w:r>
        <w:rPr>
          <w:spacing w:val="-1"/>
        </w:rPr>
        <w:t xml:space="preserve"> </w:t>
      </w:r>
      <w:r>
        <w:t>result is</w:t>
      </w:r>
      <w:r>
        <w:rPr>
          <w:spacing w:val="-1"/>
        </w:rPr>
        <w:t xml:space="preserve"> </w:t>
      </w:r>
      <w:r>
        <w:t>in accordance with the</w:t>
      </w:r>
      <w:r>
        <w:rPr>
          <w:spacing w:val="-2"/>
        </w:rPr>
        <w:t xml:space="preserve"> </w:t>
      </w:r>
      <w:r>
        <w:t>research</w:t>
      </w:r>
      <w:r>
        <w:rPr>
          <w:spacing w:val="-1"/>
        </w:rPr>
        <w:t xml:space="preserve"> </w:t>
      </w:r>
      <w:r>
        <w:t xml:space="preserve">(Pamungkas &amp; Puspaningsih, 2013) found that company size does not affect company value. This study indicates that firm </w:t>
      </w:r>
      <w:r w:rsidR="00045BAB">
        <w:t>size</w:t>
      </w:r>
      <w:r>
        <w:t xml:space="preserve"> measured by total assets is not a consideration for investors in making investments. In addition, asset management by management has not been maximized, making the company unable to achieve its goal of obtaining large profits. So, it does</w:t>
      </w:r>
      <w:r>
        <w:rPr>
          <w:spacing w:val="-1"/>
        </w:rPr>
        <w:t xml:space="preserve"> </w:t>
      </w:r>
      <w:r>
        <w:t>not</w:t>
      </w:r>
      <w:r>
        <w:rPr>
          <w:spacing w:val="-1"/>
        </w:rPr>
        <w:t xml:space="preserve"> </w:t>
      </w:r>
      <w:r>
        <w:t>guarantee that</w:t>
      </w:r>
      <w:r>
        <w:rPr>
          <w:spacing w:val="-1"/>
        </w:rPr>
        <w:t xml:space="preserve"> </w:t>
      </w:r>
      <w:r>
        <w:t>companies</w:t>
      </w:r>
      <w:r>
        <w:rPr>
          <w:spacing w:val="-1"/>
        </w:rPr>
        <w:t xml:space="preserve"> </w:t>
      </w:r>
      <w:r>
        <w:t>with large</w:t>
      </w:r>
      <w:r>
        <w:rPr>
          <w:spacing w:val="-1"/>
        </w:rPr>
        <w:t xml:space="preserve"> </w:t>
      </w:r>
      <w:r>
        <w:t>assets</w:t>
      </w:r>
      <w:r>
        <w:rPr>
          <w:spacing w:val="-1"/>
        </w:rPr>
        <w:t xml:space="preserve"> </w:t>
      </w:r>
      <w:r>
        <w:t>can earn more profits than companies with small total assets. Therefore, firm size has no effect on firm value.</w:t>
      </w:r>
    </w:p>
    <w:p w14:paraId="622835C7" w14:textId="77777777" w:rsidR="005D1AC1" w:rsidRDefault="005D1AC1">
      <w:pPr>
        <w:pStyle w:val="BodyText"/>
        <w:spacing w:line="252" w:lineRule="auto"/>
        <w:sectPr w:rsidR="005D1AC1">
          <w:pgSz w:w="11910" w:h="16840"/>
          <w:pgMar w:top="900" w:right="708" w:bottom="680" w:left="850" w:header="14" w:footer="481" w:gutter="0"/>
          <w:cols w:num="2" w:space="720" w:equalWidth="0">
            <w:col w:w="5006" w:space="155"/>
            <w:col w:w="5191"/>
          </w:cols>
        </w:sectPr>
      </w:pPr>
    </w:p>
    <w:p w14:paraId="3D9AA8D1" w14:textId="77777777" w:rsidR="002C2465" w:rsidRDefault="002C2465" w:rsidP="002C2465">
      <w:pPr>
        <w:pStyle w:val="ListParagraph"/>
        <w:numPr>
          <w:ilvl w:val="0"/>
          <w:numId w:val="9"/>
        </w:numPr>
        <w:tabs>
          <w:tab w:val="left" w:pos="878"/>
        </w:tabs>
        <w:spacing w:before="102"/>
        <w:ind w:left="878" w:hanging="307"/>
        <w:jc w:val="left"/>
        <w:rPr>
          <w:sz w:val="20"/>
        </w:rPr>
      </w:pPr>
      <w:r>
        <w:rPr>
          <w:smallCaps/>
          <w:sz w:val="20"/>
        </w:rPr>
        <w:lastRenderedPageBreak/>
        <w:t>Conclusion,</w:t>
      </w:r>
      <w:r>
        <w:rPr>
          <w:smallCaps/>
          <w:spacing w:val="-10"/>
          <w:sz w:val="20"/>
        </w:rPr>
        <w:t xml:space="preserve"> </w:t>
      </w:r>
      <w:r>
        <w:rPr>
          <w:smallCaps/>
          <w:sz w:val="20"/>
        </w:rPr>
        <w:t>Limitation</w:t>
      </w:r>
      <w:r>
        <w:rPr>
          <w:smallCaps/>
          <w:spacing w:val="-10"/>
          <w:sz w:val="20"/>
        </w:rPr>
        <w:t xml:space="preserve"> </w:t>
      </w:r>
      <w:r>
        <w:rPr>
          <w:smallCaps/>
          <w:sz w:val="20"/>
        </w:rPr>
        <w:t>and</w:t>
      </w:r>
      <w:r>
        <w:rPr>
          <w:smallCaps/>
          <w:spacing w:val="-10"/>
          <w:sz w:val="20"/>
        </w:rPr>
        <w:t xml:space="preserve"> </w:t>
      </w:r>
      <w:r>
        <w:rPr>
          <w:smallCaps/>
          <w:spacing w:val="-2"/>
          <w:sz w:val="20"/>
        </w:rPr>
        <w:t>Suggestion</w:t>
      </w:r>
    </w:p>
    <w:p w14:paraId="714B3A6E" w14:textId="77777777" w:rsidR="002C2465" w:rsidRDefault="002C2465" w:rsidP="002C2465">
      <w:pPr>
        <w:pStyle w:val="ListParagraph"/>
        <w:numPr>
          <w:ilvl w:val="0"/>
          <w:numId w:val="8"/>
        </w:numPr>
        <w:tabs>
          <w:tab w:val="left" w:pos="546"/>
        </w:tabs>
        <w:spacing w:before="121"/>
        <w:ind w:left="546" w:hanging="316"/>
        <w:jc w:val="both"/>
        <w:rPr>
          <w:i/>
          <w:sz w:val="20"/>
        </w:rPr>
      </w:pPr>
      <w:r>
        <w:rPr>
          <w:i/>
          <w:spacing w:val="-2"/>
          <w:sz w:val="20"/>
        </w:rPr>
        <w:t>Conclusion</w:t>
      </w:r>
    </w:p>
    <w:p w14:paraId="6E0D8C5D" w14:textId="77777777" w:rsidR="002C2465" w:rsidRDefault="002C2465" w:rsidP="002C2465">
      <w:pPr>
        <w:pStyle w:val="BodyText"/>
        <w:spacing w:before="60"/>
        <w:ind w:left="287"/>
      </w:pPr>
      <w:r>
        <w:t>The</w:t>
      </w:r>
      <w:r>
        <w:rPr>
          <w:spacing w:val="-4"/>
        </w:rPr>
        <w:t xml:space="preserve"> </w:t>
      </w:r>
      <w:r>
        <w:t>conclusions</w:t>
      </w:r>
      <w:r>
        <w:rPr>
          <w:spacing w:val="-5"/>
        </w:rPr>
        <w:t xml:space="preserve"> </w:t>
      </w:r>
      <w:r>
        <w:t>of</w:t>
      </w:r>
      <w:r>
        <w:rPr>
          <w:spacing w:val="-3"/>
        </w:rPr>
        <w:t xml:space="preserve"> </w:t>
      </w:r>
      <w:r>
        <w:t>the</w:t>
      </w:r>
      <w:r>
        <w:rPr>
          <w:spacing w:val="-6"/>
        </w:rPr>
        <w:t xml:space="preserve"> </w:t>
      </w:r>
      <w:r>
        <w:t>research</w:t>
      </w:r>
      <w:r>
        <w:rPr>
          <w:spacing w:val="-2"/>
        </w:rPr>
        <w:t xml:space="preserve"> </w:t>
      </w:r>
      <w:r>
        <w:t>conducted</w:t>
      </w:r>
      <w:r>
        <w:rPr>
          <w:spacing w:val="-3"/>
        </w:rPr>
        <w:t xml:space="preserve"> </w:t>
      </w:r>
      <w:r>
        <w:t>are</w:t>
      </w:r>
      <w:r>
        <w:rPr>
          <w:spacing w:val="-6"/>
        </w:rPr>
        <w:t xml:space="preserve"> </w:t>
      </w:r>
      <w:r>
        <w:t>as</w:t>
      </w:r>
      <w:r>
        <w:rPr>
          <w:spacing w:val="-4"/>
        </w:rPr>
        <w:t xml:space="preserve"> </w:t>
      </w:r>
      <w:r>
        <w:rPr>
          <w:spacing w:val="-2"/>
        </w:rPr>
        <w:t>follows:</w:t>
      </w:r>
    </w:p>
    <w:p w14:paraId="18CEB61C" w14:textId="77777777" w:rsidR="002C2465" w:rsidRDefault="002C2465" w:rsidP="002C2465">
      <w:pPr>
        <w:pStyle w:val="ListParagraph"/>
        <w:numPr>
          <w:ilvl w:val="0"/>
          <w:numId w:val="7"/>
        </w:numPr>
        <w:tabs>
          <w:tab w:val="left" w:pos="441"/>
          <w:tab w:val="left" w:pos="444"/>
        </w:tabs>
        <w:spacing w:before="13" w:line="252" w:lineRule="auto"/>
        <w:ind w:right="39"/>
        <w:jc w:val="both"/>
        <w:rPr>
          <w:sz w:val="20"/>
        </w:rPr>
      </w:pPr>
      <w:r>
        <w:rPr>
          <w:sz w:val="20"/>
        </w:rPr>
        <w:t>Dividend policy does not affect firm value. The results of</w:t>
      </w:r>
      <w:r>
        <w:rPr>
          <w:spacing w:val="-4"/>
          <w:sz w:val="20"/>
        </w:rPr>
        <w:t xml:space="preserve"> </w:t>
      </w:r>
      <w:r>
        <w:rPr>
          <w:sz w:val="20"/>
        </w:rPr>
        <w:t>this</w:t>
      </w:r>
      <w:r>
        <w:rPr>
          <w:spacing w:val="-5"/>
          <w:sz w:val="20"/>
        </w:rPr>
        <w:t xml:space="preserve"> </w:t>
      </w:r>
      <w:r>
        <w:rPr>
          <w:sz w:val="20"/>
        </w:rPr>
        <w:t>study</w:t>
      </w:r>
      <w:r>
        <w:rPr>
          <w:spacing w:val="-3"/>
          <w:sz w:val="20"/>
        </w:rPr>
        <w:t xml:space="preserve"> </w:t>
      </w:r>
      <w:r>
        <w:rPr>
          <w:sz w:val="20"/>
        </w:rPr>
        <w:t>indicate</w:t>
      </w:r>
      <w:r>
        <w:rPr>
          <w:spacing w:val="-4"/>
          <w:sz w:val="20"/>
        </w:rPr>
        <w:t xml:space="preserve"> </w:t>
      </w:r>
      <w:r>
        <w:rPr>
          <w:sz w:val="20"/>
        </w:rPr>
        <w:t>that</w:t>
      </w:r>
      <w:r>
        <w:rPr>
          <w:spacing w:val="-4"/>
          <w:sz w:val="20"/>
        </w:rPr>
        <w:t xml:space="preserve"> </w:t>
      </w:r>
      <w:r>
        <w:rPr>
          <w:sz w:val="20"/>
        </w:rPr>
        <w:t>the</w:t>
      </w:r>
      <w:r>
        <w:rPr>
          <w:spacing w:val="-6"/>
          <w:sz w:val="20"/>
        </w:rPr>
        <w:t xml:space="preserve"> </w:t>
      </w:r>
      <w:r>
        <w:rPr>
          <w:sz w:val="20"/>
        </w:rPr>
        <w:t>distribution</w:t>
      </w:r>
      <w:r>
        <w:rPr>
          <w:spacing w:val="-3"/>
          <w:sz w:val="20"/>
        </w:rPr>
        <w:t xml:space="preserve"> </w:t>
      </w:r>
      <w:r>
        <w:rPr>
          <w:sz w:val="20"/>
        </w:rPr>
        <w:t>of</w:t>
      </w:r>
      <w:r>
        <w:rPr>
          <w:spacing w:val="-6"/>
          <w:sz w:val="20"/>
        </w:rPr>
        <w:t xml:space="preserve"> </w:t>
      </w:r>
      <w:r>
        <w:rPr>
          <w:sz w:val="20"/>
        </w:rPr>
        <w:t>dividends</w:t>
      </w:r>
      <w:r>
        <w:rPr>
          <w:spacing w:val="-5"/>
          <w:sz w:val="20"/>
        </w:rPr>
        <w:t xml:space="preserve"> </w:t>
      </w:r>
      <w:r>
        <w:rPr>
          <w:sz w:val="20"/>
        </w:rPr>
        <w:t>is not the main purpose of investors in buying shares.</w:t>
      </w:r>
    </w:p>
    <w:p w14:paraId="4D2D206B" w14:textId="77777777" w:rsidR="002C2465" w:rsidRDefault="002C2465" w:rsidP="002C2465">
      <w:pPr>
        <w:pStyle w:val="ListParagraph"/>
        <w:numPr>
          <w:ilvl w:val="0"/>
          <w:numId w:val="7"/>
        </w:numPr>
        <w:tabs>
          <w:tab w:val="left" w:pos="441"/>
          <w:tab w:val="left" w:pos="444"/>
        </w:tabs>
        <w:spacing w:line="252" w:lineRule="auto"/>
        <w:ind w:right="39"/>
        <w:jc w:val="both"/>
        <w:rPr>
          <w:sz w:val="20"/>
        </w:rPr>
      </w:pPr>
      <w:r>
        <w:rPr>
          <w:sz w:val="20"/>
        </w:rPr>
        <w:t>Investment decisions do not affect firm value. This is because</w:t>
      </w:r>
      <w:r>
        <w:rPr>
          <w:spacing w:val="-4"/>
          <w:sz w:val="20"/>
        </w:rPr>
        <w:t xml:space="preserve"> </w:t>
      </w:r>
      <w:r>
        <w:rPr>
          <w:sz w:val="20"/>
        </w:rPr>
        <w:t>the</w:t>
      </w:r>
      <w:r>
        <w:rPr>
          <w:spacing w:val="-4"/>
          <w:sz w:val="20"/>
        </w:rPr>
        <w:t xml:space="preserve"> </w:t>
      </w:r>
      <w:r>
        <w:rPr>
          <w:sz w:val="20"/>
        </w:rPr>
        <w:t>high</w:t>
      </w:r>
      <w:r>
        <w:rPr>
          <w:spacing w:val="-3"/>
          <w:sz w:val="20"/>
        </w:rPr>
        <w:t xml:space="preserve"> </w:t>
      </w:r>
      <w:r>
        <w:rPr>
          <w:sz w:val="20"/>
        </w:rPr>
        <w:t>investment</w:t>
      </w:r>
      <w:r>
        <w:rPr>
          <w:spacing w:val="-5"/>
          <w:sz w:val="20"/>
        </w:rPr>
        <w:t xml:space="preserve"> </w:t>
      </w:r>
      <w:r>
        <w:rPr>
          <w:sz w:val="20"/>
        </w:rPr>
        <w:t>risk</w:t>
      </w:r>
      <w:r>
        <w:rPr>
          <w:spacing w:val="-3"/>
          <w:sz w:val="20"/>
        </w:rPr>
        <w:t xml:space="preserve"> </w:t>
      </w:r>
      <w:r>
        <w:rPr>
          <w:sz w:val="20"/>
        </w:rPr>
        <w:t>in</w:t>
      </w:r>
      <w:r>
        <w:rPr>
          <w:spacing w:val="-3"/>
          <w:sz w:val="20"/>
        </w:rPr>
        <w:t xml:space="preserve"> </w:t>
      </w:r>
      <w:r>
        <w:rPr>
          <w:sz w:val="20"/>
        </w:rPr>
        <w:t>the</w:t>
      </w:r>
      <w:r>
        <w:rPr>
          <w:spacing w:val="-4"/>
          <w:sz w:val="20"/>
        </w:rPr>
        <w:t xml:space="preserve"> </w:t>
      </w:r>
      <w:r>
        <w:rPr>
          <w:sz w:val="20"/>
        </w:rPr>
        <w:t>future,</w:t>
      </w:r>
      <w:r>
        <w:rPr>
          <w:spacing w:val="-5"/>
          <w:sz w:val="20"/>
        </w:rPr>
        <w:t xml:space="preserve"> </w:t>
      </w:r>
      <w:r>
        <w:rPr>
          <w:sz w:val="20"/>
        </w:rPr>
        <w:t>as</w:t>
      </w:r>
      <w:r>
        <w:rPr>
          <w:spacing w:val="-5"/>
          <w:sz w:val="20"/>
        </w:rPr>
        <w:t xml:space="preserve"> </w:t>
      </w:r>
      <w:r>
        <w:rPr>
          <w:sz w:val="20"/>
        </w:rPr>
        <w:t>well</w:t>
      </w:r>
      <w:r>
        <w:rPr>
          <w:spacing w:val="-5"/>
          <w:sz w:val="20"/>
        </w:rPr>
        <w:t xml:space="preserve"> </w:t>
      </w:r>
      <w:r>
        <w:rPr>
          <w:sz w:val="20"/>
        </w:rPr>
        <w:t>as the</w:t>
      </w:r>
      <w:r>
        <w:rPr>
          <w:spacing w:val="-5"/>
          <w:sz w:val="20"/>
        </w:rPr>
        <w:t xml:space="preserve"> </w:t>
      </w:r>
      <w:r>
        <w:rPr>
          <w:sz w:val="20"/>
        </w:rPr>
        <w:t>expected</w:t>
      </w:r>
      <w:r>
        <w:rPr>
          <w:spacing w:val="-4"/>
          <w:sz w:val="20"/>
        </w:rPr>
        <w:t xml:space="preserve"> </w:t>
      </w:r>
      <w:r>
        <w:rPr>
          <w:sz w:val="20"/>
        </w:rPr>
        <w:t>return</w:t>
      </w:r>
      <w:r>
        <w:rPr>
          <w:spacing w:val="-4"/>
          <w:sz w:val="20"/>
        </w:rPr>
        <w:t xml:space="preserve"> </w:t>
      </w:r>
      <w:r>
        <w:rPr>
          <w:sz w:val="20"/>
        </w:rPr>
        <w:t>on</w:t>
      </w:r>
      <w:r>
        <w:rPr>
          <w:spacing w:val="-4"/>
          <w:sz w:val="20"/>
        </w:rPr>
        <w:t xml:space="preserve"> </w:t>
      </w:r>
      <w:r>
        <w:rPr>
          <w:sz w:val="20"/>
        </w:rPr>
        <w:t>investment</w:t>
      </w:r>
      <w:r>
        <w:rPr>
          <w:spacing w:val="-6"/>
          <w:sz w:val="20"/>
        </w:rPr>
        <w:t xml:space="preserve"> </w:t>
      </w:r>
      <w:r>
        <w:rPr>
          <w:sz w:val="20"/>
        </w:rPr>
        <w:t>in</w:t>
      </w:r>
      <w:r>
        <w:rPr>
          <w:spacing w:val="-4"/>
          <w:sz w:val="20"/>
        </w:rPr>
        <w:t xml:space="preserve"> </w:t>
      </w:r>
      <w:r>
        <w:rPr>
          <w:sz w:val="20"/>
        </w:rPr>
        <w:t>the future,</w:t>
      </w:r>
      <w:r>
        <w:rPr>
          <w:spacing w:val="-3"/>
          <w:sz w:val="20"/>
        </w:rPr>
        <w:t xml:space="preserve"> </w:t>
      </w:r>
      <w:r>
        <w:rPr>
          <w:sz w:val="20"/>
        </w:rPr>
        <w:t>which</w:t>
      </w:r>
      <w:r>
        <w:rPr>
          <w:spacing w:val="-4"/>
          <w:sz w:val="20"/>
        </w:rPr>
        <w:t xml:space="preserve"> </w:t>
      </w:r>
      <w:r>
        <w:rPr>
          <w:sz w:val="20"/>
        </w:rPr>
        <w:t>is uncertain, makes investors not make investment decisions as a reference in influencing company value.</w:t>
      </w:r>
    </w:p>
    <w:p w14:paraId="57419750" w14:textId="77777777" w:rsidR="002C2465" w:rsidRDefault="002C2465" w:rsidP="002C2465">
      <w:pPr>
        <w:pStyle w:val="ListParagraph"/>
        <w:numPr>
          <w:ilvl w:val="0"/>
          <w:numId w:val="7"/>
        </w:numPr>
        <w:tabs>
          <w:tab w:val="left" w:pos="441"/>
          <w:tab w:val="left" w:pos="444"/>
        </w:tabs>
        <w:spacing w:line="252" w:lineRule="auto"/>
        <w:ind w:right="40"/>
        <w:jc w:val="both"/>
        <w:rPr>
          <w:sz w:val="20"/>
        </w:rPr>
      </w:pPr>
      <w:r>
        <w:rPr>
          <w:sz w:val="20"/>
        </w:rPr>
        <w:t>Leverage affects positively firm value. This is because using debt as a wellspring of funding can optimize corporate operational activities so that the company's targets and objectives to earn profits can be achieved and this will make investors interested in investing and can impact increasing company value.</w:t>
      </w:r>
    </w:p>
    <w:p w14:paraId="0A56CE3A" w14:textId="77777777" w:rsidR="002C2465" w:rsidRDefault="002C2465" w:rsidP="002C2465">
      <w:pPr>
        <w:pStyle w:val="ListParagraph"/>
        <w:numPr>
          <w:ilvl w:val="0"/>
          <w:numId w:val="7"/>
        </w:numPr>
        <w:tabs>
          <w:tab w:val="left" w:pos="441"/>
          <w:tab w:val="left" w:pos="444"/>
        </w:tabs>
        <w:spacing w:line="252" w:lineRule="auto"/>
        <w:ind w:right="40"/>
        <w:jc w:val="both"/>
        <w:rPr>
          <w:sz w:val="20"/>
        </w:rPr>
      </w:pPr>
      <w:r>
        <w:rPr>
          <w:sz w:val="20"/>
        </w:rPr>
        <w:t xml:space="preserve">Profitability affects positively firm value. A high level of profitability will have an impact on investor assessment and this will attract investors to invest. The more investors who are interested in investing in a company, the stock price and company value will be </w:t>
      </w:r>
      <w:r>
        <w:rPr>
          <w:spacing w:val="-2"/>
          <w:sz w:val="20"/>
        </w:rPr>
        <w:t>higher.</w:t>
      </w:r>
    </w:p>
    <w:p w14:paraId="3F324BB4" w14:textId="77777777" w:rsidR="002C2465" w:rsidRDefault="002C2465" w:rsidP="002C2465">
      <w:pPr>
        <w:pStyle w:val="ListParagraph"/>
        <w:numPr>
          <w:ilvl w:val="0"/>
          <w:numId w:val="7"/>
        </w:numPr>
        <w:tabs>
          <w:tab w:val="left" w:pos="441"/>
          <w:tab w:val="left" w:pos="444"/>
        </w:tabs>
        <w:spacing w:line="252" w:lineRule="auto"/>
        <w:ind w:right="38"/>
        <w:jc w:val="both"/>
        <w:rPr>
          <w:sz w:val="20"/>
        </w:rPr>
      </w:pPr>
      <w:r>
        <w:rPr>
          <w:sz w:val="20"/>
        </w:rPr>
        <w:t>Firm size does not affect firm value. This study</w:t>
      </w:r>
      <w:r>
        <w:rPr>
          <w:spacing w:val="40"/>
          <w:sz w:val="20"/>
        </w:rPr>
        <w:t xml:space="preserve"> </w:t>
      </w:r>
      <w:r>
        <w:rPr>
          <w:sz w:val="20"/>
        </w:rPr>
        <w:t>indicates</w:t>
      </w:r>
      <w:r>
        <w:rPr>
          <w:spacing w:val="-4"/>
          <w:sz w:val="20"/>
        </w:rPr>
        <w:t xml:space="preserve"> </w:t>
      </w:r>
      <w:r>
        <w:rPr>
          <w:sz w:val="20"/>
        </w:rPr>
        <w:t>that</w:t>
      </w:r>
      <w:r>
        <w:rPr>
          <w:spacing w:val="-3"/>
          <w:sz w:val="20"/>
        </w:rPr>
        <w:t xml:space="preserve"> </w:t>
      </w:r>
      <w:r>
        <w:rPr>
          <w:sz w:val="20"/>
        </w:rPr>
        <w:t>firm</w:t>
      </w:r>
      <w:r>
        <w:rPr>
          <w:spacing w:val="-2"/>
          <w:sz w:val="20"/>
        </w:rPr>
        <w:t xml:space="preserve"> </w:t>
      </w:r>
      <w:r>
        <w:rPr>
          <w:sz w:val="20"/>
        </w:rPr>
        <w:t>size</w:t>
      </w:r>
      <w:r>
        <w:rPr>
          <w:spacing w:val="-3"/>
          <w:sz w:val="20"/>
        </w:rPr>
        <w:t xml:space="preserve"> </w:t>
      </w:r>
      <w:r>
        <w:rPr>
          <w:sz w:val="20"/>
        </w:rPr>
        <w:t>as</w:t>
      </w:r>
      <w:r>
        <w:rPr>
          <w:spacing w:val="-1"/>
          <w:sz w:val="20"/>
        </w:rPr>
        <w:t xml:space="preserve"> </w:t>
      </w:r>
      <w:r>
        <w:rPr>
          <w:sz w:val="20"/>
        </w:rPr>
        <w:t>measured</w:t>
      </w:r>
      <w:r>
        <w:rPr>
          <w:spacing w:val="-2"/>
          <w:sz w:val="20"/>
        </w:rPr>
        <w:t xml:space="preserve"> </w:t>
      </w:r>
      <w:r>
        <w:rPr>
          <w:sz w:val="20"/>
        </w:rPr>
        <w:t>by</w:t>
      </w:r>
      <w:r>
        <w:rPr>
          <w:spacing w:val="-2"/>
          <w:sz w:val="20"/>
        </w:rPr>
        <w:t xml:space="preserve"> </w:t>
      </w:r>
      <w:r>
        <w:rPr>
          <w:sz w:val="20"/>
        </w:rPr>
        <w:t>total</w:t>
      </w:r>
      <w:r>
        <w:rPr>
          <w:spacing w:val="-3"/>
          <w:sz w:val="20"/>
        </w:rPr>
        <w:t xml:space="preserve"> </w:t>
      </w:r>
      <w:r>
        <w:rPr>
          <w:sz w:val="20"/>
        </w:rPr>
        <w:t>assets</w:t>
      </w:r>
      <w:r>
        <w:rPr>
          <w:spacing w:val="-4"/>
          <w:sz w:val="20"/>
        </w:rPr>
        <w:t xml:space="preserve"> </w:t>
      </w:r>
      <w:r>
        <w:rPr>
          <w:sz w:val="20"/>
        </w:rPr>
        <w:t>is</w:t>
      </w:r>
      <w:r>
        <w:rPr>
          <w:spacing w:val="-4"/>
          <w:sz w:val="20"/>
        </w:rPr>
        <w:t xml:space="preserve"> </w:t>
      </w:r>
      <w:r>
        <w:rPr>
          <w:sz w:val="20"/>
        </w:rPr>
        <w:t>not a consideration for investors in making investments. In addition, asset management by management has not been maximized, making the company unable to</w:t>
      </w:r>
      <w:r>
        <w:rPr>
          <w:spacing w:val="40"/>
          <w:sz w:val="20"/>
        </w:rPr>
        <w:t xml:space="preserve"> </w:t>
      </w:r>
      <w:r>
        <w:rPr>
          <w:sz w:val="20"/>
        </w:rPr>
        <w:t>achieve its goal of obtaining large profits. So, it does</w:t>
      </w:r>
      <w:r>
        <w:rPr>
          <w:spacing w:val="40"/>
          <w:sz w:val="20"/>
        </w:rPr>
        <w:t xml:space="preserve"> </w:t>
      </w:r>
      <w:r>
        <w:rPr>
          <w:sz w:val="20"/>
        </w:rPr>
        <w:t>not guarantee that companies with large assets can earn more profits than companies with small total assets. Therefore, company size does not affect company</w:t>
      </w:r>
      <w:r>
        <w:rPr>
          <w:spacing w:val="80"/>
          <w:sz w:val="20"/>
        </w:rPr>
        <w:t xml:space="preserve"> </w:t>
      </w:r>
      <w:r>
        <w:rPr>
          <w:spacing w:val="-2"/>
          <w:sz w:val="20"/>
        </w:rPr>
        <w:t>value.</w:t>
      </w:r>
    </w:p>
    <w:p w14:paraId="078F20EB" w14:textId="77777777" w:rsidR="002C2465" w:rsidRDefault="002C2465" w:rsidP="002C2465">
      <w:pPr>
        <w:pStyle w:val="ListParagraph"/>
        <w:numPr>
          <w:ilvl w:val="0"/>
          <w:numId w:val="8"/>
        </w:numPr>
        <w:tabs>
          <w:tab w:val="left" w:pos="546"/>
        </w:tabs>
        <w:spacing w:before="120"/>
        <w:ind w:left="546" w:hanging="316"/>
        <w:jc w:val="both"/>
        <w:rPr>
          <w:i/>
          <w:sz w:val="20"/>
        </w:rPr>
      </w:pPr>
      <w:r>
        <w:rPr>
          <w:i/>
          <w:spacing w:val="-2"/>
          <w:sz w:val="20"/>
        </w:rPr>
        <w:t>Limitation</w:t>
      </w:r>
    </w:p>
    <w:p w14:paraId="18EE99C3" w14:textId="77777777" w:rsidR="002C2465" w:rsidRDefault="002C2465" w:rsidP="002C2465">
      <w:pPr>
        <w:pStyle w:val="BodyText"/>
        <w:spacing w:before="60" w:line="252" w:lineRule="auto"/>
        <w:ind w:left="85" w:right="41" w:firstLine="201"/>
      </w:pPr>
      <w:r>
        <w:t>This study still has limits, namely, this study only takes the variables of dividend policy, investment decisions, leverage, profitability, and firm size as independent</w:t>
      </w:r>
      <w:r>
        <w:rPr>
          <w:spacing w:val="40"/>
        </w:rPr>
        <w:t xml:space="preserve"> </w:t>
      </w:r>
      <w:r>
        <w:t xml:space="preserve">variables in influencing firm value. In addition, the firm value variable is only measured using the PBV ratio. there are still various kinds of measurements for the firm value </w:t>
      </w:r>
      <w:r>
        <w:rPr>
          <w:spacing w:val="-2"/>
        </w:rPr>
        <w:t>variable.</w:t>
      </w:r>
    </w:p>
    <w:p w14:paraId="148D7EC5" w14:textId="77777777" w:rsidR="002C2465" w:rsidRDefault="002C2465" w:rsidP="002C2465">
      <w:pPr>
        <w:pStyle w:val="ListParagraph"/>
        <w:numPr>
          <w:ilvl w:val="0"/>
          <w:numId w:val="8"/>
        </w:numPr>
        <w:tabs>
          <w:tab w:val="left" w:pos="556"/>
        </w:tabs>
        <w:spacing w:before="119"/>
        <w:ind w:left="556" w:hanging="326"/>
        <w:jc w:val="both"/>
        <w:rPr>
          <w:i/>
          <w:sz w:val="20"/>
        </w:rPr>
      </w:pPr>
      <w:r>
        <w:rPr>
          <w:i/>
          <w:spacing w:val="-2"/>
          <w:sz w:val="20"/>
        </w:rPr>
        <w:t>Suggestion</w:t>
      </w:r>
    </w:p>
    <w:p w14:paraId="1345167F" w14:textId="77777777" w:rsidR="002C2465" w:rsidRDefault="002C2465" w:rsidP="002C2465">
      <w:pPr>
        <w:pStyle w:val="BodyText"/>
        <w:spacing w:before="61" w:line="252" w:lineRule="auto"/>
        <w:ind w:left="85" w:right="43" w:firstLine="201"/>
      </w:pPr>
      <w:r>
        <w:t>For the management, it can be taken into consideration</w:t>
      </w:r>
      <w:r>
        <w:rPr>
          <w:spacing w:val="80"/>
        </w:rPr>
        <w:t xml:space="preserve"> </w:t>
      </w:r>
      <w:r>
        <w:t>for the company in increasing company value and as a consideration for issuers to evaluate and improve in order to improve the company's performance in the future.</w:t>
      </w:r>
    </w:p>
    <w:p w14:paraId="5C7CD230" w14:textId="77777777" w:rsidR="002C2465" w:rsidRDefault="002C2465" w:rsidP="002C2465">
      <w:pPr>
        <w:pStyle w:val="BodyText"/>
        <w:spacing w:before="2" w:line="252" w:lineRule="auto"/>
        <w:ind w:left="85" w:right="47" w:firstLine="201"/>
      </w:pPr>
      <w:r>
        <w:t>Future</w:t>
      </w:r>
      <w:r>
        <w:rPr>
          <w:spacing w:val="-3"/>
        </w:rPr>
        <w:t xml:space="preserve"> </w:t>
      </w:r>
      <w:r>
        <w:t>researchers</w:t>
      </w:r>
      <w:r>
        <w:rPr>
          <w:spacing w:val="-3"/>
        </w:rPr>
        <w:t xml:space="preserve"> </w:t>
      </w:r>
      <w:r>
        <w:t>are</w:t>
      </w:r>
      <w:r>
        <w:rPr>
          <w:spacing w:val="-3"/>
        </w:rPr>
        <w:t xml:space="preserve"> </w:t>
      </w:r>
      <w:r>
        <w:t>expected</w:t>
      </w:r>
      <w:r>
        <w:rPr>
          <w:spacing w:val="-2"/>
        </w:rPr>
        <w:t xml:space="preserve"> </w:t>
      </w:r>
      <w:r>
        <w:t>to</w:t>
      </w:r>
      <w:r>
        <w:rPr>
          <w:spacing w:val="-2"/>
        </w:rPr>
        <w:t xml:space="preserve"> </w:t>
      </w:r>
      <w:r>
        <w:t>add</w:t>
      </w:r>
      <w:r>
        <w:rPr>
          <w:spacing w:val="-4"/>
        </w:rPr>
        <w:t xml:space="preserve"> </w:t>
      </w:r>
      <w:r>
        <w:t>other</w:t>
      </w:r>
      <w:r>
        <w:rPr>
          <w:spacing w:val="-4"/>
        </w:rPr>
        <w:t xml:space="preserve"> </w:t>
      </w:r>
      <w:r>
        <w:t>variables</w:t>
      </w:r>
      <w:r>
        <w:rPr>
          <w:spacing w:val="-3"/>
        </w:rPr>
        <w:t xml:space="preserve"> </w:t>
      </w:r>
      <w:r>
        <w:t>that can affect firm</w:t>
      </w:r>
      <w:r>
        <w:rPr>
          <w:spacing w:val="-1"/>
        </w:rPr>
        <w:t xml:space="preserve"> </w:t>
      </w:r>
      <w:r>
        <w:t>value, further</w:t>
      </w:r>
      <w:r>
        <w:rPr>
          <w:spacing w:val="-1"/>
        </w:rPr>
        <w:t xml:space="preserve"> </w:t>
      </w:r>
      <w:r>
        <w:t>researchers are expected to</w:t>
      </w:r>
      <w:r>
        <w:rPr>
          <w:spacing w:val="-1"/>
        </w:rPr>
        <w:t xml:space="preserve"> </w:t>
      </w:r>
      <w:r>
        <w:t>use other measurements in measuring firm value variables.</w:t>
      </w:r>
    </w:p>
    <w:p w14:paraId="3B98634A" w14:textId="77777777" w:rsidR="002C2465" w:rsidRDefault="002C2465" w:rsidP="002C2465">
      <w:pPr>
        <w:pStyle w:val="BodyText"/>
        <w:jc w:val="left"/>
      </w:pPr>
    </w:p>
    <w:p w14:paraId="6025DE47" w14:textId="77777777" w:rsidR="002C2465" w:rsidRDefault="002C2465" w:rsidP="002C2465">
      <w:pPr>
        <w:pStyle w:val="BodyText"/>
        <w:spacing w:before="20"/>
        <w:jc w:val="left"/>
      </w:pPr>
    </w:p>
    <w:p w14:paraId="27CD462D" w14:textId="77777777" w:rsidR="002C2465" w:rsidRDefault="002C2465" w:rsidP="002C2465">
      <w:pPr>
        <w:pStyle w:val="BodyText"/>
        <w:ind w:left="46"/>
        <w:jc w:val="center"/>
      </w:pPr>
      <w:r>
        <w:rPr>
          <w:smallCaps/>
          <w:spacing w:val="-2"/>
        </w:rPr>
        <w:t>References</w:t>
      </w:r>
    </w:p>
    <w:p w14:paraId="0909F3E8" w14:textId="77777777" w:rsidR="002C2465" w:rsidRDefault="002C2465" w:rsidP="002C2465">
      <w:pPr>
        <w:spacing w:before="122"/>
        <w:ind w:left="444" w:right="38" w:hanging="359"/>
        <w:jc w:val="both"/>
        <w:rPr>
          <w:sz w:val="16"/>
        </w:rPr>
      </w:pPr>
      <w:r>
        <w:rPr>
          <w:sz w:val="16"/>
        </w:rPr>
        <w:t>Adi, S. W., Putri, W. A. P., &amp; Permatasari, W. D. (2020). Profitability,</w:t>
      </w:r>
      <w:r>
        <w:rPr>
          <w:spacing w:val="40"/>
          <w:sz w:val="16"/>
        </w:rPr>
        <w:t xml:space="preserve"> </w:t>
      </w:r>
      <w:r>
        <w:rPr>
          <w:sz w:val="16"/>
        </w:rPr>
        <w:t>Leverage, Firm Size, Liquidity, and Total Assets Turnover on</w:t>
      </w:r>
      <w:r>
        <w:rPr>
          <w:spacing w:val="40"/>
          <w:sz w:val="16"/>
        </w:rPr>
        <w:t xml:space="preserve"> </w:t>
      </w:r>
      <w:r>
        <w:rPr>
          <w:sz w:val="16"/>
        </w:rPr>
        <w:t>Liquidity, and Total Assets Turnover on Real Earnings Management</w:t>
      </w:r>
      <w:r>
        <w:rPr>
          <w:spacing w:val="40"/>
          <w:sz w:val="16"/>
        </w:rPr>
        <w:t xml:space="preserve"> </w:t>
      </w:r>
      <w:r>
        <w:rPr>
          <w:sz w:val="16"/>
        </w:rPr>
        <w:t>(An Empirical Real Earnings Management (An Empirical Study on</w:t>
      </w:r>
      <w:r>
        <w:rPr>
          <w:spacing w:val="40"/>
          <w:sz w:val="16"/>
        </w:rPr>
        <w:t xml:space="preserve"> </w:t>
      </w:r>
      <w:r>
        <w:rPr>
          <w:sz w:val="16"/>
        </w:rPr>
        <w:t xml:space="preserve">the Mining Company Classification Study on the Minin. </w:t>
      </w:r>
      <w:r>
        <w:rPr>
          <w:i/>
          <w:sz w:val="16"/>
        </w:rPr>
        <w:t>Riset</w:t>
      </w:r>
      <w:r>
        <w:rPr>
          <w:i/>
          <w:spacing w:val="40"/>
          <w:sz w:val="16"/>
        </w:rPr>
        <w:t xml:space="preserve"> </w:t>
      </w:r>
      <w:r>
        <w:rPr>
          <w:i/>
          <w:sz w:val="16"/>
        </w:rPr>
        <w:t>Akuntansi Dan Keuangan Indonesia</w:t>
      </w:r>
      <w:r>
        <w:rPr>
          <w:sz w:val="16"/>
        </w:rPr>
        <w:t xml:space="preserve">, </w:t>
      </w:r>
      <w:r>
        <w:rPr>
          <w:i/>
          <w:sz w:val="16"/>
        </w:rPr>
        <w:t>5</w:t>
      </w:r>
      <w:r>
        <w:rPr>
          <w:sz w:val="16"/>
        </w:rPr>
        <w:t>(2), 129–140.</w:t>
      </w:r>
      <w:r>
        <w:rPr>
          <w:spacing w:val="40"/>
          <w:sz w:val="16"/>
        </w:rPr>
        <w:t xml:space="preserve"> </w:t>
      </w:r>
      <w:r>
        <w:rPr>
          <w:spacing w:val="-2"/>
          <w:sz w:val="16"/>
        </w:rPr>
        <w:t>https://doi.org/10.23917/reaksi.v5i2.12403.</w:t>
      </w:r>
    </w:p>
    <w:p w14:paraId="5DDED0AA" w14:textId="77777777" w:rsidR="002C2465" w:rsidRDefault="002C2465" w:rsidP="002C2465">
      <w:pPr>
        <w:ind w:left="444" w:right="39" w:hanging="359"/>
        <w:jc w:val="both"/>
        <w:rPr>
          <w:i/>
          <w:sz w:val="16"/>
        </w:rPr>
      </w:pPr>
      <w:r>
        <w:rPr>
          <w:sz w:val="16"/>
        </w:rPr>
        <w:t>Ainun, M. B. (2020). Efek Moderasi Kebijakan Hutang Pada Pengaruh</w:t>
      </w:r>
      <w:r>
        <w:rPr>
          <w:spacing w:val="40"/>
          <w:sz w:val="16"/>
        </w:rPr>
        <w:t xml:space="preserve"> </w:t>
      </w:r>
      <w:r>
        <w:rPr>
          <w:sz w:val="16"/>
        </w:rPr>
        <w:t>Kebijakan</w:t>
      </w:r>
      <w:r>
        <w:rPr>
          <w:spacing w:val="61"/>
          <w:w w:val="150"/>
          <w:sz w:val="16"/>
        </w:rPr>
        <w:t xml:space="preserve"> </w:t>
      </w:r>
      <w:r>
        <w:rPr>
          <w:sz w:val="16"/>
        </w:rPr>
        <w:t>Dividen</w:t>
      </w:r>
      <w:r>
        <w:rPr>
          <w:spacing w:val="62"/>
          <w:w w:val="150"/>
          <w:sz w:val="16"/>
        </w:rPr>
        <w:t xml:space="preserve"> </w:t>
      </w:r>
      <w:r>
        <w:rPr>
          <w:sz w:val="16"/>
        </w:rPr>
        <w:t>Terhadap</w:t>
      </w:r>
      <w:r>
        <w:rPr>
          <w:spacing w:val="62"/>
          <w:w w:val="150"/>
          <w:sz w:val="16"/>
        </w:rPr>
        <w:t xml:space="preserve"> </w:t>
      </w:r>
      <w:r>
        <w:rPr>
          <w:sz w:val="16"/>
        </w:rPr>
        <w:t>Harga</w:t>
      </w:r>
      <w:r>
        <w:rPr>
          <w:spacing w:val="60"/>
          <w:w w:val="150"/>
          <w:sz w:val="16"/>
        </w:rPr>
        <w:t xml:space="preserve"> </w:t>
      </w:r>
      <w:r>
        <w:rPr>
          <w:sz w:val="16"/>
        </w:rPr>
        <w:t>Saham.</w:t>
      </w:r>
      <w:r>
        <w:rPr>
          <w:spacing w:val="65"/>
          <w:w w:val="150"/>
          <w:sz w:val="16"/>
        </w:rPr>
        <w:t xml:space="preserve"> </w:t>
      </w:r>
      <w:r>
        <w:rPr>
          <w:i/>
          <w:sz w:val="16"/>
        </w:rPr>
        <w:t>EKUITAS</w:t>
      </w:r>
      <w:r>
        <w:rPr>
          <w:i/>
          <w:spacing w:val="62"/>
          <w:w w:val="150"/>
          <w:sz w:val="16"/>
        </w:rPr>
        <w:t xml:space="preserve"> </w:t>
      </w:r>
      <w:r>
        <w:rPr>
          <w:i/>
          <w:spacing w:val="-2"/>
          <w:sz w:val="16"/>
        </w:rPr>
        <w:t>(Jurnal</w:t>
      </w:r>
    </w:p>
    <w:p w14:paraId="47F7EB3D" w14:textId="77777777" w:rsidR="002C2465" w:rsidRDefault="002C2465" w:rsidP="002C2465">
      <w:pPr>
        <w:spacing w:before="103"/>
        <w:ind w:left="443" w:right="1259"/>
        <w:jc w:val="both"/>
        <w:rPr>
          <w:sz w:val="16"/>
        </w:rPr>
      </w:pPr>
      <w:r>
        <w:br w:type="column"/>
      </w:r>
      <w:r>
        <w:rPr>
          <w:i/>
          <w:sz w:val="16"/>
        </w:rPr>
        <w:t>Ekonomi Dan Keuangan)</w:t>
      </w:r>
      <w:r>
        <w:rPr>
          <w:sz w:val="16"/>
        </w:rPr>
        <w:t xml:space="preserve">, </w:t>
      </w:r>
      <w:r>
        <w:rPr>
          <w:i/>
          <w:sz w:val="16"/>
        </w:rPr>
        <w:t>3</w:t>
      </w:r>
      <w:r>
        <w:rPr>
          <w:sz w:val="16"/>
        </w:rPr>
        <w:t>(3), 382–402.</w:t>
      </w:r>
      <w:r>
        <w:rPr>
          <w:spacing w:val="40"/>
          <w:sz w:val="16"/>
        </w:rPr>
        <w:t xml:space="preserve"> </w:t>
      </w:r>
      <w:r>
        <w:rPr>
          <w:spacing w:val="-2"/>
          <w:sz w:val="16"/>
        </w:rPr>
        <w:t>https://doi.org/10.24034/j25485024.y2019.v3.i3.4192.</w:t>
      </w:r>
    </w:p>
    <w:p w14:paraId="0D086911" w14:textId="77777777" w:rsidR="002C2465" w:rsidRDefault="002C2465" w:rsidP="002C2465">
      <w:pPr>
        <w:ind w:left="443" w:right="220" w:hanging="358"/>
        <w:jc w:val="both"/>
        <w:rPr>
          <w:sz w:val="16"/>
        </w:rPr>
      </w:pPr>
      <w:r>
        <w:rPr>
          <w:sz w:val="16"/>
        </w:rPr>
        <w:t>Alvita, F., &amp;</w:t>
      </w:r>
      <w:r>
        <w:rPr>
          <w:spacing w:val="-3"/>
          <w:sz w:val="16"/>
        </w:rPr>
        <w:t xml:space="preserve"> </w:t>
      </w:r>
      <w:r>
        <w:rPr>
          <w:sz w:val="16"/>
        </w:rPr>
        <w:t>Khairunnisa, P. (2019).</w:t>
      </w:r>
      <w:r>
        <w:rPr>
          <w:spacing w:val="-2"/>
          <w:sz w:val="16"/>
        </w:rPr>
        <w:t xml:space="preserve"> </w:t>
      </w:r>
      <w:r>
        <w:rPr>
          <w:sz w:val="16"/>
        </w:rPr>
        <w:t>Analisis</w:t>
      </w:r>
      <w:r>
        <w:rPr>
          <w:spacing w:val="-3"/>
          <w:sz w:val="16"/>
        </w:rPr>
        <w:t xml:space="preserve"> </w:t>
      </w:r>
      <w:r>
        <w:rPr>
          <w:sz w:val="16"/>
        </w:rPr>
        <w:t>Pengaruh</w:t>
      </w:r>
      <w:r>
        <w:rPr>
          <w:spacing w:val="-2"/>
          <w:sz w:val="16"/>
        </w:rPr>
        <w:t xml:space="preserve"> </w:t>
      </w:r>
      <w:r>
        <w:rPr>
          <w:sz w:val="16"/>
        </w:rPr>
        <w:t>Kebijakan Dividen,</w:t>
      </w:r>
      <w:r>
        <w:rPr>
          <w:spacing w:val="40"/>
          <w:sz w:val="16"/>
        </w:rPr>
        <w:t xml:space="preserve"> </w:t>
      </w:r>
      <w:r>
        <w:rPr>
          <w:sz w:val="16"/>
        </w:rPr>
        <w:t>Keputusan Investasi Dan Keputusan Pendanaan Terhadap Nilai</w:t>
      </w:r>
      <w:r>
        <w:rPr>
          <w:spacing w:val="40"/>
          <w:sz w:val="16"/>
        </w:rPr>
        <w:t xml:space="preserve"> </w:t>
      </w:r>
      <w:r>
        <w:rPr>
          <w:sz w:val="16"/>
        </w:rPr>
        <w:t xml:space="preserve">Perusahaan. </w:t>
      </w:r>
      <w:r>
        <w:rPr>
          <w:i/>
          <w:sz w:val="16"/>
        </w:rPr>
        <w:t>Jurnal ASET (Akuntansi Riset)</w:t>
      </w:r>
      <w:r>
        <w:rPr>
          <w:sz w:val="16"/>
        </w:rPr>
        <w:t xml:space="preserve">, </w:t>
      </w:r>
      <w:r>
        <w:rPr>
          <w:i/>
          <w:sz w:val="16"/>
        </w:rPr>
        <w:t>11</w:t>
      </w:r>
      <w:r>
        <w:rPr>
          <w:sz w:val="16"/>
        </w:rPr>
        <w:t>(1), 108–122.</w:t>
      </w:r>
      <w:r>
        <w:rPr>
          <w:spacing w:val="40"/>
          <w:sz w:val="16"/>
        </w:rPr>
        <w:t xml:space="preserve"> </w:t>
      </w:r>
      <w:r>
        <w:rPr>
          <w:spacing w:val="-2"/>
          <w:sz w:val="16"/>
        </w:rPr>
        <w:t>https://doi.org/10.17509/jaset.v11i1.16620.</w:t>
      </w:r>
    </w:p>
    <w:p w14:paraId="16B365DA" w14:textId="77777777" w:rsidR="002C2465" w:rsidRDefault="002C2465" w:rsidP="002C2465">
      <w:pPr>
        <w:spacing w:before="1"/>
        <w:ind w:left="443" w:right="224" w:hanging="358"/>
        <w:jc w:val="both"/>
        <w:rPr>
          <w:sz w:val="16"/>
        </w:rPr>
      </w:pPr>
      <w:r>
        <w:rPr>
          <w:sz w:val="16"/>
        </w:rPr>
        <w:t>Artini, L. G. S., &amp; Puspaningsih, N. L. A. (2011). Struktur Kepemilikan</w:t>
      </w:r>
      <w:r>
        <w:rPr>
          <w:spacing w:val="40"/>
          <w:sz w:val="16"/>
        </w:rPr>
        <w:t xml:space="preserve"> </w:t>
      </w:r>
      <w:r>
        <w:rPr>
          <w:sz w:val="16"/>
        </w:rPr>
        <w:t>Dan Struktur Modal Terhadap Kebijakan Dividen Dan Nilai</w:t>
      </w:r>
      <w:r>
        <w:rPr>
          <w:spacing w:val="40"/>
          <w:sz w:val="16"/>
        </w:rPr>
        <w:t xml:space="preserve"> </w:t>
      </w:r>
      <w:r>
        <w:rPr>
          <w:sz w:val="16"/>
        </w:rPr>
        <w:t xml:space="preserve">Perusahaan. </w:t>
      </w:r>
      <w:r>
        <w:rPr>
          <w:i/>
          <w:sz w:val="16"/>
        </w:rPr>
        <w:t>Jurnal Keuangan Dan Perbankan</w:t>
      </w:r>
      <w:r>
        <w:rPr>
          <w:sz w:val="16"/>
        </w:rPr>
        <w:t xml:space="preserve">, </w:t>
      </w:r>
      <w:r>
        <w:rPr>
          <w:i/>
          <w:sz w:val="16"/>
        </w:rPr>
        <w:t>15</w:t>
      </w:r>
      <w:r>
        <w:rPr>
          <w:sz w:val="16"/>
        </w:rPr>
        <w:t>(1), 66–75.</w:t>
      </w:r>
    </w:p>
    <w:p w14:paraId="7B572A44" w14:textId="77777777" w:rsidR="002C2465" w:rsidRDefault="002C2465" w:rsidP="002C2465">
      <w:pPr>
        <w:ind w:left="443" w:right="222" w:hanging="358"/>
        <w:jc w:val="both"/>
        <w:rPr>
          <w:sz w:val="16"/>
        </w:rPr>
      </w:pPr>
      <w:r>
        <w:rPr>
          <w:sz w:val="16"/>
        </w:rPr>
        <w:t xml:space="preserve">Badan Pusat Statistik. (2019). </w:t>
      </w:r>
      <w:r>
        <w:rPr>
          <w:i/>
          <w:sz w:val="16"/>
        </w:rPr>
        <w:t>Indeks Harga Saham Gabungan Menurut</w:t>
      </w:r>
      <w:r>
        <w:rPr>
          <w:i/>
          <w:spacing w:val="40"/>
          <w:sz w:val="16"/>
        </w:rPr>
        <w:t xml:space="preserve"> </w:t>
      </w:r>
      <w:r>
        <w:rPr>
          <w:i/>
          <w:sz w:val="16"/>
        </w:rPr>
        <w:t>Sektor dan Bulan 2019</w:t>
      </w:r>
      <w:r>
        <w:rPr>
          <w:sz w:val="16"/>
        </w:rPr>
        <w:t>.</w:t>
      </w:r>
    </w:p>
    <w:p w14:paraId="59FD7D3F" w14:textId="77777777" w:rsidR="002C2465" w:rsidRDefault="002C2465" w:rsidP="002C2465">
      <w:pPr>
        <w:ind w:left="443" w:right="219" w:hanging="358"/>
        <w:jc w:val="both"/>
        <w:rPr>
          <w:sz w:val="16"/>
        </w:rPr>
      </w:pPr>
      <w:r>
        <w:rPr>
          <w:sz w:val="16"/>
        </w:rPr>
        <w:t>Baker, H.</w:t>
      </w:r>
      <w:r>
        <w:rPr>
          <w:spacing w:val="-1"/>
          <w:sz w:val="16"/>
        </w:rPr>
        <w:t xml:space="preserve"> </w:t>
      </w:r>
      <w:r>
        <w:rPr>
          <w:sz w:val="16"/>
        </w:rPr>
        <w:t>K., Dewasiri, N. J., Yatiwelle</w:t>
      </w:r>
      <w:r>
        <w:rPr>
          <w:spacing w:val="-1"/>
          <w:sz w:val="16"/>
        </w:rPr>
        <w:t xml:space="preserve"> </w:t>
      </w:r>
      <w:r>
        <w:rPr>
          <w:sz w:val="16"/>
        </w:rPr>
        <w:t>Koralalage, W. B., &amp; Azeez, A. A.</w:t>
      </w:r>
      <w:r>
        <w:rPr>
          <w:spacing w:val="40"/>
          <w:sz w:val="16"/>
        </w:rPr>
        <w:t xml:space="preserve"> </w:t>
      </w:r>
      <w:r>
        <w:rPr>
          <w:sz w:val="16"/>
        </w:rPr>
        <w:t>(2019). Dividend policy determinants of Sri Lankan firms: a</w:t>
      </w:r>
      <w:r>
        <w:rPr>
          <w:spacing w:val="40"/>
          <w:sz w:val="16"/>
        </w:rPr>
        <w:t xml:space="preserve"> </w:t>
      </w:r>
      <w:r>
        <w:rPr>
          <w:sz w:val="16"/>
        </w:rPr>
        <w:t xml:space="preserve">triangulation approach. </w:t>
      </w:r>
      <w:r>
        <w:rPr>
          <w:i/>
          <w:sz w:val="16"/>
        </w:rPr>
        <w:t>Managerial Finance</w:t>
      </w:r>
      <w:r>
        <w:rPr>
          <w:sz w:val="16"/>
        </w:rPr>
        <w:t xml:space="preserve">, </w:t>
      </w:r>
      <w:r>
        <w:rPr>
          <w:i/>
          <w:sz w:val="16"/>
        </w:rPr>
        <w:t>45</w:t>
      </w:r>
      <w:r>
        <w:rPr>
          <w:sz w:val="16"/>
        </w:rPr>
        <w:t>(1), 2–20.</w:t>
      </w:r>
      <w:r>
        <w:rPr>
          <w:spacing w:val="40"/>
          <w:sz w:val="16"/>
        </w:rPr>
        <w:t xml:space="preserve"> </w:t>
      </w:r>
      <w:r>
        <w:rPr>
          <w:spacing w:val="-2"/>
          <w:sz w:val="16"/>
        </w:rPr>
        <w:t>https://doi.org/10.1108/MF-03-2018-0096.</w:t>
      </w:r>
    </w:p>
    <w:p w14:paraId="6CBAAE2E" w14:textId="77777777" w:rsidR="002C2465" w:rsidRDefault="002C2465" w:rsidP="002C2465">
      <w:pPr>
        <w:ind w:left="443" w:right="219" w:hanging="358"/>
        <w:jc w:val="both"/>
        <w:rPr>
          <w:sz w:val="16"/>
        </w:rPr>
      </w:pPr>
      <w:r>
        <w:rPr>
          <w:sz w:val="16"/>
        </w:rPr>
        <w:t>Barros, V., Guedes,</w:t>
      </w:r>
      <w:r>
        <w:rPr>
          <w:spacing w:val="-1"/>
          <w:sz w:val="16"/>
        </w:rPr>
        <w:t xml:space="preserve"> </w:t>
      </w:r>
      <w:r>
        <w:rPr>
          <w:sz w:val="16"/>
        </w:rPr>
        <w:t>M. J., Santos, P.,</w:t>
      </w:r>
      <w:r>
        <w:rPr>
          <w:spacing w:val="-4"/>
          <w:sz w:val="16"/>
        </w:rPr>
        <w:t xml:space="preserve"> </w:t>
      </w:r>
      <w:r>
        <w:rPr>
          <w:sz w:val="16"/>
        </w:rPr>
        <w:t>&amp; Sarmento, J.</w:t>
      </w:r>
      <w:r>
        <w:rPr>
          <w:spacing w:val="-1"/>
          <w:sz w:val="16"/>
        </w:rPr>
        <w:t xml:space="preserve"> </w:t>
      </w:r>
      <w:r>
        <w:rPr>
          <w:sz w:val="16"/>
        </w:rPr>
        <w:t>M. (2021). Does</w:t>
      </w:r>
      <w:r>
        <w:rPr>
          <w:spacing w:val="-2"/>
          <w:sz w:val="16"/>
        </w:rPr>
        <w:t xml:space="preserve"> </w:t>
      </w:r>
      <w:r>
        <w:rPr>
          <w:sz w:val="16"/>
        </w:rPr>
        <w:t>CEO</w:t>
      </w:r>
      <w:r>
        <w:rPr>
          <w:spacing w:val="40"/>
          <w:sz w:val="16"/>
        </w:rPr>
        <w:t xml:space="preserve"> </w:t>
      </w:r>
      <w:r>
        <w:rPr>
          <w:sz w:val="16"/>
        </w:rPr>
        <w:t xml:space="preserve">turnover influence dividend policy? </w:t>
      </w:r>
      <w:r>
        <w:rPr>
          <w:i/>
          <w:sz w:val="16"/>
        </w:rPr>
        <w:t>Finance Research Letters</w:t>
      </w:r>
      <w:r>
        <w:rPr>
          <w:sz w:val="16"/>
        </w:rPr>
        <w:t xml:space="preserve">, </w:t>
      </w:r>
      <w:r>
        <w:rPr>
          <w:i/>
          <w:sz w:val="16"/>
        </w:rPr>
        <w:t>April</w:t>
      </w:r>
      <w:r>
        <w:rPr>
          <w:sz w:val="16"/>
        </w:rPr>
        <w:t>.</w:t>
      </w:r>
      <w:r>
        <w:rPr>
          <w:spacing w:val="40"/>
          <w:sz w:val="16"/>
        </w:rPr>
        <w:t xml:space="preserve"> </w:t>
      </w:r>
      <w:r>
        <w:rPr>
          <w:spacing w:val="-2"/>
          <w:sz w:val="16"/>
        </w:rPr>
        <w:t>https://doi.org/10.1016/j.frl.2021.102085.</w:t>
      </w:r>
    </w:p>
    <w:p w14:paraId="50B901D0" w14:textId="77777777" w:rsidR="002C2465" w:rsidRDefault="002C2465" w:rsidP="002C2465">
      <w:pPr>
        <w:ind w:left="443" w:right="221" w:hanging="358"/>
        <w:jc w:val="both"/>
        <w:rPr>
          <w:sz w:val="16"/>
        </w:rPr>
      </w:pPr>
      <w:r>
        <w:rPr>
          <w:sz w:val="16"/>
        </w:rPr>
        <w:t>Brigham, E. F., &amp; Daves, P.</w:t>
      </w:r>
      <w:r>
        <w:rPr>
          <w:spacing w:val="-2"/>
          <w:sz w:val="16"/>
        </w:rPr>
        <w:t xml:space="preserve"> </w:t>
      </w:r>
      <w:r>
        <w:rPr>
          <w:sz w:val="16"/>
        </w:rPr>
        <w:t>R. (2014). Intermediate financial management.</w:t>
      </w:r>
      <w:r>
        <w:rPr>
          <w:spacing w:val="40"/>
          <w:sz w:val="16"/>
        </w:rPr>
        <w:t xml:space="preserve"> </w:t>
      </w:r>
      <w:r>
        <w:rPr>
          <w:sz w:val="16"/>
        </w:rPr>
        <w:t xml:space="preserve">In </w:t>
      </w:r>
      <w:r>
        <w:rPr>
          <w:i/>
          <w:sz w:val="16"/>
        </w:rPr>
        <w:t xml:space="preserve">The British Accounting Review </w:t>
      </w:r>
      <w:r>
        <w:rPr>
          <w:sz w:val="16"/>
        </w:rPr>
        <w:t>(Ninth Edit). Cengage Learning.</w:t>
      </w:r>
      <w:r>
        <w:rPr>
          <w:spacing w:val="40"/>
          <w:sz w:val="16"/>
        </w:rPr>
        <w:t xml:space="preserve"> </w:t>
      </w:r>
      <w:r>
        <w:rPr>
          <w:spacing w:val="-2"/>
          <w:sz w:val="16"/>
        </w:rPr>
        <w:t>https://doi.org/10.1016/0890-8389(89)90100-5.</w:t>
      </w:r>
    </w:p>
    <w:p w14:paraId="64876000" w14:textId="77777777" w:rsidR="002C2465" w:rsidRDefault="002C2465" w:rsidP="002C2465">
      <w:pPr>
        <w:ind w:left="443" w:right="219" w:hanging="358"/>
        <w:jc w:val="both"/>
        <w:rPr>
          <w:sz w:val="16"/>
        </w:rPr>
      </w:pPr>
      <w:r>
        <w:rPr>
          <w:sz w:val="16"/>
        </w:rPr>
        <w:t>Chen, L. J., &amp; Chen, S. Y. (2011). The influence of profitability on firm</w:t>
      </w:r>
      <w:r>
        <w:rPr>
          <w:spacing w:val="40"/>
          <w:sz w:val="16"/>
        </w:rPr>
        <w:t xml:space="preserve"> </w:t>
      </w:r>
      <w:r>
        <w:rPr>
          <w:sz w:val="16"/>
        </w:rPr>
        <w:t>value with capital structure as</w:t>
      </w:r>
      <w:r>
        <w:rPr>
          <w:spacing w:val="-1"/>
          <w:sz w:val="16"/>
        </w:rPr>
        <w:t xml:space="preserve"> </w:t>
      </w:r>
      <w:r>
        <w:rPr>
          <w:sz w:val="16"/>
        </w:rPr>
        <w:t>the mediator and firm size and industry</w:t>
      </w:r>
      <w:r>
        <w:rPr>
          <w:spacing w:val="40"/>
          <w:sz w:val="16"/>
        </w:rPr>
        <w:t xml:space="preserve"> </w:t>
      </w:r>
      <w:r>
        <w:rPr>
          <w:sz w:val="16"/>
        </w:rPr>
        <w:t xml:space="preserve">as moderators. </w:t>
      </w:r>
      <w:r>
        <w:rPr>
          <w:i/>
          <w:sz w:val="16"/>
        </w:rPr>
        <w:t>Investment Management and Financial Innovations</w:t>
      </w:r>
      <w:r>
        <w:rPr>
          <w:sz w:val="16"/>
        </w:rPr>
        <w:t>,</w:t>
      </w:r>
      <w:r>
        <w:rPr>
          <w:spacing w:val="40"/>
          <w:sz w:val="16"/>
        </w:rPr>
        <w:t xml:space="preserve"> </w:t>
      </w:r>
      <w:r>
        <w:rPr>
          <w:i/>
          <w:sz w:val="16"/>
        </w:rPr>
        <w:t>8</w:t>
      </w:r>
      <w:r>
        <w:rPr>
          <w:sz w:val="16"/>
        </w:rPr>
        <w:t>(3),</w:t>
      </w:r>
      <w:r>
        <w:rPr>
          <w:spacing w:val="-5"/>
          <w:sz w:val="16"/>
        </w:rPr>
        <w:t xml:space="preserve"> </w:t>
      </w:r>
      <w:r>
        <w:rPr>
          <w:sz w:val="16"/>
        </w:rPr>
        <w:t>121–129.</w:t>
      </w:r>
    </w:p>
    <w:p w14:paraId="387ADF3B" w14:textId="77777777" w:rsidR="002C2465" w:rsidRDefault="002C2465" w:rsidP="002C2465">
      <w:pPr>
        <w:spacing w:before="2"/>
        <w:ind w:left="443" w:right="219" w:hanging="358"/>
        <w:jc w:val="both"/>
        <w:rPr>
          <w:sz w:val="16"/>
        </w:rPr>
      </w:pPr>
      <w:r>
        <w:rPr>
          <w:sz w:val="16"/>
        </w:rPr>
        <w:t>Cheryta, A. M., Moeljadi, M., &amp; Indrawati, N. K. (2018). Leverage,</w:t>
      </w:r>
      <w:r>
        <w:rPr>
          <w:spacing w:val="40"/>
          <w:sz w:val="16"/>
        </w:rPr>
        <w:t xml:space="preserve"> </w:t>
      </w:r>
      <w:r>
        <w:rPr>
          <w:sz w:val="16"/>
        </w:rPr>
        <w:t>Asymmetric Information, Firm Value, and Cash Holdings in</w:t>
      </w:r>
      <w:r>
        <w:rPr>
          <w:spacing w:val="40"/>
          <w:sz w:val="16"/>
        </w:rPr>
        <w:t xml:space="preserve"> </w:t>
      </w:r>
      <w:r>
        <w:rPr>
          <w:sz w:val="16"/>
        </w:rPr>
        <w:t xml:space="preserve">Indonesia. </w:t>
      </w:r>
      <w:r>
        <w:rPr>
          <w:i/>
          <w:sz w:val="16"/>
        </w:rPr>
        <w:t>Jurnal Keuangan Dan Perbankan</w:t>
      </w:r>
      <w:r>
        <w:rPr>
          <w:sz w:val="16"/>
        </w:rPr>
        <w:t xml:space="preserve">, </w:t>
      </w:r>
      <w:r>
        <w:rPr>
          <w:i/>
          <w:sz w:val="16"/>
        </w:rPr>
        <w:t>22</w:t>
      </w:r>
      <w:r>
        <w:rPr>
          <w:sz w:val="16"/>
        </w:rPr>
        <w:t>(1), 83–93.</w:t>
      </w:r>
      <w:r>
        <w:rPr>
          <w:spacing w:val="40"/>
          <w:sz w:val="16"/>
        </w:rPr>
        <w:t xml:space="preserve"> </w:t>
      </w:r>
      <w:r>
        <w:rPr>
          <w:spacing w:val="-2"/>
          <w:sz w:val="16"/>
        </w:rPr>
        <w:t>https://doi.org/10.26905/jkdp.v22i1.1334.</w:t>
      </w:r>
    </w:p>
    <w:p w14:paraId="5CD29E3E" w14:textId="77777777" w:rsidR="002C2465" w:rsidRDefault="002C2465" w:rsidP="002C2465">
      <w:pPr>
        <w:ind w:left="443" w:right="219" w:hanging="358"/>
        <w:jc w:val="both"/>
        <w:rPr>
          <w:sz w:val="16"/>
        </w:rPr>
      </w:pPr>
      <w:r>
        <w:rPr>
          <w:sz w:val="16"/>
        </w:rPr>
        <w:t>Efni, Y.</w:t>
      </w:r>
      <w:r>
        <w:rPr>
          <w:spacing w:val="-2"/>
          <w:sz w:val="16"/>
        </w:rPr>
        <w:t xml:space="preserve"> </w:t>
      </w:r>
      <w:r>
        <w:rPr>
          <w:sz w:val="16"/>
        </w:rPr>
        <w:t>(2017).</w:t>
      </w:r>
      <w:r>
        <w:rPr>
          <w:spacing w:val="-1"/>
          <w:sz w:val="16"/>
        </w:rPr>
        <w:t xml:space="preserve"> </w:t>
      </w:r>
      <w:r>
        <w:rPr>
          <w:sz w:val="16"/>
        </w:rPr>
        <w:t>The</w:t>
      </w:r>
      <w:r>
        <w:rPr>
          <w:spacing w:val="-2"/>
          <w:sz w:val="16"/>
        </w:rPr>
        <w:t xml:space="preserve"> </w:t>
      </w:r>
      <w:r>
        <w:rPr>
          <w:sz w:val="16"/>
        </w:rPr>
        <w:t>mediating</w:t>
      </w:r>
      <w:r>
        <w:rPr>
          <w:spacing w:val="-2"/>
          <w:sz w:val="16"/>
        </w:rPr>
        <w:t xml:space="preserve"> </w:t>
      </w:r>
      <w:r>
        <w:rPr>
          <w:sz w:val="16"/>
        </w:rPr>
        <w:t>effect</w:t>
      </w:r>
      <w:r>
        <w:rPr>
          <w:spacing w:val="-2"/>
          <w:sz w:val="16"/>
        </w:rPr>
        <w:t xml:space="preserve"> </w:t>
      </w:r>
      <w:r>
        <w:rPr>
          <w:sz w:val="16"/>
        </w:rPr>
        <w:t>of</w:t>
      </w:r>
      <w:r>
        <w:rPr>
          <w:spacing w:val="-1"/>
          <w:sz w:val="16"/>
        </w:rPr>
        <w:t xml:space="preserve"> </w:t>
      </w:r>
      <w:r>
        <w:rPr>
          <w:sz w:val="16"/>
        </w:rPr>
        <w:t>investment</w:t>
      </w:r>
      <w:r>
        <w:rPr>
          <w:spacing w:val="-3"/>
          <w:sz w:val="16"/>
        </w:rPr>
        <w:t xml:space="preserve"> </w:t>
      </w:r>
      <w:r>
        <w:rPr>
          <w:sz w:val="16"/>
        </w:rPr>
        <w:t>decisions</w:t>
      </w:r>
      <w:r>
        <w:rPr>
          <w:spacing w:val="-2"/>
          <w:sz w:val="16"/>
        </w:rPr>
        <w:t xml:space="preserve"> </w:t>
      </w:r>
      <w:r>
        <w:rPr>
          <w:sz w:val="16"/>
        </w:rPr>
        <w:t>and</w:t>
      </w:r>
      <w:r>
        <w:rPr>
          <w:spacing w:val="-2"/>
          <w:sz w:val="16"/>
        </w:rPr>
        <w:t xml:space="preserve"> </w:t>
      </w:r>
      <w:r>
        <w:rPr>
          <w:sz w:val="16"/>
        </w:rPr>
        <w:t>financing</w:t>
      </w:r>
      <w:r>
        <w:rPr>
          <w:spacing w:val="40"/>
          <w:sz w:val="16"/>
        </w:rPr>
        <w:t xml:space="preserve"> </w:t>
      </w:r>
      <w:r>
        <w:rPr>
          <w:sz w:val="16"/>
        </w:rPr>
        <w:t>decisions on the effect of corporate risk and dividend policy against</w:t>
      </w:r>
      <w:r>
        <w:rPr>
          <w:spacing w:val="40"/>
          <w:sz w:val="16"/>
        </w:rPr>
        <w:t xml:space="preserve"> </w:t>
      </w:r>
      <w:r>
        <w:rPr>
          <w:sz w:val="16"/>
        </w:rPr>
        <w:t xml:space="preserve">corporate value. </w:t>
      </w:r>
      <w:r>
        <w:rPr>
          <w:i/>
          <w:sz w:val="16"/>
        </w:rPr>
        <w:t>Investment Management and Financial Innovations</w:t>
      </w:r>
      <w:r>
        <w:rPr>
          <w:sz w:val="16"/>
        </w:rPr>
        <w:t>,</w:t>
      </w:r>
      <w:r>
        <w:rPr>
          <w:spacing w:val="40"/>
          <w:sz w:val="16"/>
        </w:rPr>
        <w:t xml:space="preserve"> </w:t>
      </w:r>
      <w:r>
        <w:rPr>
          <w:i/>
          <w:sz w:val="16"/>
        </w:rPr>
        <w:t>14</w:t>
      </w:r>
      <w:r>
        <w:rPr>
          <w:sz w:val="16"/>
        </w:rPr>
        <w:t>(2), 27–37. https://doi.org/10.21511/imfi.14(2).2017.03.</w:t>
      </w:r>
    </w:p>
    <w:p w14:paraId="170D9920" w14:textId="77777777" w:rsidR="002C2465" w:rsidRDefault="002C2465" w:rsidP="002C2465">
      <w:pPr>
        <w:ind w:left="443" w:right="219" w:hanging="358"/>
        <w:jc w:val="both"/>
        <w:rPr>
          <w:sz w:val="16"/>
        </w:rPr>
      </w:pPr>
      <w:r>
        <w:rPr>
          <w:sz w:val="16"/>
        </w:rPr>
        <w:t>Endri, E., &amp; Fathony, M. (2020). Determinants of firm’s value: Evidence</w:t>
      </w:r>
      <w:r>
        <w:rPr>
          <w:spacing w:val="40"/>
          <w:sz w:val="16"/>
        </w:rPr>
        <w:t xml:space="preserve"> </w:t>
      </w:r>
      <w:r>
        <w:rPr>
          <w:sz w:val="16"/>
        </w:rPr>
        <w:t>from</w:t>
      </w:r>
      <w:r>
        <w:rPr>
          <w:spacing w:val="-2"/>
          <w:sz w:val="16"/>
        </w:rPr>
        <w:t xml:space="preserve"> </w:t>
      </w:r>
      <w:r>
        <w:rPr>
          <w:sz w:val="16"/>
        </w:rPr>
        <w:t>financial</w:t>
      </w:r>
      <w:r>
        <w:rPr>
          <w:spacing w:val="-3"/>
          <w:sz w:val="16"/>
        </w:rPr>
        <w:t xml:space="preserve"> </w:t>
      </w:r>
      <w:r>
        <w:rPr>
          <w:sz w:val="16"/>
        </w:rPr>
        <w:t>industry.</w:t>
      </w:r>
      <w:r>
        <w:rPr>
          <w:spacing w:val="-2"/>
          <w:sz w:val="16"/>
        </w:rPr>
        <w:t xml:space="preserve"> </w:t>
      </w:r>
      <w:r>
        <w:rPr>
          <w:i/>
          <w:sz w:val="16"/>
        </w:rPr>
        <w:t>Management</w:t>
      </w:r>
      <w:r>
        <w:rPr>
          <w:i/>
          <w:spacing w:val="-5"/>
          <w:sz w:val="16"/>
        </w:rPr>
        <w:t xml:space="preserve"> </w:t>
      </w:r>
      <w:r>
        <w:rPr>
          <w:i/>
          <w:sz w:val="16"/>
        </w:rPr>
        <w:t>Science</w:t>
      </w:r>
      <w:r>
        <w:rPr>
          <w:i/>
          <w:spacing w:val="-3"/>
          <w:sz w:val="16"/>
        </w:rPr>
        <w:t xml:space="preserve"> </w:t>
      </w:r>
      <w:r>
        <w:rPr>
          <w:i/>
          <w:sz w:val="16"/>
        </w:rPr>
        <w:t>Letters</w:t>
      </w:r>
      <w:r>
        <w:rPr>
          <w:sz w:val="16"/>
        </w:rPr>
        <w:t>,</w:t>
      </w:r>
      <w:r>
        <w:rPr>
          <w:spacing w:val="-5"/>
          <w:sz w:val="16"/>
        </w:rPr>
        <w:t xml:space="preserve"> </w:t>
      </w:r>
      <w:r>
        <w:rPr>
          <w:i/>
          <w:sz w:val="16"/>
        </w:rPr>
        <w:t>10</w:t>
      </w:r>
      <w:r>
        <w:rPr>
          <w:sz w:val="16"/>
        </w:rPr>
        <w:t>(1),</w:t>
      </w:r>
      <w:r>
        <w:rPr>
          <w:spacing w:val="-6"/>
          <w:sz w:val="16"/>
        </w:rPr>
        <w:t xml:space="preserve"> </w:t>
      </w:r>
      <w:r>
        <w:rPr>
          <w:sz w:val="16"/>
        </w:rPr>
        <w:t>111–120.</w:t>
      </w:r>
      <w:r>
        <w:rPr>
          <w:spacing w:val="40"/>
          <w:sz w:val="16"/>
        </w:rPr>
        <w:t xml:space="preserve"> </w:t>
      </w:r>
      <w:r>
        <w:rPr>
          <w:spacing w:val="-2"/>
          <w:sz w:val="16"/>
        </w:rPr>
        <w:t>https://doi.org/10.5267/j.msl.2019.8.011.</w:t>
      </w:r>
    </w:p>
    <w:p w14:paraId="7FB829FA" w14:textId="77777777" w:rsidR="002C2465" w:rsidRDefault="002C2465" w:rsidP="002C2465">
      <w:pPr>
        <w:ind w:left="443" w:hanging="358"/>
        <w:rPr>
          <w:sz w:val="16"/>
        </w:rPr>
      </w:pPr>
      <w:r>
        <w:rPr>
          <w:sz w:val="16"/>
        </w:rPr>
        <w:t>Florentina,</w:t>
      </w:r>
      <w:r>
        <w:rPr>
          <w:spacing w:val="40"/>
          <w:sz w:val="16"/>
        </w:rPr>
        <w:t xml:space="preserve"> </w:t>
      </w:r>
      <w:r>
        <w:rPr>
          <w:sz w:val="16"/>
        </w:rPr>
        <w:t>I.</w:t>
      </w:r>
      <w:r>
        <w:rPr>
          <w:spacing w:val="40"/>
          <w:sz w:val="16"/>
        </w:rPr>
        <w:t xml:space="preserve"> </w:t>
      </w:r>
      <w:r>
        <w:rPr>
          <w:sz w:val="16"/>
        </w:rPr>
        <w:t>E.</w:t>
      </w:r>
      <w:r>
        <w:rPr>
          <w:spacing w:val="40"/>
          <w:sz w:val="16"/>
        </w:rPr>
        <w:t xml:space="preserve"> </w:t>
      </w:r>
      <w:r>
        <w:rPr>
          <w:sz w:val="16"/>
        </w:rPr>
        <w:t>(2013).</w:t>
      </w:r>
      <w:r>
        <w:rPr>
          <w:spacing w:val="40"/>
          <w:sz w:val="16"/>
        </w:rPr>
        <w:t xml:space="preserve"> </w:t>
      </w:r>
      <w:r>
        <w:rPr>
          <w:sz w:val="16"/>
        </w:rPr>
        <w:t>Interdependensi</w:t>
      </w:r>
      <w:r>
        <w:rPr>
          <w:spacing w:val="40"/>
          <w:sz w:val="16"/>
        </w:rPr>
        <w:t xml:space="preserve"> </w:t>
      </w:r>
      <w:r>
        <w:rPr>
          <w:sz w:val="16"/>
        </w:rPr>
        <w:t>Antara</w:t>
      </w:r>
      <w:r>
        <w:rPr>
          <w:spacing w:val="40"/>
          <w:sz w:val="16"/>
        </w:rPr>
        <w:t xml:space="preserve"> </w:t>
      </w:r>
      <w:r>
        <w:rPr>
          <w:sz w:val="16"/>
        </w:rPr>
        <w:t>Insider</w:t>
      </w:r>
      <w:r>
        <w:rPr>
          <w:spacing w:val="40"/>
          <w:sz w:val="16"/>
        </w:rPr>
        <w:t xml:space="preserve"> </w:t>
      </w:r>
      <w:r>
        <w:rPr>
          <w:sz w:val="16"/>
        </w:rPr>
        <w:t>Ownership,</w:t>
      </w:r>
      <w:r>
        <w:rPr>
          <w:spacing w:val="80"/>
          <w:sz w:val="16"/>
        </w:rPr>
        <w:t xml:space="preserve"> </w:t>
      </w:r>
      <w:r>
        <w:rPr>
          <w:sz w:val="16"/>
        </w:rPr>
        <w:t>Keputusan</w:t>
      </w:r>
      <w:r>
        <w:rPr>
          <w:spacing w:val="40"/>
          <w:sz w:val="16"/>
        </w:rPr>
        <w:t xml:space="preserve"> </w:t>
      </w:r>
      <w:r>
        <w:rPr>
          <w:sz w:val="16"/>
        </w:rPr>
        <w:t>Investasi,</w:t>
      </w:r>
      <w:r>
        <w:rPr>
          <w:spacing w:val="40"/>
          <w:sz w:val="16"/>
        </w:rPr>
        <w:t xml:space="preserve"> </w:t>
      </w:r>
      <w:r>
        <w:rPr>
          <w:sz w:val="16"/>
        </w:rPr>
        <w:t>Dan</w:t>
      </w:r>
      <w:r>
        <w:rPr>
          <w:spacing w:val="40"/>
          <w:sz w:val="16"/>
        </w:rPr>
        <w:t xml:space="preserve"> </w:t>
      </w:r>
      <w:r>
        <w:rPr>
          <w:sz w:val="16"/>
        </w:rPr>
        <w:t>Risiko</w:t>
      </w:r>
      <w:r>
        <w:rPr>
          <w:spacing w:val="40"/>
          <w:sz w:val="16"/>
        </w:rPr>
        <w:t xml:space="preserve"> </w:t>
      </w:r>
      <w:r>
        <w:rPr>
          <w:sz w:val="16"/>
        </w:rPr>
        <w:t>Bisnis.</w:t>
      </w:r>
      <w:r>
        <w:rPr>
          <w:spacing w:val="40"/>
          <w:sz w:val="16"/>
        </w:rPr>
        <w:t xml:space="preserve"> </w:t>
      </w:r>
      <w:r>
        <w:rPr>
          <w:i/>
          <w:sz w:val="16"/>
        </w:rPr>
        <w:t>Jurnal</w:t>
      </w:r>
      <w:r>
        <w:rPr>
          <w:i/>
          <w:spacing w:val="40"/>
          <w:sz w:val="16"/>
        </w:rPr>
        <w:t xml:space="preserve"> </w:t>
      </w:r>
      <w:r>
        <w:rPr>
          <w:i/>
          <w:sz w:val="16"/>
        </w:rPr>
        <w:t>Keuangan</w:t>
      </w:r>
      <w:r>
        <w:rPr>
          <w:i/>
          <w:spacing w:val="40"/>
          <w:sz w:val="16"/>
        </w:rPr>
        <w:t xml:space="preserve"> </w:t>
      </w:r>
      <w:r>
        <w:rPr>
          <w:i/>
          <w:sz w:val="16"/>
        </w:rPr>
        <w:t>Dan</w:t>
      </w:r>
      <w:r>
        <w:rPr>
          <w:i/>
          <w:spacing w:val="40"/>
          <w:sz w:val="16"/>
        </w:rPr>
        <w:t xml:space="preserve"> </w:t>
      </w:r>
      <w:r>
        <w:rPr>
          <w:i/>
          <w:sz w:val="16"/>
        </w:rPr>
        <w:t>Perbankan</w:t>
      </w:r>
      <w:r>
        <w:rPr>
          <w:sz w:val="16"/>
        </w:rPr>
        <w:t xml:space="preserve">, </w:t>
      </w:r>
      <w:r>
        <w:rPr>
          <w:i/>
          <w:sz w:val="16"/>
        </w:rPr>
        <w:t>17</w:t>
      </w:r>
      <w:r>
        <w:rPr>
          <w:sz w:val="16"/>
        </w:rPr>
        <w:t>(1), 50–60.</w:t>
      </w:r>
      <w:r>
        <w:rPr>
          <w:spacing w:val="40"/>
          <w:sz w:val="16"/>
        </w:rPr>
        <w:t xml:space="preserve"> </w:t>
      </w:r>
      <w:hyperlink r:id="rId9">
        <w:r>
          <w:rPr>
            <w:spacing w:val="-2"/>
            <w:sz w:val="16"/>
          </w:rPr>
          <w:t>http://jurnal.unmer.ac.id/index.php/jkdp/article/view/725/387.</w:t>
        </w:r>
      </w:hyperlink>
    </w:p>
    <w:p w14:paraId="572F555A" w14:textId="77777777" w:rsidR="002C2465" w:rsidRDefault="002C2465" w:rsidP="002C2465">
      <w:pPr>
        <w:ind w:left="443" w:right="220" w:hanging="358"/>
        <w:jc w:val="both"/>
        <w:rPr>
          <w:sz w:val="16"/>
        </w:rPr>
      </w:pPr>
      <w:r>
        <w:rPr>
          <w:sz w:val="16"/>
        </w:rPr>
        <w:t>Harnovinsah, H., &amp; Alamsyah, S. (2017).</w:t>
      </w:r>
      <w:r>
        <w:rPr>
          <w:spacing w:val="-1"/>
          <w:sz w:val="16"/>
        </w:rPr>
        <w:t xml:space="preserve"> </w:t>
      </w:r>
      <w:r>
        <w:rPr>
          <w:sz w:val="16"/>
        </w:rPr>
        <w:t>the Mediation Influence of Value</w:t>
      </w:r>
      <w:r>
        <w:rPr>
          <w:spacing w:val="40"/>
          <w:sz w:val="16"/>
        </w:rPr>
        <w:t xml:space="preserve"> </w:t>
      </w:r>
      <w:r>
        <w:rPr>
          <w:sz w:val="16"/>
        </w:rPr>
        <w:t>Relevance of Accounting Information, Investment Decision and</w:t>
      </w:r>
      <w:r>
        <w:rPr>
          <w:spacing w:val="40"/>
          <w:sz w:val="16"/>
        </w:rPr>
        <w:t xml:space="preserve"> </w:t>
      </w:r>
      <w:r>
        <w:rPr>
          <w:sz w:val="16"/>
        </w:rPr>
        <w:t>Dividend Policy on the Relationship Between Profitability and the</w:t>
      </w:r>
      <w:r>
        <w:rPr>
          <w:spacing w:val="40"/>
          <w:sz w:val="16"/>
        </w:rPr>
        <w:t xml:space="preserve"> </w:t>
      </w:r>
      <w:r>
        <w:rPr>
          <w:sz w:val="16"/>
        </w:rPr>
        <w:t xml:space="preserve">Company’S Value. </w:t>
      </w:r>
      <w:r>
        <w:rPr>
          <w:i/>
          <w:sz w:val="16"/>
        </w:rPr>
        <w:t>Jurnal Akuntansi</w:t>
      </w:r>
      <w:r>
        <w:rPr>
          <w:sz w:val="16"/>
        </w:rPr>
        <w:t xml:space="preserve">, </w:t>
      </w:r>
      <w:r>
        <w:rPr>
          <w:i/>
          <w:sz w:val="16"/>
        </w:rPr>
        <w:t>21</w:t>
      </w:r>
      <w:r>
        <w:rPr>
          <w:sz w:val="16"/>
        </w:rPr>
        <w:t>(2), 170.</w:t>
      </w:r>
      <w:r>
        <w:rPr>
          <w:spacing w:val="40"/>
          <w:sz w:val="16"/>
        </w:rPr>
        <w:t xml:space="preserve"> </w:t>
      </w:r>
      <w:r>
        <w:rPr>
          <w:spacing w:val="-2"/>
          <w:sz w:val="16"/>
        </w:rPr>
        <w:t>https://doi.org/10.24912/ja.v21i2.193.</w:t>
      </w:r>
    </w:p>
    <w:p w14:paraId="4DEA4F83" w14:textId="77777777" w:rsidR="002C2465" w:rsidRDefault="002C2465" w:rsidP="002C2465">
      <w:pPr>
        <w:ind w:left="443" w:right="221" w:hanging="358"/>
        <w:jc w:val="both"/>
        <w:rPr>
          <w:sz w:val="16"/>
        </w:rPr>
      </w:pPr>
      <w:r>
        <w:rPr>
          <w:sz w:val="16"/>
        </w:rPr>
        <w:t xml:space="preserve">Harventy, G. (2016). Pengaruh Tax Avoidance. </w:t>
      </w:r>
      <w:r>
        <w:rPr>
          <w:i/>
          <w:sz w:val="16"/>
        </w:rPr>
        <w:t>Jurnal Reviu Akuntansi</w:t>
      </w:r>
      <w:r>
        <w:rPr>
          <w:i/>
          <w:spacing w:val="40"/>
          <w:sz w:val="16"/>
        </w:rPr>
        <w:t xml:space="preserve"> </w:t>
      </w:r>
      <w:r>
        <w:rPr>
          <w:i/>
          <w:sz w:val="16"/>
        </w:rPr>
        <w:t>Dan Keuangan</w:t>
      </w:r>
      <w:r>
        <w:rPr>
          <w:sz w:val="16"/>
        </w:rPr>
        <w:t xml:space="preserve">, </w:t>
      </w:r>
      <w:r>
        <w:rPr>
          <w:i/>
          <w:sz w:val="16"/>
        </w:rPr>
        <w:t>6</w:t>
      </w:r>
      <w:r>
        <w:rPr>
          <w:sz w:val="16"/>
        </w:rPr>
        <w:t>(2), 895–906.</w:t>
      </w:r>
    </w:p>
    <w:p w14:paraId="30F92B0F" w14:textId="77777777" w:rsidR="002C2465" w:rsidRDefault="002C2465" w:rsidP="002C2465">
      <w:pPr>
        <w:ind w:left="443" w:right="220" w:hanging="358"/>
        <w:jc w:val="both"/>
        <w:rPr>
          <w:sz w:val="16"/>
        </w:rPr>
      </w:pPr>
      <w:r>
        <w:rPr>
          <w:sz w:val="16"/>
        </w:rPr>
        <w:t>Hermawan, S., &amp; Maf’ulah, A. N. (2014). Pengaruh Kinerja Keuangan</w:t>
      </w:r>
      <w:r>
        <w:rPr>
          <w:spacing w:val="40"/>
          <w:sz w:val="16"/>
        </w:rPr>
        <w:t xml:space="preserve"> </w:t>
      </w:r>
      <w:r>
        <w:rPr>
          <w:sz w:val="16"/>
        </w:rPr>
        <w:t>terhadap Nilai Perusahaan dengan Pengungkapan Corporate Social</w:t>
      </w:r>
      <w:r>
        <w:rPr>
          <w:spacing w:val="40"/>
          <w:sz w:val="16"/>
        </w:rPr>
        <w:t xml:space="preserve"> </w:t>
      </w:r>
      <w:r>
        <w:rPr>
          <w:sz w:val="16"/>
        </w:rPr>
        <w:t xml:space="preserve">Responsibility sebagai Variabel Pemoderasi. </w:t>
      </w:r>
      <w:r>
        <w:rPr>
          <w:i/>
          <w:sz w:val="16"/>
        </w:rPr>
        <w:t>Jurnal Dinamika</w:t>
      </w:r>
      <w:r>
        <w:rPr>
          <w:i/>
          <w:spacing w:val="40"/>
          <w:sz w:val="16"/>
        </w:rPr>
        <w:t xml:space="preserve"> </w:t>
      </w:r>
      <w:r>
        <w:rPr>
          <w:i/>
          <w:sz w:val="16"/>
        </w:rPr>
        <w:t>Akuntansi</w:t>
      </w:r>
      <w:r>
        <w:rPr>
          <w:sz w:val="16"/>
        </w:rPr>
        <w:t xml:space="preserve">, </w:t>
      </w:r>
      <w:r>
        <w:rPr>
          <w:i/>
          <w:sz w:val="16"/>
        </w:rPr>
        <w:t>6</w:t>
      </w:r>
      <w:r>
        <w:rPr>
          <w:sz w:val="16"/>
        </w:rPr>
        <w:t>(2), 103–118. https://doi.org/10.15294/jda.v6i2.3250.</w:t>
      </w:r>
    </w:p>
    <w:p w14:paraId="61F5A973" w14:textId="77777777" w:rsidR="002C2465" w:rsidRDefault="002C2465" w:rsidP="002C2465">
      <w:pPr>
        <w:ind w:left="443" w:right="220" w:hanging="358"/>
        <w:jc w:val="both"/>
        <w:rPr>
          <w:sz w:val="16"/>
        </w:rPr>
      </w:pPr>
      <w:r>
        <w:rPr>
          <w:sz w:val="16"/>
        </w:rPr>
        <w:t>Hermuningsih, S. (2013). Pengaruh profitabilitas, growth opportunity,</w:t>
      </w:r>
      <w:r>
        <w:rPr>
          <w:spacing w:val="40"/>
          <w:sz w:val="16"/>
        </w:rPr>
        <w:t xml:space="preserve"> </w:t>
      </w:r>
      <w:r>
        <w:rPr>
          <w:sz w:val="16"/>
        </w:rPr>
        <w:t>struktur modal terhadap nilai perusahaan pada perusahaan publik di</w:t>
      </w:r>
      <w:r>
        <w:rPr>
          <w:spacing w:val="40"/>
          <w:sz w:val="16"/>
        </w:rPr>
        <w:t xml:space="preserve"> </w:t>
      </w:r>
      <w:r>
        <w:rPr>
          <w:sz w:val="16"/>
        </w:rPr>
        <w:t xml:space="preserve">Indonesia. </w:t>
      </w:r>
      <w:r>
        <w:rPr>
          <w:i/>
          <w:sz w:val="16"/>
        </w:rPr>
        <w:t>Buletin Ekonomi Moneter Dan Perbankan</w:t>
      </w:r>
      <w:r>
        <w:rPr>
          <w:sz w:val="16"/>
        </w:rPr>
        <w:t xml:space="preserve">, </w:t>
      </w:r>
      <w:r>
        <w:rPr>
          <w:i/>
          <w:sz w:val="16"/>
        </w:rPr>
        <w:t>16</w:t>
      </w:r>
      <w:r>
        <w:rPr>
          <w:sz w:val="16"/>
        </w:rPr>
        <w:t>(2), 127–</w:t>
      </w:r>
      <w:r>
        <w:rPr>
          <w:spacing w:val="40"/>
          <w:sz w:val="16"/>
        </w:rPr>
        <w:t xml:space="preserve"> </w:t>
      </w:r>
      <w:r>
        <w:rPr>
          <w:spacing w:val="-4"/>
          <w:sz w:val="16"/>
        </w:rPr>
        <w:t>148.</w:t>
      </w:r>
    </w:p>
    <w:p w14:paraId="28729A2A" w14:textId="77777777" w:rsidR="002C2465" w:rsidRDefault="002C2465" w:rsidP="002C2465">
      <w:pPr>
        <w:ind w:left="443" w:right="219" w:hanging="358"/>
        <w:jc w:val="both"/>
        <w:rPr>
          <w:sz w:val="16"/>
        </w:rPr>
      </w:pPr>
      <w:r>
        <w:rPr>
          <w:sz w:val="16"/>
        </w:rPr>
        <w:t>Jariah, A. (2016). Likuiditas, Leverage, Profitabilitas Pengaruhnyaterhadap</w:t>
      </w:r>
      <w:r>
        <w:rPr>
          <w:spacing w:val="40"/>
          <w:sz w:val="16"/>
        </w:rPr>
        <w:t xml:space="preserve"> </w:t>
      </w:r>
      <w:r>
        <w:rPr>
          <w:sz w:val="16"/>
        </w:rPr>
        <w:t>Nilai Perusahaan Manufaktur Di Indonesia Melalui Kebijakan</w:t>
      </w:r>
      <w:r>
        <w:rPr>
          <w:spacing w:val="40"/>
          <w:sz w:val="16"/>
        </w:rPr>
        <w:t xml:space="preserve"> </w:t>
      </w:r>
      <w:r>
        <w:rPr>
          <w:sz w:val="16"/>
        </w:rPr>
        <w:t xml:space="preserve">Deviden. </w:t>
      </w:r>
      <w:r>
        <w:rPr>
          <w:i/>
          <w:sz w:val="16"/>
        </w:rPr>
        <w:t>Riset Akuntansi Dan Keuangan Indonesia</w:t>
      </w:r>
      <w:r>
        <w:rPr>
          <w:sz w:val="16"/>
        </w:rPr>
        <w:t xml:space="preserve">, </w:t>
      </w:r>
      <w:r>
        <w:rPr>
          <w:i/>
          <w:sz w:val="16"/>
        </w:rPr>
        <w:t>1</w:t>
      </w:r>
      <w:r>
        <w:rPr>
          <w:sz w:val="16"/>
        </w:rPr>
        <w:t>(2), 108–118.</w:t>
      </w:r>
      <w:r>
        <w:rPr>
          <w:spacing w:val="40"/>
          <w:sz w:val="16"/>
        </w:rPr>
        <w:t xml:space="preserve"> </w:t>
      </w:r>
      <w:r>
        <w:rPr>
          <w:spacing w:val="-2"/>
          <w:sz w:val="16"/>
        </w:rPr>
        <w:t>https://doi.org/10.23917/reaksi.v1i2.2727.</w:t>
      </w:r>
    </w:p>
    <w:p w14:paraId="4F90FAA0" w14:textId="77777777" w:rsidR="002C2465" w:rsidRDefault="002C2465" w:rsidP="002C2465">
      <w:pPr>
        <w:ind w:left="443" w:right="219" w:hanging="358"/>
        <w:jc w:val="both"/>
        <w:rPr>
          <w:sz w:val="16"/>
        </w:rPr>
      </w:pPr>
      <w:r>
        <w:rPr>
          <w:sz w:val="16"/>
        </w:rPr>
        <w:t>Jihadi, M., Vilantika, E., Hashemi, S. M., Arifin, Z., Bachtiar, Y., &amp;</w:t>
      </w:r>
      <w:r>
        <w:rPr>
          <w:spacing w:val="40"/>
          <w:sz w:val="16"/>
        </w:rPr>
        <w:t xml:space="preserve"> </w:t>
      </w:r>
      <w:r>
        <w:rPr>
          <w:sz w:val="16"/>
        </w:rPr>
        <w:t>Sholichah, F. (2021). The Effect of Liquidity, Leverage, and</w:t>
      </w:r>
      <w:r>
        <w:rPr>
          <w:spacing w:val="40"/>
          <w:sz w:val="16"/>
        </w:rPr>
        <w:t xml:space="preserve"> </w:t>
      </w:r>
      <w:r>
        <w:rPr>
          <w:sz w:val="16"/>
        </w:rPr>
        <w:t>Profitability on Firm Value: Empirical Evidence from Indonesia.</w:t>
      </w:r>
      <w:r>
        <w:rPr>
          <w:spacing w:val="40"/>
          <w:sz w:val="16"/>
        </w:rPr>
        <w:t xml:space="preserve"> </w:t>
      </w:r>
      <w:r>
        <w:rPr>
          <w:i/>
          <w:sz w:val="16"/>
        </w:rPr>
        <w:t>Journal of Asian Finance, Economics and Business</w:t>
      </w:r>
      <w:r>
        <w:rPr>
          <w:sz w:val="16"/>
        </w:rPr>
        <w:t xml:space="preserve">, </w:t>
      </w:r>
      <w:r>
        <w:rPr>
          <w:i/>
          <w:sz w:val="16"/>
        </w:rPr>
        <w:t>8</w:t>
      </w:r>
      <w:r>
        <w:rPr>
          <w:sz w:val="16"/>
        </w:rPr>
        <w:t>(3), 423–431.</w:t>
      </w:r>
      <w:r>
        <w:rPr>
          <w:spacing w:val="40"/>
          <w:sz w:val="16"/>
        </w:rPr>
        <w:t xml:space="preserve"> </w:t>
      </w:r>
      <w:r>
        <w:rPr>
          <w:spacing w:val="-2"/>
          <w:sz w:val="16"/>
        </w:rPr>
        <w:t>https://doi.org/10.13106/jafeb.2021.vol8.no3.0423.</w:t>
      </w:r>
    </w:p>
    <w:p w14:paraId="07EB9CE7" w14:textId="77777777" w:rsidR="002C2465" w:rsidRDefault="002C2465" w:rsidP="002C2465">
      <w:pPr>
        <w:ind w:left="443" w:right="220" w:hanging="358"/>
        <w:jc w:val="both"/>
        <w:rPr>
          <w:sz w:val="16"/>
        </w:rPr>
      </w:pPr>
      <w:r>
        <w:rPr>
          <w:sz w:val="16"/>
        </w:rPr>
        <w:t>Kadim, A., Sunardi, N., &amp; Husain, T. (2020). The modeling firm’s value</w:t>
      </w:r>
      <w:r>
        <w:rPr>
          <w:spacing w:val="40"/>
          <w:sz w:val="16"/>
        </w:rPr>
        <w:t xml:space="preserve"> </w:t>
      </w:r>
      <w:r>
        <w:rPr>
          <w:sz w:val="16"/>
        </w:rPr>
        <w:t>based on financial ratios, intellectual capital and dividend policy.</w:t>
      </w:r>
      <w:r>
        <w:rPr>
          <w:spacing w:val="40"/>
          <w:sz w:val="16"/>
        </w:rPr>
        <w:t xml:space="preserve"> </w:t>
      </w:r>
      <w:r>
        <w:rPr>
          <w:i/>
          <w:sz w:val="16"/>
        </w:rPr>
        <w:t>Accounting</w:t>
      </w:r>
      <w:r>
        <w:rPr>
          <w:sz w:val="16"/>
        </w:rPr>
        <w:t xml:space="preserve">, </w:t>
      </w:r>
      <w:r>
        <w:rPr>
          <w:i/>
          <w:sz w:val="16"/>
        </w:rPr>
        <w:t>6</w:t>
      </w:r>
      <w:r>
        <w:rPr>
          <w:sz w:val="16"/>
        </w:rPr>
        <w:t>(5), 859–870. https://doi.org/10.5267/j.ac.2020.5.008.</w:t>
      </w:r>
    </w:p>
    <w:p w14:paraId="74EEF60C" w14:textId="77777777" w:rsidR="002C2465" w:rsidRDefault="002C2465" w:rsidP="002C2465">
      <w:pPr>
        <w:ind w:left="443" w:right="220" w:hanging="358"/>
        <w:jc w:val="both"/>
        <w:rPr>
          <w:sz w:val="16"/>
        </w:rPr>
      </w:pPr>
      <w:r>
        <w:rPr>
          <w:sz w:val="16"/>
        </w:rPr>
        <w:t>Kellen, P. B. (2011). Struktur Kepemilikan, Profitabilitas, Dan Risiko</w:t>
      </w:r>
      <w:r>
        <w:rPr>
          <w:spacing w:val="40"/>
          <w:sz w:val="16"/>
        </w:rPr>
        <w:t xml:space="preserve"> </w:t>
      </w:r>
      <w:r>
        <w:rPr>
          <w:sz w:val="16"/>
        </w:rPr>
        <w:t xml:space="preserve">Perusahaan Terhadap Struktur Modal Dan Nilai Perusahaan. </w:t>
      </w:r>
      <w:r>
        <w:rPr>
          <w:i/>
          <w:sz w:val="16"/>
        </w:rPr>
        <w:t>Jurnal</w:t>
      </w:r>
      <w:r>
        <w:rPr>
          <w:i/>
          <w:spacing w:val="40"/>
          <w:sz w:val="16"/>
        </w:rPr>
        <w:t xml:space="preserve"> </w:t>
      </w:r>
      <w:r>
        <w:rPr>
          <w:i/>
          <w:sz w:val="16"/>
        </w:rPr>
        <w:t>Keuangan Dan Perbankan</w:t>
      </w:r>
      <w:r>
        <w:rPr>
          <w:sz w:val="16"/>
        </w:rPr>
        <w:t xml:space="preserve">, </w:t>
      </w:r>
      <w:r>
        <w:rPr>
          <w:i/>
          <w:sz w:val="16"/>
        </w:rPr>
        <w:t>15</w:t>
      </w:r>
      <w:r>
        <w:rPr>
          <w:sz w:val="16"/>
        </w:rPr>
        <w:t>(1), 201–212.</w:t>
      </w:r>
    </w:p>
    <w:p w14:paraId="0E622A0A" w14:textId="77777777" w:rsidR="002C2465" w:rsidRDefault="002C2465" w:rsidP="002C2465">
      <w:pPr>
        <w:ind w:left="443" w:right="221" w:hanging="358"/>
        <w:jc w:val="both"/>
        <w:rPr>
          <w:sz w:val="16"/>
        </w:rPr>
      </w:pPr>
      <w:r>
        <w:rPr>
          <w:sz w:val="16"/>
        </w:rPr>
        <w:t>Kim, J. M., Yang, I., Yang, T., &amp; Koveos, P. (2020). The impact of R&amp;D</w:t>
      </w:r>
      <w:r>
        <w:rPr>
          <w:spacing w:val="40"/>
          <w:sz w:val="16"/>
        </w:rPr>
        <w:t xml:space="preserve"> </w:t>
      </w:r>
      <w:r>
        <w:rPr>
          <w:sz w:val="16"/>
        </w:rPr>
        <w:t>intensity, financial constraints, and dividend payout policy on firm</w:t>
      </w:r>
      <w:r>
        <w:rPr>
          <w:spacing w:val="40"/>
          <w:sz w:val="16"/>
        </w:rPr>
        <w:t xml:space="preserve"> </w:t>
      </w:r>
      <w:r>
        <w:rPr>
          <w:sz w:val="16"/>
        </w:rPr>
        <w:t xml:space="preserve">value. </w:t>
      </w:r>
      <w:r>
        <w:rPr>
          <w:i/>
          <w:sz w:val="16"/>
        </w:rPr>
        <w:t>Finance Research Letters</w:t>
      </w:r>
      <w:r>
        <w:rPr>
          <w:sz w:val="16"/>
        </w:rPr>
        <w:t xml:space="preserve">, </w:t>
      </w:r>
      <w:r>
        <w:rPr>
          <w:i/>
          <w:sz w:val="16"/>
        </w:rPr>
        <w:t>40</w:t>
      </w:r>
      <w:r>
        <w:rPr>
          <w:sz w:val="16"/>
        </w:rPr>
        <w:t>(April 2020), 101802.</w:t>
      </w:r>
      <w:r>
        <w:rPr>
          <w:spacing w:val="40"/>
          <w:sz w:val="16"/>
        </w:rPr>
        <w:t xml:space="preserve"> </w:t>
      </w:r>
      <w:r>
        <w:rPr>
          <w:spacing w:val="-2"/>
          <w:sz w:val="16"/>
        </w:rPr>
        <w:t>https://doi.org/10.1016/j.frl.2020.101802.</w:t>
      </w:r>
    </w:p>
    <w:p w14:paraId="66F388E3" w14:textId="77777777" w:rsidR="002C2465" w:rsidRDefault="002C2465" w:rsidP="002C2465">
      <w:pPr>
        <w:ind w:left="443" w:right="220" w:hanging="358"/>
        <w:jc w:val="both"/>
        <w:rPr>
          <w:sz w:val="16"/>
        </w:rPr>
      </w:pPr>
      <w:r>
        <w:rPr>
          <w:sz w:val="16"/>
        </w:rPr>
        <w:t>Lisa, O. (2017). Company Value Determinants Study on Manufacturing</w:t>
      </w:r>
      <w:r>
        <w:rPr>
          <w:spacing w:val="40"/>
          <w:sz w:val="16"/>
        </w:rPr>
        <w:t xml:space="preserve"> </w:t>
      </w:r>
      <w:r>
        <w:rPr>
          <w:sz w:val="16"/>
        </w:rPr>
        <w:t xml:space="preserve">Company Listed in Indonesia Stock Exchange. </w:t>
      </w:r>
      <w:r>
        <w:rPr>
          <w:i/>
          <w:sz w:val="16"/>
        </w:rPr>
        <w:t>JEMA: Jurnal Ilmiah</w:t>
      </w:r>
      <w:r>
        <w:rPr>
          <w:i/>
          <w:spacing w:val="40"/>
          <w:sz w:val="16"/>
        </w:rPr>
        <w:t xml:space="preserve"> </w:t>
      </w:r>
      <w:r>
        <w:rPr>
          <w:i/>
          <w:sz w:val="16"/>
        </w:rPr>
        <w:t>Bidang Akuntansi Dan Manajemen</w:t>
      </w:r>
      <w:r>
        <w:rPr>
          <w:sz w:val="16"/>
        </w:rPr>
        <w:t xml:space="preserve">, </w:t>
      </w:r>
      <w:r>
        <w:rPr>
          <w:i/>
          <w:sz w:val="16"/>
        </w:rPr>
        <w:t>14</w:t>
      </w:r>
      <w:r>
        <w:rPr>
          <w:sz w:val="16"/>
        </w:rPr>
        <w:t>(02), 111.</w:t>
      </w:r>
      <w:r>
        <w:rPr>
          <w:spacing w:val="40"/>
          <w:sz w:val="16"/>
        </w:rPr>
        <w:t xml:space="preserve"> </w:t>
      </w:r>
      <w:r>
        <w:rPr>
          <w:spacing w:val="-2"/>
          <w:sz w:val="16"/>
        </w:rPr>
        <w:t>https://doi.org/10.31106/jema.v14i02.577.</w:t>
      </w:r>
    </w:p>
    <w:p w14:paraId="27D762B4" w14:textId="77777777" w:rsidR="002C2465" w:rsidRDefault="002C2465" w:rsidP="002C2465">
      <w:pPr>
        <w:spacing w:before="1"/>
        <w:ind w:left="443" w:right="222" w:hanging="358"/>
        <w:jc w:val="both"/>
        <w:rPr>
          <w:sz w:val="16"/>
        </w:rPr>
      </w:pPr>
      <w:r>
        <w:rPr>
          <w:sz w:val="16"/>
        </w:rPr>
        <w:t>Mai, M. U. (2017). Pengaruh Corporate Governance Mechanism Terhadap</w:t>
      </w:r>
      <w:r>
        <w:rPr>
          <w:spacing w:val="40"/>
          <w:sz w:val="16"/>
        </w:rPr>
        <w:t xml:space="preserve"> </w:t>
      </w:r>
      <w:r>
        <w:rPr>
          <w:sz w:val="16"/>
        </w:rPr>
        <w:t>Nilai Perusahaan Melalui Pertumbuhan, Profitabilitas Dan Kebijakan</w:t>
      </w:r>
    </w:p>
    <w:p w14:paraId="0CF25EFF" w14:textId="77777777" w:rsidR="002C2465" w:rsidRDefault="002C2465" w:rsidP="002C2465">
      <w:pPr>
        <w:jc w:val="both"/>
        <w:rPr>
          <w:sz w:val="16"/>
        </w:rPr>
        <w:sectPr w:rsidR="002C2465" w:rsidSect="002C2465">
          <w:pgSz w:w="11910" w:h="16840"/>
          <w:pgMar w:top="900" w:right="708" w:bottom="680" w:left="850" w:header="14" w:footer="481" w:gutter="0"/>
          <w:cols w:num="2" w:space="720" w:equalWidth="0">
            <w:col w:w="5006" w:space="155"/>
            <w:col w:w="5191"/>
          </w:cols>
        </w:sectPr>
      </w:pPr>
    </w:p>
    <w:p w14:paraId="49331AAD" w14:textId="77777777" w:rsidR="002C2465" w:rsidRDefault="002C2465" w:rsidP="002C2465">
      <w:pPr>
        <w:spacing w:before="103"/>
        <w:ind w:left="444" w:right="2065"/>
        <w:rPr>
          <w:sz w:val="16"/>
        </w:rPr>
      </w:pPr>
      <w:r>
        <w:rPr>
          <w:sz w:val="16"/>
        </w:rPr>
        <w:lastRenderedPageBreak/>
        <w:t>Dividen.</w:t>
      </w:r>
      <w:r>
        <w:rPr>
          <w:spacing w:val="40"/>
          <w:sz w:val="16"/>
        </w:rPr>
        <w:t xml:space="preserve"> </w:t>
      </w:r>
      <w:r>
        <w:rPr>
          <w:i/>
          <w:sz w:val="16"/>
        </w:rPr>
        <w:t>EKUITAS</w:t>
      </w:r>
      <w:r>
        <w:rPr>
          <w:i/>
          <w:spacing w:val="40"/>
          <w:sz w:val="16"/>
        </w:rPr>
        <w:t xml:space="preserve"> </w:t>
      </w:r>
      <w:r>
        <w:rPr>
          <w:i/>
          <w:sz w:val="16"/>
        </w:rPr>
        <w:t>(Jurnal</w:t>
      </w:r>
      <w:r>
        <w:rPr>
          <w:i/>
          <w:spacing w:val="40"/>
          <w:sz w:val="16"/>
        </w:rPr>
        <w:t xml:space="preserve"> </w:t>
      </w:r>
      <w:r>
        <w:rPr>
          <w:i/>
          <w:sz w:val="16"/>
        </w:rPr>
        <w:t>Ekonomi</w:t>
      </w:r>
      <w:r>
        <w:rPr>
          <w:i/>
          <w:spacing w:val="40"/>
          <w:sz w:val="16"/>
        </w:rPr>
        <w:t xml:space="preserve"> </w:t>
      </w:r>
      <w:r>
        <w:rPr>
          <w:i/>
          <w:sz w:val="16"/>
        </w:rPr>
        <w:t>Dan</w:t>
      </w:r>
      <w:r>
        <w:rPr>
          <w:i/>
          <w:spacing w:val="40"/>
          <w:sz w:val="16"/>
        </w:rPr>
        <w:t xml:space="preserve"> </w:t>
      </w:r>
      <w:r>
        <w:rPr>
          <w:i/>
          <w:sz w:val="16"/>
        </w:rPr>
        <w:t>Keuangan)</w:t>
      </w:r>
      <w:r>
        <w:rPr>
          <w:sz w:val="16"/>
        </w:rPr>
        <w:t>,</w:t>
      </w:r>
      <w:r>
        <w:rPr>
          <w:spacing w:val="40"/>
          <w:sz w:val="16"/>
        </w:rPr>
        <w:t xml:space="preserve"> </w:t>
      </w:r>
      <w:r>
        <w:rPr>
          <w:i/>
          <w:sz w:val="16"/>
        </w:rPr>
        <w:t>19</w:t>
      </w:r>
      <w:r>
        <w:rPr>
          <w:sz w:val="16"/>
        </w:rPr>
        <w:t>(1),</w:t>
      </w:r>
      <w:r>
        <w:rPr>
          <w:spacing w:val="40"/>
          <w:sz w:val="16"/>
        </w:rPr>
        <w:t xml:space="preserve"> </w:t>
      </w:r>
      <w:r>
        <w:rPr>
          <w:sz w:val="16"/>
        </w:rPr>
        <w:t>42.</w:t>
      </w:r>
      <w:r>
        <w:rPr>
          <w:spacing w:val="40"/>
          <w:sz w:val="16"/>
        </w:rPr>
        <w:t xml:space="preserve"> </w:t>
      </w:r>
      <w:r>
        <w:rPr>
          <w:spacing w:val="-2"/>
          <w:sz w:val="16"/>
        </w:rPr>
        <w:t>https://doi.org/10.24034/j25485024.y2015.v19.i1.1761.</w:t>
      </w:r>
    </w:p>
    <w:p w14:paraId="489347F9" w14:textId="77777777" w:rsidR="002C2465" w:rsidRDefault="002C2465" w:rsidP="002C2465">
      <w:pPr>
        <w:ind w:left="444" w:right="4943" w:hanging="359"/>
        <w:rPr>
          <w:sz w:val="16"/>
        </w:rPr>
      </w:pPr>
      <w:r>
        <w:rPr>
          <w:sz w:val="16"/>
        </w:rPr>
        <w:t>Makhdalena,</w:t>
      </w:r>
      <w:r>
        <w:rPr>
          <w:spacing w:val="-2"/>
          <w:sz w:val="16"/>
        </w:rPr>
        <w:t xml:space="preserve"> </w:t>
      </w:r>
      <w:r>
        <w:rPr>
          <w:sz w:val="16"/>
        </w:rPr>
        <w:t>M. (2018). Pengaruh</w:t>
      </w:r>
      <w:r>
        <w:rPr>
          <w:spacing w:val="-2"/>
          <w:sz w:val="16"/>
        </w:rPr>
        <w:t xml:space="preserve"> </w:t>
      </w:r>
      <w:r>
        <w:rPr>
          <w:sz w:val="16"/>
        </w:rPr>
        <w:t>Blockholders</w:t>
      </w:r>
      <w:r>
        <w:rPr>
          <w:spacing w:val="-1"/>
          <w:sz w:val="16"/>
        </w:rPr>
        <w:t xml:space="preserve"> </w:t>
      </w:r>
      <w:r>
        <w:rPr>
          <w:sz w:val="16"/>
        </w:rPr>
        <w:t>Ownership, Firm</w:t>
      </w:r>
      <w:r>
        <w:rPr>
          <w:spacing w:val="-1"/>
          <w:sz w:val="16"/>
        </w:rPr>
        <w:t xml:space="preserve"> </w:t>
      </w:r>
      <w:r>
        <w:rPr>
          <w:sz w:val="16"/>
        </w:rPr>
        <w:t>Size Dan</w:t>
      </w:r>
      <w:r>
        <w:rPr>
          <w:spacing w:val="40"/>
          <w:sz w:val="16"/>
        </w:rPr>
        <w:t xml:space="preserve"> </w:t>
      </w:r>
      <w:r>
        <w:rPr>
          <w:sz w:val="16"/>
        </w:rPr>
        <w:t xml:space="preserve">Leverage Terhadap Kinerja Keuangan Perusahaan. </w:t>
      </w:r>
      <w:r>
        <w:rPr>
          <w:i/>
          <w:sz w:val="16"/>
        </w:rPr>
        <w:t>EKUITAS (Jurnal</w:t>
      </w:r>
      <w:r>
        <w:rPr>
          <w:i/>
          <w:spacing w:val="40"/>
          <w:sz w:val="16"/>
        </w:rPr>
        <w:t xml:space="preserve"> </w:t>
      </w:r>
      <w:r>
        <w:rPr>
          <w:i/>
          <w:sz w:val="16"/>
        </w:rPr>
        <w:t>Ekonomi Dan Keuangan)</w:t>
      </w:r>
      <w:r>
        <w:rPr>
          <w:sz w:val="16"/>
        </w:rPr>
        <w:t xml:space="preserve">, </w:t>
      </w:r>
      <w:r>
        <w:rPr>
          <w:i/>
          <w:sz w:val="16"/>
        </w:rPr>
        <w:t>18</w:t>
      </w:r>
      <w:r>
        <w:rPr>
          <w:sz w:val="16"/>
        </w:rPr>
        <w:t>(3), 277–292.</w:t>
      </w:r>
      <w:r>
        <w:rPr>
          <w:spacing w:val="40"/>
          <w:sz w:val="16"/>
        </w:rPr>
        <w:t xml:space="preserve"> </w:t>
      </w:r>
      <w:r>
        <w:rPr>
          <w:spacing w:val="-2"/>
          <w:sz w:val="16"/>
        </w:rPr>
        <w:t>https://doi.org/10.24034/j25485024.y2014.v18.i3.136.</w:t>
      </w:r>
    </w:p>
    <w:p w14:paraId="553CEF3A" w14:textId="77777777" w:rsidR="002C2465" w:rsidRDefault="002C2465" w:rsidP="002C2465">
      <w:pPr>
        <w:spacing w:before="1"/>
        <w:ind w:left="444" w:right="5380" w:hanging="359"/>
        <w:jc w:val="both"/>
        <w:rPr>
          <w:sz w:val="16"/>
        </w:rPr>
      </w:pPr>
      <w:r>
        <w:rPr>
          <w:sz w:val="16"/>
        </w:rPr>
        <w:t>Mangesti Rahayu, S., Suhadak, &amp; Saifi, M. (2020). The reciprocal</w:t>
      </w:r>
      <w:r>
        <w:rPr>
          <w:spacing w:val="40"/>
          <w:sz w:val="16"/>
        </w:rPr>
        <w:t xml:space="preserve"> </w:t>
      </w:r>
      <w:r>
        <w:rPr>
          <w:sz w:val="16"/>
        </w:rPr>
        <w:t>relationship between profitability and capital structure and its impacts</w:t>
      </w:r>
      <w:r>
        <w:rPr>
          <w:spacing w:val="40"/>
          <w:sz w:val="16"/>
        </w:rPr>
        <w:t xml:space="preserve"> </w:t>
      </w:r>
      <w:r>
        <w:rPr>
          <w:sz w:val="16"/>
        </w:rPr>
        <w:t>on the corporate values of manufacturing companies in Indonesia.</w:t>
      </w:r>
      <w:r>
        <w:rPr>
          <w:spacing w:val="40"/>
          <w:sz w:val="16"/>
        </w:rPr>
        <w:t xml:space="preserve"> </w:t>
      </w:r>
      <w:r>
        <w:rPr>
          <w:i/>
          <w:sz w:val="16"/>
        </w:rPr>
        <w:t>International Journal of Productivity and Performance Management</w:t>
      </w:r>
      <w:r>
        <w:rPr>
          <w:sz w:val="16"/>
        </w:rPr>
        <w:t>,</w:t>
      </w:r>
      <w:r>
        <w:rPr>
          <w:spacing w:val="40"/>
          <w:sz w:val="16"/>
        </w:rPr>
        <w:t xml:space="preserve"> </w:t>
      </w:r>
      <w:r>
        <w:rPr>
          <w:i/>
          <w:sz w:val="16"/>
        </w:rPr>
        <w:t>69</w:t>
      </w:r>
      <w:r>
        <w:rPr>
          <w:sz w:val="16"/>
        </w:rPr>
        <w:t>(2), 236–251. https://doi.org/10.1108/IJPPM-05-2018-0196.</w:t>
      </w:r>
    </w:p>
    <w:p w14:paraId="1DB260C2" w14:textId="77777777" w:rsidR="002C2465" w:rsidRDefault="002C2465" w:rsidP="002C2465">
      <w:pPr>
        <w:ind w:left="444" w:right="5387" w:hanging="359"/>
        <w:jc w:val="both"/>
        <w:rPr>
          <w:sz w:val="16"/>
        </w:rPr>
      </w:pPr>
      <w:r>
        <w:rPr>
          <w:sz w:val="16"/>
        </w:rPr>
        <w:t>Matondang, J. L., &amp; Yustrianthe, R. H. (2017). Analisis Empiris Faktor</w:t>
      </w:r>
      <w:r>
        <w:rPr>
          <w:spacing w:val="40"/>
          <w:sz w:val="16"/>
        </w:rPr>
        <w:t xml:space="preserve"> </w:t>
      </w:r>
      <w:r>
        <w:rPr>
          <w:sz w:val="16"/>
        </w:rPr>
        <w:t>Yang Memengaruhi Nilai Perusahaan High Profile Di Indonesia.</w:t>
      </w:r>
      <w:r>
        <w:rPr>
          <w:spacing w:val="40"/>
          <w:sz w:val="16"/>
        </w:rPr>
        <w:t xml:space="preserve"> </w:t>
      </w:r>
      <w:r>
        <w:rPr>
          <w:i/>
          <w:sz w:val="16"/>
        </w:rPr>
        <w:t>Jurnal Akuntansi</w:t>
      </w:r>
      <w:r>
        <w:rPr>
          <w:sz w:val="16"/>
        </w:rPr>
        <w:t xml:space="preserve">, </w:t>
      </w:r>
      <w:r>
        <w:rPr>
          <w:i/>
          <w:sz w:val="16"/>
        </w:rPr>
        <w:t>20</w:t>
      </w:r>
      <w:r>
        <w:rPr>
          <w:sz w:val="16"/>
        </w:rPr>
        <w:t>(1), 134. https://doi.org/10.24912/ja.v20i1.80.</w:t>
      </w:r>
    </w:p>
    <w:p w14:paraId="5F36C067" w14:textId="77777777" w:rsidR="002C2465" w:rsidRDefault="002C2465" w:rsidP="002C2465">
      <w:pPr>
        <w:ind w:left="444" w:right="5382" w:hanging="359"/>
        <w:jc w:val="both"/>
        <w:rPr>
          <w:sz w:val="16"/>
        </w:rPr>
      </w:pPr>
      <w:r>
        <w:rPr>
          <w:sz w:val="16"/>
        </w:rPr>
        <w:t>Meythi, Oktavianti, &amp; Martusa, R. (2014). Nilai Perusahaan: Dampak</w:t>
      </w:r>
      <w:r>
        <w:rPr>
          <w:spacing w:val="40"/>
          <w:sz w:val="16"/>
        </w:rPr>
        <w:t xml:space="preserve"> </w:t>
      </w:r>
      <w:r>
        <w:rPr>
          <w:sz w:val="16"/>
        </w:rPr>
        <w:t>Interaksi Antara Profitabilitas dan Risiko Finansial pada Perusahaan</w:t>
      </w:r>
      <w:r>
        <w:rPr>
          <w:spacing w:val="40"/>
          <w:sz w:val="16"/>
        </w:rPr>
        <w:t xml:space="preserve"> </w:t>
      </w:r>
      <w:r>
        <w:rPr>
          <w:sz w:val="16"/>
        </w:rPr>
        <w:t xml:space="preserve">Manufaktur. </w:t>
      </w:r>
      <w:r>
        <w:rPr>
          <w:i/>
          <w:sz w:val="16"/>
        </w:rPr>
        <w:t>Jurnal Keuangan Dan Perbankan</w:t>
      </w:r>
      <w:r>
        <w:rPr>
          <w:sz w:val="16"/>
        </w:rPr>
        <w:t xml:space="preserve">, </w:t>
      </w:r>
      <w:r>
        <w:rPr>
          <w:i/>
          <w:sz w:val="16"/>
        </w:rPr>
        <w:t>18</w:t>
      </w:r>
      <w:r>
        <w:rPr>
          <w:sz w:val="16"/>
        </w:rPr>
        <w:t>(1), 40–51.</w:t>
      </w:r>
    </w:p>
    <w:p w14:paraId="528005A9" w14:textId="77777777" w:rsidR="002C2465" w:rsidRDefault="002C2465" w:rsidP="002C2465">
      <w:pPr>
        <w:ind w:left="444" w:right="5379" w:hanging="359"/>
        <w:jc w:val="both"/>
        <w:rPr>
          <w:sz w:val="16"/>
        </w:rPr>
      </w:pPr>
      <w:r>
        <w:rPr>
          <w:sz w:val="16"/>
        </w:rPr>
        <w:t>Ni, Y., Cheng, Y.</w:t>
      </w:r>
      <w:r>
        <w:rPr>
          <w:spacing w:val="-1"/>
          <w:sz w:val="16"/>
        </w:rPr>
        <w:t xml:space="preserve"> </w:t>
      </w:r>
      <w:r>
        <w:rPr>
          <w:sz w:val="16"/>
        </w:rPr>
        <w:t>R., &amp; Huang, P. (2021). Do intellectual capitals matter to</w:t>
      </w:r>
      <w:r>
        <w:rPr>
          <w:spacing w:val="40"/>
          <w:sz w:val="16"/>
        </w:rPr>
        <w:t xml:space="preserve"> </w:t>
      </w:r>
      <w:r>
        <w:rPr>
          <w:sz w:val="16"/>
        </w:rPr>
        <w:t xml:space="preserve">firm value enhancement? Evidences from Taiwan. </w:t>
      </w:r>
      <w:r>
        <w:rPr>
          <w:i/>
          <w:sz w:val="16"/>
        </w:rPr>
        <w:t>Journal of</w:t>
      </w:r>
      <w:r>
        <w:rPr>
          <w:i/>
          <w:spacing w:val="40"/>
          <w:sz w:val="16"/>
        </w:rPr>
        <w:t xml:space="preserve"> </w:t>
      </w:r>
      <w:r>
        <w:rPr>
          <w:i/>
          <w:sz w:val="16"/>
        </w:rPr>
        <w:t>Intellectual</w:t>
      </w:r>
      <w:r>
        <w:rPr>
          <w:i/>
          <w:spacing w:val="24"/>
          <w:sz w:val="16"/>
        </w:rPr>
        <w:t xml:space="preserve"> </w:t>
      </w:r>
      <w:r>
        <w:rPr>
          <w:i/>
          <w:sz w:val="16"/>
        </w:rPr>
        <w:t>Capital</w:t>
      </w:r>
      <w:r>
        <w:rPr>
          <w:sz w:val="16"/>
        </w:rPr>
        <w:t>,</w:t>
      </w:r>
      <w:r>
        <w:rPr>
          <w:spacing w:val="24"/>
          <w:sz w:val="16"/>
        </w:rPr>
        <w:t xml:space="preserve"> </w:t>
      </w:r>
      <w:r>
        <w:rPr>
          <w:i/>
          <w:sz w:val="16"/>
        </w:rPr>
        <w:t>22</w:t>
      </w:r>
      <w:r>
        <w:rPr>
          <w:sz w:val="16"/>
        </w:rPr>
        <w:t>(4),</w:t>
      </w:r>
      <w:r>
        <w:rPr>
          <w:spacing w:val="21"/>
          <w:sz w:val="16"/>
        </w:rPr>
        <w:t xml:space="preserve"> </w:t>
      </w:r>
      <w:r>
        <w:rPr>
          <w:sz w:val="16"/>
        </w:rPr>
        <w:t>725–743.</w:t>
      </w:r>
      <w:r>
        <w:rPr>
          <w:spacing w:val="24"/>
          <w:sz w:val="16"/>
        </w:rPr>
        <w:t xml:space="preserve"> </w:t>
      </w:r>
      <w:r>
        <w:rPr>
          <w:sz w:val="16"/>
        </w:rPr>
        <w:t>https://doi.org/10.1108/JIC-10-</w:t>
      </w:r>
    </w:p>
    <w:p w14:paraId="146600DC" w14:textId="77777777" w:rsidR="002C2465" w:rsidRDefault="002C2465" w:rsidP="002C2465">
      <w:pPr>
        <w:ind w:left="444"/>
        <w:rPr>
          <w:sz w:val="16"/>
        </w:rPr>
      </w:pPr>
      <w:r>
        <w:rPr>
          <w:spacing w:val="-2"/>
          <w:sz w:val="16"/>
        </w:rPr>
        <w:t>2019-0235.</w:t>
      </w:r>
    </w:p>
    <w:p w14:paraId="283BB0F2" w14:textId="77777777" w:rsidR="002C2465" w:rsidRDefault="002C2465" w:rsidP="002C2465">
      <w:pPr>
        <w:ind w:left="444" w:right="5381" w:hanging="359"/>
        <w:jc w:val="both"/>
        <w:rPr>
          <w:sz w:val="16"/>
        </w:rPr>
      </w:pPr>
      <w:r>
        <w:rPr>
          <w:sz w:val="16"/>
        </w:rPr>
        <w:t>Nuraina, E. (2012). Pengaruh Kepemilikan Institusional Dan Ukuran</w:t>
      </w:r>
      <w:r>
        <w:rPr>
          <w:spacing w:val="40"/>
          <w:sz w:val="16"/>
        </w:rPr>
        <w:t xml:space="preserve"> </w:t>
      </w:r>
      <w:r>
        <w:rPr>
          <w:sz w:val="16"/>
        </w:rPr>
        <w:t>Perusahaan Terhadap Kebijakan Hutang Dan Nilai Perusahaan (Studi</w:t>
      </w:r>
      <w:r>
        <w:rPr>
          <w:spacing w:val="40"/>
          <w:sz w:val="16"/>
        </w:rPr>
        <w:t xml:space="preserve"> </w:t>
      </w:r>
      <w:r>
        <w:rPr>
          <w:sz w:val="16"/>
        </w:rPr>
        <w:t xml:space="preserve">Pada Perusahaan Manufaktur Yang Terdaftar Di Bei). </w:t>
      </w:r>
      <w:r>
        <w:rPr>
          <w:i/>
          <w:sz w:val="16"/>
        </w:rPr>
        <w:t>AKRUAL:</w:t>
      </w:r>
      <w:r>
        <w:rPr>
          <w:i/>
          <w:spacing w:val="40"/>
          <w:sz w:val="16"/>
        </w:rPr>
        <w:t xml:space="preserve"> </w:t>
      </w:r>
      <w:r>
        <w:rPr>
          <w:i/>
          <w:sz w:val="16"/>
        </w:rPr>
        <w:t>Jurnal Akuntansi</w:t>
      </w:r>
      <w:r>
        <w:rPr>
          <w:sz w:val="16"/>
        </w:rPr>
        <w:t xml:space="preserve">, </w:t>
      </w:r>
      <w:r>
        <w:rPr>
          <w:i/>
          <w:sz w:val="16"/>
        </w:rPr>
        <w:t>4</w:t>
      </w:r>
      <w:r>
        <w:rPr>
          <w:sz w:val="16"/>
        </w:rPr>
        <w:t>(1), 51. https://doi.org/10.26740/jaj.v4n1.p51-70.</w:t>
      </w:r>
    </w:p>
    <w:p w14:paraId="14FFF029" w14:textId="77777777" w:rsidR="002C2465" w:rsidRDefault="002C2465" w:rsidP="002C2465">
      <w:pPr>
        <w:spacing w:before="2"/>
        <w:ind w:left="444" w:right="5383" w:hanging="359"/>
        <w:jc w:val="both"/>
        <w:rPr>
          <w:sz w:val="16"/>
        </w:rPr>
      </w:pPr>
      <w:r>
        <w:rPr>
          <w:sz w:val="16"/>
        </w:rPr>
        <w:t>Olivia,</w:t>
      </w:r>
      <w:r>
        <w:rPr>
          <w:spacing w:val="-3"/>
          <w:sz w:val="16"/>
        </w:rPr>
        <w:t xml:space="preserve"> </w:t>
      </w:r>
      <w:r>
        <w:rPr>
          <w:sz w:val="16"/>
        </w:rPr>
        <w:t>G.</w:t>
      </w:r>
      <w:r>
        <w:rPr>
          <w:spacing w:val="-3"/>
          <w:sz w:val="16"/>
        </w:rPr>
        <w:t xml:space="preserve"> </w:t>
      </w:r>
      <w:r>
        <w:rPr>
          <w:sz w:val="16"/>
        </w:rPr>
        <w:t>(2020).</w:t>
      </w:r>
      <w:r>
        <w:rPr>
          <w:spacing w:val="-3"/>
          <w:sz w:val="16"/>
        </w:rPr>
        <w:t xml:space="preserve"> </w:t>
      </w:r>
      <w:r>
        <w:rPr>
          <w:i/>
          <w:sz w:val="16"/>
        </w:rPr>
        <w:t>Pertumbuhan</w:t>
      </w:r>
      <w:r>
        <w:rPr>
          <w:i/>
          <w:spacing w:val="-2"/>
          <w:sz w:val="16"/>
        </w:rPr>
        <w:t xml:space="preserve"> </w:t>
      </w:r>
      <w:r>
        <w:rPr>
          <w:i/>
          <w:sz w:val="16"/>
        </w:rPr>
        <w:t>manufaktur</w:t>
      </w:r>
      <w:r>
        <w:rPr>
          <w:i/>
          <w:spacing w:val="-4"/>
          <w:sz w:val="16"/>
        </w:rPr>
        <w:t xml:space="preserve"> </w:t>
      </w:r>
      <w:r>
        <w:rPr>
          <w:i/>
          <w:sz w:val="16"/>
        </w:rPr>
        <w:t>melambat,</w:t>
      </w:r>
      <w:r>
        <w:rPr>
          <w:i/>
          <w:spacing w:val="-5"/>
          <w:sz w:val="16"/>
        </w:rPr>
        <w:t xml:space="preserve"> </w:t>
      </w:r>
      <w:r>
        <w:rPr>
          <w:i/>
          <w:sz w:val="16"/>
        </w:rPr>
        <w:t>Menperin</w:t>
      </w:r>
      <w:r>
        <w:rPr>
          <w:i/>
          <w:spacing w:val="-6"/>
          <w:sz w:val="16"/>
        </w:rPr>
        <w:t xml:space="preserve"> </w:t>
      </w:r>
      <w:r>
        <w:rPr>
          <w:i/>
          <w:sz w:val="16"/>
        </w:rPr>
        <w:t>optimistis</w:t>
      </w:r>
      <w:r>
        <w:rPr>
          <w:i/>
          <w:spacing w:val="40"/>
          <w:sz w:val="16"/>
        </w:rPr>
        <w:t xml:space="preserve"> </w:t>
      </w:r>
      <w:r>
        <w:rPr>
          <w:i/>
          <w:sz w:val="16"/>
        </w:rPr>
        <w:t>tahun ini tumbuh 5,3%</w:t>
      </w:r>
      <w:r>
        <w:rPr>
          <w:sz w:val="16"/>
        </w:rPr>
        <w:t>. Kontan.co.id.</w:t>
      </w:r>
    </w:p>
    <w:p w14:paraId="39AD09DF" w14:textId="77777777" w:rsidR="002C2465" w:rsidRDefault="002C2465" w:rsidP="002C2465">
      <w:pPr>
        <w:ind w:left="444" w:right="5398" w:hanging="359"/>
        <w:rPr>
          <w:sz w:val="16"/>
        </w:rPr>
      </w:pPr>
      <w:r>
        <w:rPr>
          <w:sz w:val="16"/>
        </w:rPr>
        <w:t>Pamungkas,</w:t>
      </w:r>
      <w:r>
        <w:rPr>
          <w:spacing w:val="40"/>
          <w:sz w:val="16"/>
        </w:rPr>
        <w:t xml:space="preserve"> </w:t>
      </w:r>
      <w:r>
        <w:rPr>
          <w:sz w:val="16"/>
        </w:rPr>
        <w:t>H.</w:t>
      </w:r>
      <w:r>
        <w:rPr>
          <w:spacing w:val="40"/>
          <w:sz w:val="16"/>
        </w:rPr>
        <w:t xml:space="preserve"> </w:t>
      </w:r>
      <w:r>
        <w:rPr>
          <w:sz w:val="16"/>
        </w:rPr>
        <w:t>S.,</w:t>
      </w:r>
      <w:r>
        <w:rPr>
          <w:spacing w:val="40"/>
          <w:sz w:val="16"/>
        </w:rPr>
        <w:t xml:space="preserve"> </w:t>
      </w:r>
      <w:r>
        <w:rPr>
          <w:sz w:val="16"/>
        </w:rPr>
        <w:t>&amp;</w:t>
      </w:r>
      <w:r>
        <w:rPr>
          <w:spacing w:val="40"/>
          <w:sz w:val="16"/>
        </w:rPr>
        <w:t xml:space="preserve"> </w:t>
      </w:r>
      <w:r>
        <w:rPr>
          <w:sz w:val="16"/>
        </w:rPr>
        <w:t>Puspaningsih,</w:t>
      </w:r>
      <w:r>
        <w:rPr>
          <w:spacing w:val="40"/>
          <w:sz w:val="16"/>
        </w:rPr>
        <w:t xml:space="preserve"> </w:t>
      </w:r>
      <w:r>
        <w:rPr>
          <w:sz w:val="16"/>
        </w:rPr>
        <w:t>A.</w:t>
      </w:r>
      <w:r>
        <w:rPr>
          <w:spacing w:val="40"/>
          <w:sz w:val="16"/>
        </w:rPr>
        <w:t xml:space="preserve"> </w:t>
      </w:r>
      <w:r>
        <w:rPr>
          <w:sz w:val="16"/>
        </w:rPr>
        <w:t>(2013).</w:t>
      </w:r>
      <w:r>
        <w:rPr>
          <w:spacing w:val="40"/>
          <w:sz w:val="16"/>
        </w:rPr>
        <w:t xml:space="preserve"> </w:t>
      </w:r>
      <w:r>
        <w:rPr>
          <w:sz w:val="16"/>
        </w:rPr>
        <w:t>Pengaruh</w:t>
      </w:r>
      <w:r>
        <w:rPr>
          <w:spacing w:val="40"/>
          <w:sz w:val="16"/>
        </w:rPr>
        <w:t xml:space="preserve"> </w:t>
      </w:r>
      <w:r>
        <w:rPr>
          <w:sz w:val="16"/>
        </w:rPr>
        <w:t>keputusan</w:t>
      </w:r>
      <w:r>
        <w:rPr>
          <w:spacing w:val="40"/>
          <w:sz w:val="16"/>
        </w:rPr>
        <w:t xml:space="preserve"> </w:t>
      </w:r>
      <w:r>
        <w:rPr>
          <w:sz w:val="16"/>
        </w:rPr>
        <w:t>investasi,</w:t>
      </w:r>
      <w:r>
        <w:rPr>
          <w:spacing w:val="80"/>
          <w:sz w:val="16"/>
        </w:rPr>
        <w:t xml:space="preserve"> </w:t>
      </w:r>
      <w:r>
        <w:rPr>
          <w:sz w:val="16"/>
        </w:rPr>
        <w:t>keputusan</w:t>
      </w:r>
      <w:r>
        <w:rPr>
          <w:spacing w:val="80"/>
          <w:sz w:val="16"/>
        </w:rPr>
        <w:t xml:space="preserve"> </w:t>
      </w:r>
      <w:r>
        <w:rPr>
          <w:sz w:val="16"/>
        </w:rPr>
        <w:t>pendanaan,</w:t>
      </w:r>
      <w:r>
        <w:rPr>
          <w:spacing w:val="80"/>
          <w:sz w:val="16"/>
        </w:rPr>
        <w:t xml:space="preserve"> </w:t>
      </w:r>
      <w:r>
        <w:rPr>
          <w:sz w:val="16"/>
        </w:rPr>
        <w:t>kebijakan</w:t>
      </w:r>
      <w:r>
        <w:rPr>
          <w:spacing w:val="80"/>
          <w:sz w:val="16"/>
        </w:rPr>
        <w:t xml:space="preserve"> </w:t>
      </w:r>
      <w:r>
        <w:rPr>
          <w:sz w:val="16"/>
        </w:rPr>
        <w:t>dividen</w:t>
      </w:r>
      <w:r>
        <w:rPr>
          <w:spacing w:val="80"/>
          <w:sz w:val="16"/>
        </w:rPr>
        <w:t xml:space="preserve"> </w:t>
      </w:r>
      <w:r>
        <w:rPr>
          <w:sz w:val="16"/>
        </w:rPr>
        <w:t>dan</w:t>
      </w:r>
      <w:r>
        <w:rPr>
          <w:spacing w:val="80"/>
          <w:sz w:val="16"/>
        </w:rPr>
        <w:t xml:space="preserve"> </w:t>
      </w:r>
      <w:r>
        <w:rPr>
          <w:sz w:val="16"/>
        </w:rPr>
        <w:t>ukuran</w:t>
      </w:r>
      <w:r>
        <w:rPr>
          <w:spacing w:val="40"/>
          <w:sz w:val="16"/>
        </w:rPr>
        <w:t xml:space="preserve"> </w:t>
      </w:r>
      <w:r>
        <w:rPr>
          <w:sz w:val="16"/>
        </w:rPr>
        <w:t>perusahaan</w:t>
      </w:r>
      <w:r>
        <w:rPr>
          <w:spacing w:val="20"/>
          <w:sz w:val="16"/>
        </w:rPr>
        <w:t xml:space="preserve"> </w:t>
      </w:r>
      <w:r>
        <w:rPr>
          <w:sz w:val="16"/>
        </w:rPr>
        <w:t>terhadap</w:t>
      </w:r>
      <w:r>
        <w:rPr>
          <w:spacing w:val="23"/>
          <w:sz w:val="16"/>
        </w:rPr>
        <w:t xml:space="preserve"> </w:t>
      </w:r>
      <w:r>
        <w:rPr>
          <w:sz w:val="16"/>
        </w:rPr>
        <w:t>nilai</w:t>
      </w:r>
      <w:r>
        <w:rPr>
          <w:spacing w:val="20"/>
          <w:sz w:val="16"/>
        </w:rPr>
        <w:t xml:space="preserve"> </w:t>
      </w:r>
      <w:r>
        <w:rPr>
          <w:sz w:val="16"/>
        </w:rPr>
        <w:t>perusahaan.</w:t>
      </w:r>
      <w:r>
        <w:rPr>
          <w:spacing w:val="26"/>
          <w:sz w:val="16"/>
        </w:rPr>
        <w:t xml:space="preserve"> </w:t>
      </w:r>
      <w:r>
        <w:rPr>
          <w:i/>
          <w:sz w:val="16"/>
        </w:rPr>
        <w:t>Jurnal</w:t>
      </w:r>
      <w:r>
        <w:rPr>
          <w:i/>
          <w:spacing w:val="22"/>
          <w:sz w:val="16"/>
        </w:rPr>
        <w:t xml:space="preserve"> </w:t>
      </w:r>
      <w:r>
        <w:rPr>
          <w:i/>
          <w:sz w:val="16"/>
        </w:rPr>
        <w:t>Akuntansi</w:t>
      </w:r>
      <w:r>
        <w:rPr>
          <w:i/>
          <w:spacing w:val="22"/>
          <w:sz w:val="16"/>
        </w:rPr>
        <w:t xml:space="preserve"> </w:t>
      </w:r>
      <w:r>
        <w:rPr>
          <w:i/>
          <w:sz w:val="16"/>
        </w:rPr>
        <w:t>&amp;</w:t>
      </w:r>
      <w:r>
        <w:rPr>
          <w:i/>
          <w:spacing w:val="21"/>
          <w:sz w:val="16"/>
        </w:rPr>
        <w:t xml:space="preserve"> </w:t>
      </w:r>
      <w:r>
        <w:rPr>
          <w:i/>
          <w:sz w:val="16"/>
        </w:rPr>
        <w:t>Auditing</w:t>
      </w:r>
      <w:r>
        <w:rPr>
          <w:i/>
          <w:spacing w:val="40"/>
          <w:sz w:val="16"/>
        </w:rPr>
        <w:t xml:space="preserve"> </w:t>
      </w:r>
      <w:r>
        <w:rPr>
          <w:i/>
          <w:sz w:val="16"/>
        </w:rPr>
        <w:t>Indonesia</w:t>
      </w:r>
      <w:r>
        <w:rPr>
          <w:sz w:val="16"/>
        </w:rPr>
        <w:t xml:space="preserve">, </w:t>
      </w:r>
      <w:r>
        <w:rPr>
          <w:i/>
          <w:sz w:val="16"/>
        </w:rPr>
        <w:t>17</w:t>
      </w:r>
      <w:r>
        <w:rPr>
          <w:sz w:val="16"/>
        </w:rPr>
        <w:t>(2), 155–164.</w:t>
      </w:r>
      <w:r>
        <w:rPr>
          <w:spacing w:val="40"/>
          <w:sz w:val="16"/>
        </w:rPr>
        <w:t xml:space="preserve"> </w:t>
      </w:r>
      <w:r>
        <w:rPr>
          <w:spacing w:val="-2"/>
          <w:sz w:val="16"/>
        </w:rPr>
        <w:t>https://doi.org/10.20885/jaai.vol17.iss2.art6.</w:t>
      </w:r>
    </w:p>
    <w:p w14:paraId="3E607399" w14:textId="77777777" w:rsidR="002C2465" w:rsidRDefault="002C2465" w:rsidP="002C2465">
      <w:pPr>
        <w:ind w:left="444" w:right="5384" w:hanging="359"/>
        <w:jc w:val="both"/>
        <w:rPr>
          <w:sz w:val="16"/>
        </w:rPr>
      </w:pPr>
      <w:r>
        <w:rPr>
          <w:sz w:val="16"/>
        </w:rPr>
        <w:t>Purnamasari, L., Lestari, S. K., &amp; Silvi, M. (2009). Interdependensi Antara</w:t>
      </w:r>
      <w:r>
        <w:rPr>
          <w:spacing w:val="40"/>
          <w:sz w:val="16"/>
        </w:rPr>
        <w:t xml:space="preserve"> </w:t>
      </w:r>
      <w:r>
        <w:rPr>
          <w:sz w:val="16"/>
        </w:rPr>
        <w:t>Keputusan Investasi, Keputusan Pendanaan dan Keputusan Dividen.</w:t>
      </w:r>
      <w:r>
        <w:rPr>
          <w:spacing w:val="40"/>
          <w:sz w:val="16"/>
        </w:rPr>
        <w:t xml:space="preserve"> </w:t>
      </w:r>
      <w:r>
        <w:rPr>
          <w:i/>
          <w:sz w:val="16"/>
        </w:rPr>
        <w:t>Jurnal Keuangan Dan Perbankan</w:t>
      </w:r>
      <w:r>
        <w:rPr>
          <w:sz w:val="16"/>
        </w:rPr>
        <w:t xml:space="preserve">, </w:t>
      </w:r>
      <w:r>
        <w:rPr>
          <w:i/>
          <w:sz w:val="16"/>
        </w:rPr>
        <w:t>13</w:t>
      </w:r>
      <w:r>
        <w:rPr>
          <w:sz w:val="16"/>
        </w:rPr>
        <w:t>(1), 106–119.</w:t>
      </w:r>
    </w:p>
    <w:p w14:paraId="153F8848" w14:textId="77777777" w:rsidR="002C2465" w:rsidRDefault="002C2465" w:rsidP="002C2465">
      <w:pPr>
        <w:ind w:left="444" w:right="5381" w:hanging="359"/>
        <w:jc w:val="both"/>
        <w:rPr>
          <w:sz w:val="16"/>
        </w:rPr>
      </w:pPr>
      <w:r>
        <w:rPr>
          <w:sz w:val="16"/>
        </w:rPr>
        <w:t>Putri, N. R., &amp; Irawati, W. (2019). Pengaruh Kepemilikan Manajerial dan</w:t>
      </w:r>
      <w:r>
        <w:rPr>
          <w:spacing w:val="40"/>
          <w:sz w:val="16"/>
        </w:rPr>
        <w:t xml:space="preserve"> </w:t>
      </w:r>
      <w:r>
        <w:rPr>
          <w:sz w:val="16"/>
        </w:rPr>
        <w:t>Effective Tax Rate terhadap Kebijakan Dividen dengan Likuiditas</w:t>
      </w:r>
      <w:r>
        <w:rPr>
          <w:spacing w:val="40"/>
          <w:sz w:val="16"/>
        </w:rPr>
        <w:t xml:space="preserve"> </w:t>
      </w:r>
      <w:r>
        <w:rPr>
          <w:sz w:val="16"/>
        </w:rPr>
        <w:t xml:space="preserve">sebagai Variabel Moderating. </w:t>
      </w:r>
      <w:r>
        <w:rPr>
          <w:i/>
          <w:sz w:val="16"/>
        </w:rPr>
        <w:t>Jurnal Kajian Akuntansi</w:t>
      </w:r>
      <w:r>
        <w:rPr>
          <w:sz w:val="16"/>
        </w:rPr>
        <w:t xml:space="preserve">, </w:t>
      </w:r>
      <w:r>
        <w:rPr>
          <w:i/>
          <w:sz w:val="16"/>
        </w:rPr>
        <w:t>3</w:t>
      </w:r>
      <w:r>
        <w:rPr>
          <w:sz w:val="16"/>
        </w:rPr>
        <w:t>(1), 93.</w:t>
      </w:r>
      <w:r>
        <w:rPr>
          <w:spacing w:val="40"/>
          <w:sz w:val="16"/>
        </w:rPr>
        <w:t xml:space="preserve"> </w:t>
      </w:r>
      <w:r>
        <w:rPr>
          <w:spacing w:val="-2"/>
          <w:sz w:val="16"/>
        </w:rPr>
        <w:t>https://doi.org/10.33603/jka.v3i1.1971.</w:t>
      </w:r>
    </w:p>
    <w:p w14:paraId="415BE183" w14:textId="77777777" w:rsidR="002C2465" w:rsidRDefault="002C2465" w:rsidP="002C2465">
      <w:pPr>
        <w:ind w:left="444" w:right="5451" w:hanging="359"/>
        <w:rPr>
          <w:sz w:val="16"/>
        </w:rPr>
      </w:pPr>
      <w:r>
        <w:rPr>
          <w:sz w:val="16"/>
        </w:rPr>
        <w:t>Resti,</w:t>
      </w:r>
      <w:r>
        <w:rPr>
          <w:spacing w:val="40"/>
          <w:sz w:val="16"/>
        </w:rPr>
        <w:t xml:space="preserve"> </w:t>
      </w:r>
      <w:r>
        <w:rPr>
          <w:sz w:val="16"/>
        </w:rPr>
        <w:t>A.</w:t>
      </w:r>
      <w:r>
        <w:rPr>
          <w:spacing w:val="40"/>
          <w:sz w:val="16"/>
        </w:rPr>
        <w:t xml:space="preserve"> </w:t>
      </w:r>
      <w:r>
        <w:rPr>
          <w:sz w:val="16"/>
        </w:rPr>
        <w:t>A.,</w:t>
      </w:r>
      <w:r>
        <w:rPr>
          <w:spacing w:val="40"/>
          <w:sz w:val="16"/>
        </w:rPr>
        <w:t xml:space="preserve"> </w:t>
      </w:r>
      <w:r>
        <w:rPr>
          <w:sz w:val="16"/>
        </w:rPr>
        <w:t>Purwanto,</w:t>
      </w:r>
      <w:r>
        <w:rPr>
          <w:spacing w:val="40"/>
          <w:sz w:val="16"/>
        </w:rPr>
        <w:t xml:space="preserve"> </w:t>
      </w:r>
      <w:r>
        <w:rPr>
          <w:sz w:val="16"/>
        </w:rPr>
        <w:t>B.,</w:t>
      </w:r>
      <w:r>
        <w:rPr>
          <w:spacing w:val="40"/>
          <w:sz w:val="16"/>
        </w:rPr>
        <w:t xml:space="preserve"> </w:t>
      </w:r>
      <w:r>
        <w:rPr>
          <w:sz w:val="16"/>
        </w:rPr>
        <w:t>&amp;</w:t>
      </w:r>
      <w:r>
        <w:rPr>
          <w:spacing w:val="40"/>
          <w:sz w:val="16"/>
        </w:rPr>
        <w:t xml:space="preserve"> </w:t>
      </w:r>
      <w:r>
        <w:rPr>
          <w:sz w:val="16"/>
        </w:rPr>
        <w:t>Ermawati,</w:t>
      </w:r>
      <w:r>
        <w:rPr>
          <w:spacing w:val="40"/>
          <w:sz w:val="16"/>
        </w:rPr>
        <w:t xml:space="preserve"> </w:t>
      </w:r>
      <w:r>
        <w:rPr>
          <w:sz w:val="16"/>
        </w:rPr>
        <w:t>W.</w:t>
      </w:r>
      <w:r>
        <w:rPr>
          <w:spacing w:val="40"/>
          <w:sz w:val="16"/>
        </w:rPr>
        <w:t xml:space="preserve"> </w:t>
      </w:r>
      <w:r>
        <w:rPr>
          <w:sz w:val="16"/>
        </w:rPr>
        <w:t>J.</w:t>
      </w:r>
      <w:r>
        <w:rPr>
          <w:spacing w:val="40"/>
          <w:sz w:val="16"/>
        </w:rPr>
        <w:t xml:space="preserve"> </w:t>
      </w:r>
      <w:r>
        <w:rPr>
          <w:sz w:val="16"/>
        </w:rPr>
        <w:t>(2019).</w:t>
      </w:r>
      <w:r>
        <w:rPr>
          <w:spacing w:val="40"/>
          <w:sz w:val="16"/>
        </w:rPr>
        <w:t xml:space="preserve"> </w:t>
      </w:r>
      <w:r>
        <w:rPr>
          <w:sz w:val="16"/>
        </w:rPr>
        <w:t>Investment</w:t>
      </w:r>
      <w:r>
        <w:rPr>
          <w:spacing w:val="80"/>
          <w:sz w:val="16"/>
        </w:rPr>
        <w:t xml:space="preserve"> </w:t>
      </w:r>
      <w:r>
        <w:rPr>
          <w:sz w:val="16"/>
        </w:rPr>
        <w:t>opportunity set, dividend policy, company’s performance, and firm’s</w:t>
      </w:r>
      <w:r>
        <w:rPr>
          <w:spacing w:val="40"/>
          <w:sz w:val="16"/>
        </w:rPr>
        <w:t xml:space="preserve"> </w:t>
      </w:r>
      <w:r>
        <w:rPr>
          <w:sz w:val="16"/>
        </w:rPr>
        <w:t>value:</w:t>
      </w:r>
      <w:r>
        <w:rPr>
          <w:spacing w:val="40"/>
          <w:sz w:val="16"/>
        </w:rPr>
        <w:t xml:space="preserve"> </w:t>
      </w:r>
      <w:r>
        <w:rPr>
          <w:sz w:val="16"/>
        </w:rPr>
        <w:t>Some</w:t>
      </w:r>
      <w:r>
        <w:rPr>
          <w:spacing w:val="40"/>
          <w:sz w:val="16"/>
        </w:rPr>
        <w:t xml:space="preserve"> </w:t>
      </w:r>
      <w:r>
        <w:rPr>
          <w:sz w:val="16"/>
        </w:rPr>
        <w:t>Indonesian</w:t>
      </w:r>
      <w:r>
        <w:rPr>
          <w:spacing w:val="40"/>
          <w:sz w:val="16"/>
        </w:rPr>
        <w:t xml:space="preserve"> </w:t>
      </w:r>
      <w:r>
        <w:rPr>
          <w:sz w:val="16"/>
        </w:rPr>
        <w:t>firms</w:t>
      </w:r>
      <w:r>
        <w:rPr>
          <w:spacing w:val="40"/>
          <w:sz w:val="16"/>
        </w:rPr>
        <w:t xml:space="preserve"> </w:t>
      </w:r>
      <w:r>
        <w:rPr>
          <w:sz w:val="16"/>
        </w:rPr>
        <w:t>evidence.</w:t>
      </w:r>
      <w:r>
        <w:rPr>
          <w:spacing w:val="40"/>
          <w:sz w:val="16"/>
        </w:rPr>
        <w:t xml:space="preserve"> </w:t>
      </w:r>
      <w:r>
        <w:rPr>
          <w:i/>
          <w:sz w:val="16"/>
        </w:rPr>
        <w:t>Jurnal</w:t>
      </w:r>
      <w:r>
        <w:rPr>
          <w:i/>
          <w:spacing w:val="40"/>
          <w:sz w:val="16"/>
        </w:rPr>
        <w:t xml:space="preserve"> </w:t>
      </w:r>
      <w:r>
        <w:rPr>
          <w:i/>
          <w:sz w:val="16"/>
        </w:rPr>
        <w:t>Keuangan</w:t>
      </w:r>
      <w:r>
        <w:rPr>
          <w:i/>
          <w:spacing w:val="40"/>
          <w:sz w:val="16"/>
        </w:rPr>
        <w:t xml:space="preserve"> </w:t>
      </w:r>
      <w:r>
        <w:rPr>
          <w:i/>
          <w:sz w:val="16"/>
        </w:rPr>
        <w:t>Dan</w:t>
      </w:r>
      <w:r>
        <w:rPr>
          <w:i/>
          <w:spacing w:val="40"/>
          <w:sz w:val="16"/>
        </w:rPr>
        <w:t xml:space="preserve"> </w:t>
      </w:r>
      <w:r>
        <w:rPr>
          <w:i/>
          <w:sz w:val="16"/>
        </w:rPr>
        <w:t>Perbankan</w:t>
      </w:r>
      <w:r>
        <w:rPr>
          <w:sz w:val="16"/>
        </w:rPr>
        <w:t>,</w:t>
      </w:r>
      <w:r>
        <w:rPr>
          <w:spacing w:val="19"/>
          <w:sz w:val="16"/>
        </w:rPr>
        <w:t xml:space="preserve"> </w:t>
      </w:r>
      <w:r>
        <w:rPr>
          <w:i/>
          <w:sz w:val="16"/>
        </w:rPr>
        <w:t>23</w:t>
      </w:r>
      <w:r>
        <w:rPr>
          <w:sz w:val="16"/>
        </w:rPr>
        <w:t>(4),</w:t>
      </w:r>
      <w:r>
        <w:rPr>
          <w:spacing w:val="20"/>
          <w:sz w:val="16"/>
        </w:rPr>
        <w:t xml:space="preserve"> </w:t>
      </w:r>
      <w:r>
        <w:rPr>
          <w:sz w:val="16"/>
        </w:rPr>
        <w:t>611–622.</w:t>
      </w:r>
      <w:r>
        <w:rPr>
          <w:spacing w:val="80"/>
          <w:w w:val="150"/>
          <w:sz w:val="16"/>
        </w:rPr>
        <w:t xml:space="preserve"> </w:t>
      </w:r>
      <w:r>
        <w:rPr>
          <w:spacing w:val="-2"/>
          <w:sz w:val="16"/>
        </w:rPr>
        <w:t>https://doi.org/10.26905/jkdp.v23i4.2753.</w:t>
      </w:r>
    </w:p>
    <w:p w14:paraId="7CE730A2" w14:textId="77777777" w:rsidR="002C2465" w:rsidRDefault="002C2465" w:rsidP="002C2465">
      <w:pPr>
        <w:ind w:left="444" w:right="5381" w:hanging="359"/>
        <w:jc w:val="both"/>
        <w:rPr>
          <w:sz w:val="16"/>
        </w:rPr>
      </w:pPr>
      <w:r>
        <w:rPr>
          <w:sz w:val="16"/>
        </w:rPr>
        <w:t>Sudiyatno, B., Puspitasari, E., Suwarti, T., &amp; Asyif, M. M. (2020).</w:t>
      </w:r>
      <w:r>
        <w:rPr>
          <w:spacing w:val="40"/>
          <w:sz w:val="16"/>
        </w:rPr>
        <w:t xml:space="preserve"> </w:t>
      </w:r>
      <w:r>
        <w:rPr>
          <w:sz w:val="16"/>
        </w:rPr>
        <w:t>Determinants of Firm Value and Profitability: Evidence from</w:t>
      </w:r>
      <w:r>
        <w:rPr>
          <w:spacing w:val="40"/>
          <w:sz w:val="16"/>
        </w:rPr>
        <w:t xml:space="preserve"> </w:t>
      </w:r>
      <w:r>
        <w:rPr>
          <w:sz w:val="16"/>
        </w:rPr>
        <w:t xml:space="preserve">Indonesia. </w:t>
      </w:r>
      <w:r>
        <w:rPr>
          <w:i/>
          <w:sz w:val="16"/>
        </w:rPr>
        <w:t>Journal of Asian Finance, Economics and Business</w:t>
      </w:r>
      <w:r>
        <w:rPr>
          <w:sz w:val="16"/>
        </w:rPr>
        <w:t xml:space="preserve">, </w:t>
      </w:r>
      <w:r>
        <w:rPr>
          <w:i/>
          <w:sz w:val="16"/>
        </w:rPr>
        <w:t>7</w:t>
      </w:r>
      <w:r>
        <w:rPr>
          <w:sz w:val="16"/>
        </w:rPr>
        <w:t>(11),</w:t>
      </w:r>
      <w:r>
        <w:rPr>
          <w:spacing w:val="40"/>
          <w:sz w:val="16"/>
        </w:rPr>
        <w:t xml:space="preserve"> </w:t>
      </w:r>
      <w:r>
        <w:rPr>
          <w:sz w:val="16"/>
        </w:rPr>
        <w:t>769–778.</w:t>
      </w:r>
      <w:r>
        <w:rPr>
          <w:spacing w:val="-5"/>
          <w:sz w:val="16"/>
        </w:rPr>
        <w:t xml:space="preserve"> </w:t>
      </w:r>
      <w:r>
        <w:rPr>
          <w:sz w:val="16"/>
        </w:rPr>
        <w:t>https://doi.org/10.13106/jafeb.2020.vol7.no11.769.</w:t>
      </w:r>
    </w:p>
    <w:p w14:paraId="4C41B315" w14:textId="77777777" w:rsidR="002C2465" w:rsidRDefault="002C2465" w:rsidP="002C2465">
      <w:pPr>
        <w:ind w:left="444" w:right="5385" w:hanging="359"/>
        <w:jc w:val="both"/>
        <w:rPr>
          <w:sz w:val="16"/>
        </w:rPr>
      </w:pPr>
      <w:r>
        <w:rPr>
          <w:sz w:val="16"/>
        </w:rPr>
        <w:t>Sugiyanto, E., Trisnawati, R., &amp; Kusumawati, E. (2021). Corporate Social</w:t>
      </w:r>
      <w:r>
        <w:rPr>
          <w:spacing w:val="40"/>
          <w:sz w:val="16"/>
        </w:rPr>
        <w:t xml:space="preserve"> </w:t>
      </w:r>
      <w:r>
        <w:rPr>
          <w:sz w:val="16"/>
        </w:rPr>
        <w:t>Responsibility and Firm Value with Profitability, Firm Size,</w:t>
      </w:r>
      <w:r>
        <w:rPr>
          <w:spacing w:val="40"/>
          <w:sz w:val="16"/>
        </w:rPr>
        <w:t xml:space="preserve"> </w:t>
      </w:r>
      <w:r>
        <w:rPr>
          <w:sz w:val="16"/>
        </w:rPr>
        <w:t>Managerial Ownership, and Board of Commissioners as Moderating</w:t>
      </w:r>
      <w:r>
        <w:rPr>
          <w:spacing w:val="40"/>
          <w:sz w:val="16"/>
        </w:rPr>
        <w:t xml:space="preserve"> </w:t>
      </w:r>
      <w:r>
        <w:rPr>
          <w:sz w:val="16"/>
        </w:rPr>
        <w:t xml:space="preserve">Variables. </w:t>
      </w:r>
      <w:r>
        <w:rPr>
          <w:i/>
          <w:sz w:val="16"/>
        </w:rPr>
        <w:t>Riset Akuntansi Dan Keuangan Indonesia</w:t>
      </w:r>
      <w:r>
        <w:rPr>
          <w:sz w:val="16"/>
        </w:rPr>
        <w:t xml:space="preserve">, </w:t>
      </w:r>
      <w:r>
        <w:rPr>
          <w:i/>
          <w:sz w:val="16"/>
        </w:rPr>
        <w:t>6</w:t>
      </w:r>
      <w:r>
        <w:rPr>
          <w:sz w:val="16"/>
        </w:rPr>
        <w:t>(1), 18–26.</w:t>
      </w:r>
    </w:p>
    <w:p w14:paraId="0F800CC4" w14:textId="77777777" w:rsidR="002C2465" w:rsidRDefault="002C2465" w:rsidP="002C2465">
      <w:pPr>
        <w:ind w:left="85" w:right="5389"/>
        <w:jc w:val="both"/>
        <w:rPr>
          <w:sz w:val="16"/>
        </w:rPr>
      </w:pPr>
      <w:r>
        <w:rPr>
          <w:sz w:val="16"/>
        </w:rPr>
        <w:t xml:space="preserve">Sugiyono. (2012). </w:t>
      </w:r>
      <w:r>
        <w:rPr>
          <w:i/>
          <w:sz w:val="16"/>
        </w:rPr>
        <w:t>Statistika Untuk Penelitian</w:t>
      </w:r>
      <w:r>
        <w:rPr>
          <w:sz w:val="16"/>
        </w:rPr>
        <w:t>. Bandung: ALFABETA.</w:t>
      </w:r>
      <w:r>
        <w:rPr>
          <w:spacing w:val="40"/>
          <w:sz w:val="16"/>
        </w:rPr>
        <w:t xml:space="preserve"> </w:t>
      </w:r>
      <w:r>
        <w:rPr>
          <w:sz w:val="16"/>
        </w:rPr>
        <w:t>Sujoko.</w:t>
      </w:r>
      <w:r>
        <w:rPr>
          <w:spacing w:val="40"/>
          <w:sz w:val="16"/>
        </w:rPr>
        <w:t xml:space="preserve"> </w:t>
      </w:r>
      <w:r>
        <w:rPr>
          <w:sz w:val="16"/>
        </w:rPr>
        <w:t>(2006).</w:t>
      </w:r>
      <w:r>
        <w:rPr>
          <w:spacing w:val="40"/>
          <w:sz w:val="16"/>
        </w:rPr>
        <w:t xml:space="preserve"> </w:t>
      </w:r>
      <w:r>
        <w:rPr>
          <w:sz w:val="16"/>
        </w:rPr>
        <w:t>Pengaruh</w:t>
      </w:r>
      <w:r>
        <w:rPr>
          <w:spacing w:val="40"/>
          <w:sz w:val="16"/>
        </w:rPr>
        <w:t xml:space="preserve"> </w:t>
      </w:r>
      <w:r>
        <w:rPr>
          <w:sz w:val="16"/>
        </w:rPr>
        <w:t>Struktur</w:t>
      </w:r>
      <w:r>
        <w:rPr>
          <w:spacing w:val="40"/>
          <w:sz w:val="16"/>
        </w:rPr>
        <w:t xml:space="preserve"> </w:t>
      </w:r>
      <w:r>
        <w:rPr>
          <w:sz w:val="16"/>
        </w:rPr>
        <w:t>Kepemilikan,</w:t>
      </w:r>
      <w:r>
        <w:rPr>
          <w:spacing w:val="40"/>
          <w:sz w:val="16"/>
        </w:rPr>
        <w:t xml:space="preserve"> </w:t>
      </w:r>
      <w:r>
        <w:rPr>
          <w:sz w:val="16"/>
        </w:rPr>
        <w:t>Strategi</w:t>
      </w:r>
      <w:r>
        <w:rPr>
          <w:spacing w:val="40"/>
          <w:sz w:val="16"/>
        </w:rPr>
        <w:t xml:space="preserve"> </w:t>
      </w:r>
      <w:r>
        <w:rPr>
          <w:sz w:val="16"/>
        </w:rPr>
        <w:t>Diversifikasi,</w:t>
      </w:r>
    </w:p>
    <w:p w14:paraId="3E767067" w14:textId="77777777" w:rsidR="002C2465" w:rsidRDefault="002C2465" w:rsidP="002C2465">
      <w:pPr>
        <w:ind w:left="444" w:right="5380"/>
        <w:jc w:val="both"/>
        <w:rPr>
          <w:sz w:val="16"/>
        </w:rPr>
      </w:pPr>
      <w:r>
        <w:rPr>
          <w:sz w:val="16"/>
        </w:rPr>
        <w:t>Terhadap Nilai Perusahaan (Studi Empirik Pada Perusahaan</w:t>
      </w:r>
      <w:r>
        <w:rPr>
          <w:spacing w:val="40"/>
          <w:sz w:val="16"/>
        </w:rPr>
        <w:t xml:space="preserve"> </w:t>
      </w:r>
      <w:r>
        <w:rPr>
          <w:sz w:val="16"/>
        </w:rPr>
        <w:t xml:space="preserve">Manufaktur Dan Non Manufaktur Di Bursa Efek Jakarta). </w:t>
      </w:r>
      <w:r>
        <w:rPr>
          <w:i/>
          <w:sz w:val="16"/>
        </w:rPr>
        <w:t>Ekuitas</w:t>
      </w:r>
      <w:r>
        <w:rPr>
          <w:sz w:val="16"/>
        </w:rPr>
        <w:t>,</w:t>
      </w:r>
      <w:r>
        <w:rPr>
          <w:spacing w:val="40"/>
          <w:sz w:val="16"/>
        </w:rPr>
        <w:t xml:space="preserve"> </w:t>
      </w:r>
      <w:r>
        <w:rPr>
          <w:i/>
          <w:sz w:val="16"/>
        </w:rPr>
        <w:t>11</w:t>
      </w:r>
      <w:r>
        <w:rPr>
          <w:sz w:val="16"/>
        </w:rPr>
        <w:t>(55),</w:t>
      </w:r>
      <w:r>
        <w:rPr>
          <w:spacing w:val="-3"/>
          <w:sz w:val="16"/>
        </w:rPr>
        <w:t xml:space="preserve"> </w:t>
      </w:r>
      <w:r>
        <w:rPr>
          <w:sz w:val="16"/>
        </w:rPr>
        <w:t>236–254.</w:t>
      </w:r>
    </w:p>
    <w:p w14:paraId="60C2F7E8" w14:textId="77777777" w:rsidR="002C2465" w:rsidRDefault="002C2465" w:rsidP="002C2465">
      <w:pPr>
        <w:spacing w:line="183" w:lineRule="exact"/>
        <w:ind w:left="444"/>
        <w:rPr>
          <w:sz w:val="16"/>
        </w:rPr>
      </w:pPr>
      <w:r>
        <w:rPr>
          <w:spacing w:val="-2"/>
          <w:sz w:val="16"/>
        </w:rPr>
        <w:t>https://ejournal.stiesia.ac.id/ekuitas/article/view/317/298.</w:t>
      </w:r>
    </w:p>
    <w:p w14:paraId="32AD6CFA" w14:textId="77777777" w:rsidR="002C2465" w:rsidRDefault="002C2465" w:rsidP="002C2465">
      <w:pPr>
        <w:ind w:left="444" w:right="4943" w:hanging="359"/>
        <w:rPr>
          <w:sz w:val="16"/>
        </w:rPr>
      </w:pPr>
      <w:r>
        <w:rPr>
          <w:sz w:val="16"/>
        </w:rPr>
        <w:t>Sulaeman,</w:t>
      </w:r>
      <w:r>
        <w:rPr>
          <w:spacing w:val="80"/>
          <w:sz w:val="16"/>
        </w:rPr>
        <w:t xml:space="preserve"> </w:t>
      </w:r>
      <w:r>
        <w:rPr>
          <w:sz w:val="16"/>
        </w:rPr>
        <w:t>E.</w:t>
      </w:r>
      <w:r>
        <w:rPr>
          <w:spacing w:val="80"/>
          <w:sz w:val="16"/>
        </w:rPr>
        <w:t xml:space="preserve"> </w:t>
      </w:r>
      <w:r>
        <w:rPr>
          <w:sz w:val="16"/>
        </w:rPr>
        <w:t>(2020).</w:t>
      </w:r>
      <w:r>
        <w:rPr>
          <w:spacing w:val="80"/>
          <w:sz w:val="16"/>
        </w:rPr>
        <w:t xml:space="preserve"> </w:t>
      </w:r>
      <w:r>
        <w:rPr>
          <w:sz w:val="16"/>
        </w:rPr>
        <w:t>Pengaruh</w:t>
      </w:r>
      <w:r>
        <w:rPr>
          <w:spacing w:val="80"/>
          <w:sz w:val="16"/>
        </w:rPr>
        <w:t xml:space="preserve"> </w:t>
      </w:r>
      <w:r>
        <w:rPr>
          <w:sz w:val="16"/>
        </w:rPr>
        <w:t>Manajemen</w:t>
      </w:r>
      <w:r>
        <w:rPr>
          <w:spacing w:val="80"/>
          <w:sz w:val="16"/>
        </w:rPr>
        <w:t xml:space="preserve"> </w:t>
      </w:r>
      <w:r>
        <w:rPr>
          <w:sz w:val="16"/>
        </w:rPr>
        <w:t>Laba</w:t>
      </w:r>
      <w:r>
        <w:rPr>
          <w:spacing w:val="80"/>
          <w:sz w:val="16"/>
        </w:rPr>
        <w:t xml:space="preserve"> </w:t>
      </w:r>
      <w:r>
        <w:rPr>
          <w:sz w:val="16"/>
        </w:rPr>
        <w:t>Dan</w:t>
      </w:r>
      <w:r>
        <w:rPr>
          <w:spacing w:val="80"/>
          <w:sz w:val="16"/>
        </w:rPr>
        <w:t xml:space="preserve"> </w:t>
      </w:r>
      <w:r>
        <w:rPr>
          <w:sz w:val="16"/>
        </w:rPr>
        <w:t>Komposisi</w:t>
      </w:r>
      <w:r>
        <w:rPr>
          <w:spacing w:val="40"/>
          <w:sz w:val="16"/>
        </w:rPr>
        <w:t xml:space="preserve"> </w:t>
      </w:r>
      <w:r>
        <w:rPr>
          <w:sz w:val="16"/>
        </w:rPr>
        <w:t>Komisaris</w:t>
      </w:r>
      <w:r>
        <w:rPr>
          <w:spacing w:val="80"/>
          <w:sz w:val="16"/>
        </w:rPr>
        <w:t xml:space="preserve"> </w:t>
      </w:r>
      <w:r>
        <w:rPr>
          <w:sz w:val="16"/>
        </w:rPr>
        <w:t>Independen</w:t>
      </w:r>
      <w:r>
        <w:rPr>
          <w:spacing w:val="80"/>
          <w:sz w:val="16"/>
        </w:rPr>
        <w:t xml:space="preserve"> </w:t>
      </w:r>
      <w:r>
        <w:rPr>
          <w:sz w:val="16"/>
        </w:rPr>
        <w:t>Terhadap</w:t>
      </w:r>
      <w:r>
        <w:rPr>
          <w:spacing w:val="80"/>
          <w:sz w:val="16"/>
        </w:rPr>
        <w:t xml:space="preserve"> </w:t>
      </w:r>
      <w:r>
        <w:rPr>
          <w:sz w:val="16"/>
        </w:rPr>
        <w:t>Kualitas</w:t>
      </w:r>
      <w:r>
        <w:rPr>
          <w:spacing w:val="80"/>
          <w:sz w:val="16"/>
        </w:rPr>
        <w:t xml:space="preserve"> </w:t>
      </w:r>
      <w:r>
        <w:rPr>
          <w:sz w:val="16"/>
        </w:rPr>
        <w:t>Laba</w:t>
      </w:r>
      <w:r>
        <w:rPr>
          <w:spacing w:val="80"/>
          <w:sz w:val="16"/>
        </w:rPr>
        <w:t xml:space="preserve"> </w:t>
      </w:r>
      <w:r>
        <w:rPr>
          <w:sz w:val="16"/>
        </w:rPr>
        <w:t>Dan</w:t>
      </w:r>
      <w:r>
        <w:rPr>
          <w:spacing w:val="80"/>
          <w:sz w:val="16"/>
        </w:rPr>
        <w:t xml:space="preserve"> </w:t>
      </w:r>
      <w:r>
        <w:rPr>
          <w:sz w:val="16"/>
        </w:rPr>
        <w:t>Efeknya</w:t>
      </w:r>
      <w:r>
        <w:rPr>
          <w:spacing w:val="40"/>
          <w:sz w:val="16"/>
        </w:rPr>
        <w:t xml:space="preserve"> </w:t>
      </w:r>
      <w:r>
        <w:rPr>
          <w:sz w:val="16"/>
        </w:rPr>
        <w:t>Terhadap</w:t>
      </w:r>
      <w:r>
        <w:rPr>
          <w:spacing w:val="80"/>
          <w:sz w:val="16"/>
        </w:rPr>
        <w:t xml:space="preserve"> </w:t>
      </w:r>
      <w:r>
        <w:rPr>
          <w:sz w:val="16"/>
        </w:rPr>
        <w:t>Nilai</w:t>
      </w:r>
      <w:r>
        <w:rPr>
          <w:spacing w:val="80"/>
          <w:sz w:val="16"/>
        </w:rPr>
        <w:t xml:space="preserve"> </w:t>
      </w:r>
      <w:r>
        <w:rPr>
          <w:sz w:val="16"/>
        </w:rPr>
        <w:t>Perusahaan.</w:t>
      </w:r>
      <w:r>
        <w:rPr>
          <w:spacing w:val="80"/>
          <w:sz w:val="16"/>
        </w:rPr>
        <w:t xml:space="preserve"> </w:t>
      </w:r>
      <w:r>
        <w:rPr>
          <w:i/>
          <w:sz w:val="16"/>
        </w:rPr>
        <w:t>EKUITAS</w:t>
      </w:r>
      <w:r>
        <w:rPr>
          <w:i/>
          <w:spacing w:val="80"/>
          <w:sz w:val="16"/>
        </w:rPr>
        <w:t xml:space="preserve"> </w:t>
      </w:r>
      <w:r>
        <w:rPr>
          <w:i/>
          <w:sz w:val="16"/>
        </w:rPr>
        <w:t>(Jurnal</w:t>
      </w:r>
      <w:r>
        <w:rPr>
          <w:i/>
          <w:spacing w:val="80"/>
          <w:sz w:val="16"/>
        </w:rPr>
        <w:t xml:space="preserve"> </w:t>
      </w:r>
      <w:r>
        <w:rPr>
          <w:i/>
          <w:sz w:val="16"/>
        </w:rPr>
        <w:t>Ekonomi</w:t>
      </w:r>
      <w:r>
        <w:rPr>
          <w:i/>
          <w:spacing w:val="80"/>
          <w:sz w:val="16"/>
        </w:rPr>
        <w:t xml:space="preserve"> </w:t>
      </w:r>
      <w:r>
        <w:rPr>
          <w:i/>
          <w:sz w:val="16"/>
        </w:rPr>
        <w:t>Dan</w:t>
      </w:r>
      <w:r>
        <w:rPr>
          <w:i/>
          <w:spacing w:val="40"/>
          <w:sz w:val="16"/>
        </w:rPr>
        <w:t xml:space="preserve"> </w:t>
      </w:r>
      <w:r>
        <w:rPr>
          <w:i/>
          <w:sz w:val="16"/>
        </w:rPr>
        <w:t>Keuangan)</w:t>
      </w:r>
      <w:r>
        <w:rPr>
          <w:sz w:val="16"/>
        </w:rPr>
        <w:t xml:space="preserve">, </w:t>
      </w:r>
      <w:r>
        <w:rPr>
          <w:i/>
          <w:sz w:val="16"/>
        </w:rPr>
        <w:t>3</w:t>
      </w:r>
      <w:r>
        <w:rPr>
          <w:sz w:val="16"/>
        </w:rPr>
        <w:t>(2), 188–205.</w:t>
      </w:r>
      <w:r>
        <w:rPr>
          <w:spacing w:val="40"/>
          <w:sz w:val="16"/>
        </w:rPr>
        <w:t xml:space="preserve"> </w:t>
      </w:r>
      <w:r>
        <w:rPr>
          <w:spacing w:val="-2"/>
          <w:sz w:val="16"/>
        </w:rPr>
        <w:t>https://doi.org/10.24034/j25485024.y2019.v3.i2.4109.</w:t>
      </w:r>
    </w:p>
    <w:p w14:paraId="423A89AA" w14:textId="77777777" w:rsidR="002C2465" w:rsidRDefault="002C2465" w:rsidP="002C2465">
      <w:pPr>
        <w:spacing w:before="1"/>
        <w:ind w:left="444" w:right="5378" w:hanging="359"/>
        <w:jc w:val="both"/>
        <w:rPr>
          <w:sz w:val="16"/>
        </w:rPr>
      </w:pPr>
      <w:r>
        <w:rPr>
          <w:sz w:val="16"/>
        </w:rPr>
        <w:t>Suteja,</w:t>
      </w:r>
      <w:r>
        <w:rPr>
          <w:spacing w:val="-2"/>
          <w:sz w:val="16"/>
        </w:rPr>
        <w:t xml:space="preserve"> </w:t>
      </w:r>
      <w:r>
        <w:rPr>
          <w:sz w:val="16"/>
        </w:rPr>
        <w:t>J.,</w:t>
      </w:r>
      <w:r>
        <w:rPr>
          <w:spacing w:val="-2"/>
          <w:sz w:val="16"/>
        </w:rPr>
        <w:t xml:space="preserve"> </w:t>
      </w:r>
      <w:r>
        <w:rPr>
          <w:sz w:val="16"/>
        </w:rPr>
        <w:t>&amp;</w:t>
      </w:r>
      <w:r>
        <w:rPr>
          <w:spacing w:val="-5"/>
          <w:sz w:val="16"/>
        </w:rPr>
        <w:t xml:space="preserve"> </w:t>
      </w:r>
      <w:r>
        <w:rPr>
          <w:sz w:val="16"/>
        </w:rPr>
        <w:t>Mayasari,</w:t>
      </w:r>
      <w:r>
        <w:rPr>
          <w:spacing w:val="-2"/>
          <w:sz w:val="16"/>
        </w:rPr>
        <w:t xml:space="preserve"> </w:t>
      </w:r>
      <w:r>
        <w:rPr>
          <w:sz w:val="16"/>
        </w:rPr>
        <w:t>A.</w:t>
      </w:r>
      <w:r>
        <w:rPr>
          <w:spacing w:val="-2"/>
          <w:sz w:val="16"/>
        </w:rPr>
        <w:t xml:space="preserve"> </w:t>
      </w:r>
      <w:r>
        <w:rPr>
          <w:sz w:val="16"/>
        </w:rPr>
        <w:t>N.</w:t>
      </w:r>
      <w:r>
        <w:rPr>
          <w:spacing w:val="-2"/>
          <w:sz w:val="16"/>
        </w:rPr>
        <w:t xml:space="preserve"> </w:t>
      </w:r>
      <w:r>
        <w:rPr>
          <w:sz w:val="16"/>
        </w:rPr>
        <w:t>(2017).</w:t>
      </w:r>
      <w:r>
        <w:rPr>
          <w:spacing w:val="-5"/>
          <w:sz w:val="16"/>
        </w:rPr>
        <w:t xml:space="preserve"> </w:t>
      </w:r>
      <w:r>
        <w:rPr>
          <w:sz w:val="16"/>
        </w:rPr>
        <w:t>Is</w:t>
      </w:r>
      <w:r>
        <w:rPr>
          <w:spacing w:val="-3"/>
          <w:sz w:val="16"/>
        </w:rPr>
        <w:t xml:space="preserve"> </w:t>
      </w:r>
      <w:r>
        <w:rPr>
          <w:sz w:val="16"/>
        </w:rPr>
        <w:t>Investment</w:t>
      </w:r>
      <w:r>
        <w:rPr>
          <w:spacing w:val="-2"/>
          <w:sz w:val="16"/>
        </w:rPr>
        <w:t xml:space="preserve"> </w:t>
      </w:r>
      <w:r>
        <w:rPr>
          <w:sz w:val="16"/>
        </w:rPr>
        <w:t>Policy</w:t>
      </w:r>
      <w:r>
        <w:rPr>
          <w:spacing w:val="-2"/>
          <w:sz w:val="16"/>
        </w:rPr>
        <w:t xml:space="preserve"> </w:t>
      </w:r>
      <w:r>
        <w:rPr>
          <w:sz w:val="16"/>
        </w:rPr>
        <w:t>Value-Enhancing</w:t>
      </w:r>
      <w:r>
        <w:rPr>
          <w:spacing w:val="40"/>
          <w:sz w:val="16"/>
        </w:rPr>
        <w:t xml:space="preserve"> </w:t>
      </w:r>
      <w:r>
        <w:rPr>
          <w:sz w:val="16"/>
        </w:rPr>
        <w:t xml:space="preserve">through CSR Disclosure? </w:t>
      </w:r>
      <w:r>
        <w:rPr>
          <w:i/>
          <w:sz w:val="16"/>
        </w:rPr>
        <w:t>Jurnal Keuangan Dan Perbankan</w:t>
      </w:r>
      <w:r>
        <w:rPr>
          <w:sz w:val="16"/>
        </w:rPr>
        <w:t xml:space="preserve">, </w:t>
      </w:r>
      <w:r>
        <w:rPr>
          <w:i/>
          <w:sz w:val="16"/>
        </w:rPr>
        <w:t>21</w:t>
      </w:r>
      <w:r>
        <w:rPr>
          <w:sz w:val="16"/>
        </w:rPr>
        <w:t>(4),</w:t>
      </w:r>
      <w:r>
        <w:rPr>
          <w:spacing w:val="40"/>
          <w:sz w:val="16"/>
        </w:rPr>
        <w:t xml:space="preserve"> </w:t>
      </w:r>
      <w:r>
        <w:rPr>
          <w:sz w:val="16"/>
        </w:rPr>
        <w:t>587–596.</w:t>
      </w:r>
      <w:r>
        <w:rPr>
          <w:spacing w:val="-5"/>
          <w:sz w:val="16"/>
        </w:rPr>
        <w:t xml:space="preserve"> </w:t>
      </w:r>
      <w:r>
        <w:rPr>
          <w:sz w:val="16"/>
        </w:rPr>
        <w:t>https://doi.org/10.26905/jkdp.v21i4.1724.</w:t>
      </w:r>
    </w:p>
    <w:p w14:paraId="5AC0063D" w14:textId="77777777" w:rsidR="002C2465" w:rsidRDefault="002C2465" w:rsidP="002C2465">
      <w:pPr>
        <w:ind w:left="444" w:right="5379" w:hanging="359"/>
        <w:jc w:val="both"/>
        <w:rPr>
          <w:sz w:val="16"/>
        </w:rPr>
      </w:pPr>
      <w:r>
        <w:rPr>
          <w:sz w:val="16"/>
        </w:rPr>
        <w:t>Syamsudin, S., Setiadi, I., Santoso, D., &amp; Setiany, E. (2020). Capital</w:t>
      </w:r>
      <w:r>
        <w:rPr>
          <w:spacing w:val="40"/>
          <w:sz w:val="16"/>
        </w:rPr>
        <w:t xml:space="preserve"> </w:t>
      </w:r>
      <w:r>
        <w:rPr>
          <w:sz w:val="16"/>
        </w:rPr>
        <w:t>Structure and Investment Decisions on Firm Value with Profitability</w:t>
      </w:r>
      <w:r>
        <w:rPr>
          <w:spacing w:val="40"/>
          <w:sz w:val="16"/>
        </w:rPr>
        <w:t xml:space="preserve"> </w:t>
      </w:r>
      <w:r>
        <w:rPr>
          <w:sz w:val="16"/>
        </w:rPr>
        <w:t>as a</w:t>
      </w:r>
      <w:r>
        <w:rPr>
          <w:spacing w:val="-2"/>
          <w:sz w:val="16"/>
        </w:rPr>
        <w:t xml:space="preserve"> </w:t>
      </w:r>
      <w:r>
        <w:rPr>
          <w:sz w:val="16"/>
        </w:rPr>
        <w:t>Moderator.</w:t>
      </w:r>
      <w:r>
        <w:rPr>
          <w:spacing w:val="2"/>
          <w:sz w:val="16"/>
        </w:rPr>
        <w:t xml:space="preserve"> </w:t>
      </w:r>
      <w:r>
        <w:rPr>
          <w:i/>
          <w:sz w:val="16"/>
        </w:rPr>
        <w:t>Riset</w:t>
      </w:r>
      <w:r>
        <w:rPr>
          <w:i/>
          <w:spacing w:val="1"/>
          <w:sz w:val="16"/>
        </w:rPr>
        <w:t xml:space="preserve"> </w:t>
      </w:r>
      <w:r>
        <w:rPr>
          <w:i/>
          <w:sz w:val="16"/>
        </w:rPr>
        <w:t>Akuntansi</w:t>
      </w:r>
      <w:r>
        <w:rPr>
          <w:i/>
          <w:spacing w:val="1"/>
          <w:sz w:val="16"/>
        </w:rPr>
        <w:t xml:space="preserve"> </w:t>
      </w:r>
      <w:r>
        <w:rPr>
          <w:i/>
          <w:sz w:val="16"/>
        </w:rPr>
        <w:t>Dan Keuangan</w:t>
      </w:r>
      <w:r>
        <w:rPr>
          <w:i/>
          <w:spacing w:val="1"/>
          <w:sz w:val="16"/>
        </w:rPr>
        <w:t xml:space="preserve"> </w:t>
      </w:r>
      <w:r>
        <w:rPr>
          <w:i/>
          <w:sz w:val="16"/>
        </w:rPr>
        <w:t>Indonesia</w:t>
      </w:r>
      <w:r>
        <w:rPr>
          <w:sz w:val="16"/>
        </w:rPr>
        <w:t>,</w:t>
      </w:r>
      <w:r>
        <w:rPr>
          <w:spacing w:val="-2"/>
          <w:sz w:val="16"/>
        </w:rPr>
        <w:t xml:space="preserve"> </w:t>
      </w:r>
      <w:r>
        <w:rPr>
          <w:i/>
          <w:sz w:val="16"/>
        </w:rPr>
        <w:t>5</w:t>
      </w:r>
      <w:r>
        <w:rPr>
          <w:sz w:val="16"/>
        </w:rPr>
        <w:t>(3),</w:t>
      </w:r>
      <w:r>
        <w:rPr>
          <w:spacing w:val="1"/>
          <w:sz w:val="16"/>
        </w:rPr>
        <w:t xml:space="preserve"> </w:t>
      </w:r>
      <w:r>
        <w:rPr>
          <w:spacing w:val="-4"/>
          <w:sz w:val="16"/>
        </w:rPr>
        <w:t>287–</w:t>
      </w:r>
    </w:p>
    <w:p w14:paraId="13BC36F1" w14:textId="77777777" w:rsidR="002C2465" w:rsidRDefault="002C2465" w:rsidP="002C2465">
      <w:pPr>
        <w:ind w:left="85" w:right="5386" w:firstLine="358"/>
        <w:jc w:val="both"/>
        <w:rPr>
          <w:sz w:val="16"/>
        </w:rPr>
      </w:pPr>
      <w:r>
        <w:rPr>
          <w:sz w:val="16"/>
        </w:rPr>
        <w:t>295.</w:t>
      </w:r>
      <w:r>
        <w:rPr>
          <w:spacing w:val="-5"/>
          <w:sz w:val="16"/>
        </w:rPr>
        <w:t xml:space="preserve"> </w:t>
      </w:r>
      <w:hyperlink r:id="rId10">
        <w:r>
          <w:rPr>
            <w:sz w:val="16"/>
          </w:rPr>
          <w:t>http://journals.ums.ac.id/index.php/reaksi/index%0ACapital.</w:t>
        </w:r>
      </w:hyperlink>
      <w:r>
        <w:rPr>
          <w:spacing w:val="40"/>
          <w:sz w:val="16"/>
        </w:rPr>
        <w:t xml:space="preserve"> </w:t>
      </w:r>
      <w:r>
        <w:rPr>
          <w:sz w:val="16"/>
        </w:rPr>
        <w:t>Yuharningsih,</w:t>
      </w:r>
      <w:r>
        <w:rPr>
          <w:spacing w:val="39"/>
          <w:sz w:val="16"/>
        </w:rPr>
        <w:t xml:space="preserve"> </w:t>
      </w:r>
      <w:r>
        <w:rPr>
          <w:sz w:val="16"/>
        </w:rPr>
        <w:t>Y.</w:t>
      </w:r>
      <w:r>
        <w:rPr>
          <w:spacing w:val="39"/>
          <w:sz w:val="16"/>
        </w:rPr>
        <w:t xml:space="preserve"> </w:t>
      </w:r>
      <w:r>
        <w:rPr>
          <w:sz w:val="16"/>
        </w:rPr>
        <w:t>(2008).</w:t>
      </w:r>
      <w:r>
        <w:rPr>
          <w:spacing w:val="39"/>
          <w:sz w:val="16"/>
        </w:rPr>
        <w:t xml:space="preserve"> </w:t>
      </w:r>
      <w:r>
        <w:rPr>
          <w:sz w:val="16"/>
        </w:rPr>
        <w:t>Pengujian</w:t>
      </w:r>
      <w:r>
        <w:rPr>
          <w:spacing w:val="40"/>
          <w:sz w:val="16"/>
        </w:rPr>
        <w:t xml:space="preserve"> </w:t>
      </w:r>
      <w:r>
        <w:rPr>
          <w:sz w:val="16"/>
        </w:rPr>
        <w:t>Pecking</w:t>
      </w:r>
      <w:r>
        <w:rPr>
          <w:spacing w:val="40"/>
          <w:sz w:val="16"/>
        </w:rPr>
        <w:t xml:space="preserve"> </w:t>
      </w:r>
      <w:r>
        <w:rPr>
          <w:sz w:val="16"/>
        </w:rPr>
        <w:t>Order</w:t>
      </w:r>
      <w:r>
        <w:rPr>
          <w:spacing w:val="40"/>
          <w:sz w:val="16"/>
        </w:rPr>
        <w:t xml:space="preserve"> </w:t>
      </w:r>
      <w:r>
        <w:rPr>
          <w:sz w:val="16"/>
        </w:rPr>
        <w:t>Hypothesis</w:t>
      </w:r>
      <w:r>
        <w:rPr>
          <w:spacing w:val="38"/>
          <w:sz w:val="16"/>
        </w:rPr>
        <w:t xml:space="preserve"> </w:t>
      </w:r>
      <w:r>
        <w:rPr>
          <w:sz w:val="16"/>
        </w:rPr>
        <w:t>Melalui</w:t>
      </w:r>
    </w:p>
    <w:p w14:paraId="36947ACB" w14:textId="77777777" w:rsidR="002C2465" w:rsidRDefault="002C2465" w:rsidP="002C2465">
      <w:pPr>
        <w:ind w:left="444" w:right="5381"/>
        <w:jc w:val="both"/>
        <w:rPr>
          <w:sz w:val="16"/>
        </w:rPr>
      </w:pPr>
      <w:r>
        <w:rPr>
          <w:sz w:val="16"/>
        </w:rPr>
        <w:t>Keterkaitan Dividend Payout Ratio, Financial Leverage Dan</w:t>
      </w:r>
      <w:r>
        <w:rPr>
          <w:spacing w:val="40"/>
          <w:sz w:val="16"/>
        </w:rPr>
        <w:t xml:space="preserve"> </w:t>
      </w:r>
      <w:r>
        <w:rPr>
          <w:sz w:val="16"/>
        </w:rPr>
        <w:t xml:space="preserve">Investment Opportunity. </w:t>
      </w:r>
      <w:r>
        <w:rPr>
          <w:i/>
          <w:sz w:val="16"/>
        </w:rPr>
        <w:t>Jurnal Keuangan Dan Perbankan</w:t>
      </w:r>
      <w:r>
        <w:rPr>
          <w:sz w:val="16"/>
        </w:rPr>
        <w:t xml:space="preserve">, </w:t>
      </w:r>
      <w:r>
        <w:rPr>
          <w:i/>
          <w:sz w:val="16"/>
        </w:rPr>
        <w:t>12</w:t>
      </w:r>
      <w:r>
        <w:rPr>
          <w:sz w:val="16"/>
        </w:rPr>
        <w:t>(1).</w:t>
      </w:r>
      <w:r>
        <w:rPr>
          <w:spacing w:val="40"/>
          <w:sz w:val="16"/>
        </w:rPr>
        <w:t xml:space="preserve"> </w:t>
      </w:r>
      <w:hyperlink r:id="rId11">
        <w:r>
          <w:rPr>
            <w:spacing w:val="-2"/>
            <w:sz w:val="16"/>
          </w:rPr>
          <w:t>http://jurnal.unmer.ac.id/index.php/jkdp/article/view/869.</w:t>
        </w:r>
      </w:hyperlink>
    </w:p>
    <w:p w14:paraId="4FD62B11" w14:textId="77777777" w:rsidR="00282F59" w:rsidRDefault="00282F59">
      <w:pPr>
        <w:pStyle w:val="BodyText"/>
        <w:spacing w:before="2" w:line="252" w:lineRule="auto"/>
        <w:ind w:left="85" w:right="47" w:firstLine="201"/>
      </w:pPr>
    </w:p>
    <w:p w14:paraId="52D64E13" w14:textId="66BC2802" w:rsidR="005D1AC1" w:rsidRDefault="005D1AC1" w:rsidP="00045BAB">
      <w:pPr>
        <w:ind w:right="5381"/>
        <w:jc w:val="both"/>
        <w:rPr>
          <w:sz w:val="16"/>
        </w:rPr>
      </w:pPr>
    </w:p>
    <w:sectPr w:rsidR="005D1AC1">
      <w:pgSz w:w="11910" w:h="16840"/>
      <w:pgMar w:top="900" w:right="708" w:bottom="680" w:left="850" w:header="14" w:footer="4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6B05C" w14:textId="77777777" w:rsidR="001651B7" w:rsidRDefault="001651B7">
      <w:r>
        <w:separator/>
      </w:r>
    </w:p>
  </w:endnote>
  <w:endnote w:type="continuationSeparator" w:id="0">
    <w:p w14:paraId="0FA0BD83" w14:textId="77777777" w:rsidR="001651B7" w:rsidRDefault="0016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E24D0" w14:textId="1A35C8CC" w:rsidR="005D1AC1" w:rsidRDefault="005D1AC1">
    <w:pPr>
      <w:pStyle w:val="BodyText"/>
      <w:spacing w:line="14"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3D7D7" w14:textId="77777777" w:rsidR="001651B7" w:rsidRDefault="001651B7">
      <w:r>
        <w:separator/>
      </w:r>
    </w:p>
  </w:footnote>
  <w:footnote w:type="continuationSeparator" w:id="0">
    <w:p w14:paraId="378B7938" w14:textId="77777777" w:rsidR="001651B7" w:rsidRDefault="00165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9058E" w14:textId="0B4F95AF" w:rsidR="005D1AC1" w:rsidRDefault="005D1AC1">
    <w:pPr>
      <w:pStyle w:val="BodyText"/>
      <w:spacing w:line="14"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176C"/>
    <w:multiLevelType w:val="hybridMultilevel"/>
    <w:tmpl w:val="6ABE7A00"/>
    <w:lvl w:ilvl="0" w:tplc="D0F4D486">
      <w:start w:val="1"/>
      <w:numFmt w:val="upperLetter"/>
      <w:lvlText w:val="%1."/>
      <w:lvlJc w:val="left"/>
      <w:pPr>
        <w:ind w:left="547" w:hanging="318"/>
      </w:pPr>
      <w:rPr>
        <w:rFonts w:ascii="Times New Roman" w:eastAsia="Times New Roman" w:hAnsi="Times New Roman" w:cs="Times New Roman" w:hint="default"/>
        <w:b w:val="0"/>
        <w:bCs w:val="0"/>
        <w:i/>
        <w:iCs/>
        <w:spacing w:val="0"/>
        <w:w w:val="99"/>
        <w:sz w:val="20"/>
        <w:szCs w:val="20"/>
        <w:lang w:val="en-US" w:eastAsia="en-US" w:bidi="ar-SA"/>
      </w:rPr>
    </w:lvl>
    <w:lvl w:ilvl="1" w:tplc="AED251EC">
      <w:numFmt w:val="bullet"/>
      <w:lvlText w:val="•"/>
      <w:lvlJc w:val="left"/>
      <w:pPr>
        <w:ind w:left="986" w:hanging="318"/>
      </w:pPr>
      <w:rPr>
        <w:rFonts w:hint="default"/>
        <w:lang w:val="en-US" w:eastAsia="en-US" w:bidi="ar-SA"/>
      </w:rPr>
    </w:lvl>
    <w:lvl w:ilvl="2" w:tplc="2FE6DB7C">
      <w:numFmt w:val="bullet"/>
      <w:lvlText w:val="•"/>
      <w:lvlJc w:val="left"/>
      <w:pPr>
        <w:ind w:left="1433" w:hanging="318"/>
      </w:pPr>
      <w:rPr>
        <w:rFonts w:hint="default"/>
        <w:lang w:val="en-US" w:eastAsia="en-US" w:bidi="ar-SA"/>
      </w:rPr>
    </w:lvl>
    <w:lvl w:ilvl="3" w:tplc="CC56803A">
      <w:numFmt w:val="bullet"/>
      <w:lvlText w:val="•"/>
      <w:lvlJc w:val="left"/>
      <w:pPr>
        <w:ind w:left="1879" w:hanging="318"/>
      </w:pPr>
      <w:rPr>
        <w:rFonts w:hint="default"/>
        <w:lang w:val="en-US" w:eastAsia="en-US" w:bidi="ar-SA"/>
      </w:rPr>
    </w:lvl>
    <w:lvl w:ilvl="4" w:tplc="D30E4480">
      <w:numFmt w:val="bullet"/>
      <w:lvlText w:val="•"/>
      <w:lvlJc w:val="left"/>
      <w:pPr>
        <w:ind w:left="2326" w:hanging="318"/>
      </w:pPr>
      <w:rPr>
        <w:rFonts w:hint="default"/>
        <w:lang w:val="en-US" w:eastAsia="en-US" w:bidi="ar-SA"/>
      </w:rPr>
    </w:lvl>
    <w:lvl w:ilvl="5" w:tplc="4ED26584">
      <w:numFmt w:val="bullet"/>
      <w:lvlText w:val="•"/>
      <w:lvlJc w:val="left"/>
      <w:pPr>
        <w:ind w:left="2772" w:hanging="318"/>
      </w:pPr>
      <w:rPr>
        <w:rFonts w:hint="default"/>
        <w:lang w:val="en-US" w:eastAsia="en-US" w:bidi="ar-SA"/>
      </w:rPr>
    </w:lvl>
    <w:lvl w:ilvl="6" w:tplc="F3BE68BA">
      <w:numFmt w:val="bullet"/>
      <w:lvlText w:val="•"/>
      <w:lvlJc w:val="left"/>
      <w:pPr>
        <w:ind w:left="3219" w:hanging="318"/>
      </w:pPr>
      <w:rPr>
        <w:rFonts w:hint="default"/>
        <w:lang w:val="en-US" w:eastAsia="en-US" w:bidi="ar-SA"/>
      </w:rPr>
    </w:lvl>
    <w:lvl w:ilvl="7" w:tplc="1410075E">
      <w:numFmt w:val="bullet"/>
      <w:lvlText w:val="•"/>
      <w:lvlJc w:val="left"/>
      <w:pPr>
        <w:ind w:left="3665" w:hanging="318"/>
      </w:pPr>
      <w:rPr>
        <w:rFonts w:hint="default"/>
        <w:lang w:val="en-US" w:eastAsia="en-US" w:bidi="ar-SA"/>
      </w:rPr>
    </w:lvl>
    <w:lvl w:ilvl="8" w:tplc="04F8E23A">
      <w:numFmt w:val="bullet"/>
      <w:lvlText w:val="•"/>
      <w:lvlJc w:val="left"/>
      <w:pPr>
        <w:ind w:left="4112" w:hanging="318"/>
      </w:pPr>
      <w:rPr>
        <w:rFonts w:hint="default"/>
        <w:lang w:val="en-US" w:eastAsia="en-US" w:bidi="ar-SA"/>
      </w:rPr>
    </w:lvl>
  </w:abstractNum>
  <w:abstractNum w:abstractNumId="1" w15:restartNumberingAfterBreak="0">
    <w:nsid w:val="146C3572"/>
    <w:multiLevelType w:val="hybridMultilevel"/>
    <w:tmpl w:val="4430642E"/>
    <w:lvl w:ilvl="0" w:tplc="AD2E5608">
      <w:start w:val="1"/>
      <w:numFmt w:val="decimal"/>
      <w:lvlText w:val="%1)"/>
      <w:lvlJc w:val="left"/>
      <w:pPr>
        <w:ind w:left="444" w:hanging="359"/>
      </w:pPr>
      <w:rPr>
        <w:rFonts w:ascii="Times New Roman" w:eastAsia="Times New Roman" w:hAnsi="Times New Roman" w:cs="Times New Roman" w:hint="default"/>
        <w:b w:val="0"/>
        <w:bCs w:val="0"/>
        <w:i w:val="0"/>
        <w:iCs w:val="0"/>
        <w:spacing w:val="0"/>
        <w:w w:val="99"/>
        <w:sz w:val="20"/>
        <w:szCs w:val="20"/>
        <w:lang w:val="en-US" w:eastAsia="en-US" w:bidi="ar-SA"/>
      </w:rPr>
    </w:lvl>
    <w:lvl w:ilvl="1" w:tplc="096A7578">
      <w:numFmt w:val="bullet"/>
      <w:lvlText w:val="•"/>
      <w:lvlJc w:val="left"/>
      <w:pPr>
        <w:ind w:left="896" w:hanging="359"/>
      </w:pPr>
      <w:rPr>
        <w:rFonts w:hint="default"/>
        <w:lang w:val="en-US" w:eastAsia="en-US" w:bidi="ar-SA"/>
      </w:rPr>
    </w:lvl>
    <w:lvl w:ilvl="2" w:tplc="E78EBDC2">
      <w:numFmt w:val="bullet"/>
      <w:lvlText w:val="•"/>
      <w:lvlJc w:val="left"/>
      <w:pPr>
        <w:ind w:left="1353" w:hanging="359"/>
      </w:pPr>
      <w:rPr>
        <w:rFonts w:hint="default"/>
        <w:lang w:val="en-US" w:eastAsia="en-US" w:bidi="ar-SA"/>
      </w:rPr>
    </w:lvl>
    <w:lvl w:ilvl="3" w:tplc="6D7484C4">
      <w:numFmt w:val="bullet"/>
      <w:lvlText w:val="•"/>
      <w:lvlJc w:val="left"/>
      <w:pPr>
        <w:ind w:left="1809" w:hanging="359"/>
      </w:pPr>
      <w:rPr>
        <w:rFonts w:hint="default"/>
        <w:lang w:val="en-US" w:eastAsia="en-US" w:bidi="ar-SA"/>
      </w:rPr>
    </w:lvl>
    <w:lvl w:ilvl="4" w:tplc="CAACDD44">
      <w:numFmt w:val="bullet"/>
      <w:lvlText w:val="•"/>
      <w:lvlJc w:val="left"/>
      <w:pPr>
        <w:ind w:left="2266" w:hanging="359"/>
      </w:pPr>
      <w:rPr>
        <w:rFonts w:hint="default"/>
        <w:lang w:val="en-US" w:eastAsia="en-US" w:bidi="ar-SA"/>
      </w:rPr>
    </w:lvl>
    <w:lvl w:ilvl="5" w:tplc="2B56EDA6">
      <w:numFmt w:val="bullet"/>
      <w:lvlText w:val="•"/>
      <w:lvlJc w:val="left"/>
      <w:pPr>
        <w:ind w:left="2722" w:hanging="359"/>
      </w:pPr>
      <w:rPr>
        <w:rFonts w:hint="default"/>
        <w:lang w:val="en-US" w:eastAsia="en-US" w:bidi="ar-SA"/>
      </w:rPr>
    </w:lvl>
    <w:lvl w:ilvl="6" w:tplc="7A489C16">
      <w:numFmt w:val="bullet"/>
      <w:lvlText w:val="•"/>
      <w:lvlJc w:val="left"/>
      <w:pPr>
        <w:ind w:left="3179" w:hanging="359"/>
      </w:pPr>
      <w:rPr>
        <w:rFonts w:hint="default"/>
        <w:lang w:val="en-US" w:eastAsia="en-US" w:bidi="ar-SA"/>
      </w:rPr>
    </w:lvl>
    <w:lvl w:ilvl="7" w:tplc="856E4F32">
      <w:numFmt w:val="bullet"/>
      <w:lvlText w:val="•"/>
      <w:lvlJc w:val="left"/>
      <w:pPr>
        <w:ind w:left="3635" w:hanging="359"/>
      </w:pPr>
      <w:rPr>
        <w:rFonts w:hint="default"/>
        <w:lang w:val="en-US" w:eastAsia="en-US" w:bidi="ar-SA"/>
      </w:rPr>
    </w:lvl>
    <w:lvl w:ilvl="8" w:tplc="97181A04">
      <w:numFmt w:val="bullet"/>
      <w:lvlText w:val="•"/>
      <w:lvlJc w:val="left"/>
      <w:pPr>
        <w:ind w:left="4092" w:hanging="359"/>
      </w:pPr>
      <w:rPr>
        <w:rFonts w:hint="default"/>
        <w:lang w:val="en-US" w:eastAsia="en-US" w:bidi="ar-SA"/>
      </w:rPr>
    </w:lvl>
  </w:abstractNum>
  <w:abstractNum w:abstractNumId="2" w15:restartNumberingAfterBreak="0">
    <w:nsid w:val="1A880CC9"/>
    <w:multiLevelType w:val="hybridMultilevel"/>
    <w:tmpl w:val="457402AC"/>
    <w:lvl w:ilvl="0" w:tplc="F036E522">
      <w:start w:val="1"/>
      <w:numFmt w:val="decimal"/>
      <w:lvlText w:val="%1)"/>
      <w:lvlJc w:val="left"/>
      <w:pPr>
        <w:ind w:left="513" w:hanging="224"/>
        <w:jc w:val="right"/>
      </w:pPr>
      <w:rPr>
        <w:rFonts w:ascii="Times New Roman" w:eastAsia="Times New Roman" w:hAnsi="Times New Roman" w:cs="Times New Roman" w:hint="default"/>
        <w:b w:val="0"/>
        <w:bCs w:val="0"/>
        <w:i/>
        <w:iCs/>
        <w:spacing w:val="0"/>
        <w:w w:val="99"/>
        <w:sz w:val="20"/>
        <w:szCs w:val="20"/>
        <w:lang w:val="en-US" w:eastAsia="en-US" w:bidi="ar-SA"/>
      </w:rPr>
    </w:lvl>
    <w:lvl w:ilvl="1" w:tplc="F03833A8">
      <w:numFmt w:val="bullet"/>
      <w:lvlText w:val="•"/>
      <w:lvlJc w:val="left"/>
      <w:pPr>
        <w:ind w:left="968" w:hanging="224"/>
      </w:pPr>
      <w:rPr>
        <w:rFonts w:hint="default"/>
        <w:lang w:val="en-US" w:eastAsia="en-US" w:bidi="ar-SA"/>
      </w:rPr>
    </w:lvl>
    <w:lvl w:ilvl="2" w:tplc="2222C52C">
      <w:numFmt w:val="bullet"/>
      <w:lvlText w:val="•"/>
      <w:lvlJc w:val="left"/>
      <w:pPr>
        <w:ind w:left="1417" w:hanging="224"/>
      </w:pPr>
      <w:rPr>
        <w:rFonts w:hint="default"/>
        <w:lang w:val="en-US" w:eastAsia="en-US" w:bidi="ar-SA"/>
      </w:rPr>
    </w:lvl>
    <w:lvl w:ilvl="3" w:tplc="D4A2E758">
      <w:numFmt w:val="bullet"/>
      <w:lvlText w:val="•"/>
      <w:lvlJc w:val="left"/>
      <w:pPr>
        <w:ind w:left="1865" w:hanging="224"/>
      </w:pPr>
      <w:rPr>
        <w:rFonts w:hint="default"/>
        <w:lang w:val="en-US" w:eastAsia="en-US" w:bidi="ar-SA"/>
      </w:rPr>
    </w:lvl>
    <w:lvl w:ilvl="4" w:tplc="AFBA18F8">
      <w:numFmt w:val="bullet"/>
      <w:lvlText w:val="•"/>
      <w:lvlJc w:val="left"/>
      <w:pPr>
        <w:ind w:left="2314" w:hanging="224"/>
      </w:pPr>
      <w:rPr>
        <w:rFonts w:hint="default"/>
        <w:lang w:val="en-US" w:eastAsia="en-US" w:bidi="ar-SA"/>
      </w:rPr>
    </w:lvl>
    <w:lvl w:ilvl="5" w:tplc="5F5CD378">
      <w:numFmt w:val="bullet"/>
      <w:lvlText w:val="•"/>
      <w:lvlJc w:val="left"/>
      <w:pPr>
        <w:ind w:left="2762" w:hanging="224"/>
      </w:pPr>
      <w:rPr>
        <w:rFonts w:hint="default"/>
        <w:lang w:val="en-US" w:eastAsia="en-US" w:bidi="ar-SA"/>
      </w:rPr>
    </w:lvl>
    <w:lvl w:ilvl="6" w:tplc="64BE36E6">
      <w:numFmt w:val="bullet"/>
      <w:lvlText w:val="•"/>
      <w:lvlJc w:val="left"/>
      <w:pPr>
        <w:ind w:left="3211" w:hanging="224"/>
      </w:pPr>
      <w:rPr>
        <w:rFonts w:hint="default"/>
        <w:lang w:val="en-US" w:eastAsia="en-US" w:bidi="ar-SA"/>
      </w:rPr>
    </w:lvl>
    <w:lvl w:ilvl="7" w:tplc="A26CB1A4">
      <w:numFmt w:val="bullet"/>
      <w:lvlText w:val="•"/>
      <w:lvlJc w:val="left"/>
      <w:pPr>
        <w:ind w:left="3659" w:hanging="224"/>
      </w:pPr>
      <w:rPr>
        <w:rFonts w:hint="default"/>
        <w:lang w:val="en-US" w:eastAsia="en-US" w:bidi="ar-SA"/>
      </w:rPr>
    </w:lvl>
    <w:lvl w:ilvl="8" w:tplc="512C8888">
      <w:numFmt w:val="bullet"/>
      <w:lvlText w:val="•"/>
      <w:lvlJc w:val="left"/>
      <w:pPr>
        <w:ind w:left="4108" w:hanging="224"/>
      </w:pPr>
      <w:rPr>
        <w:rFonts w:hint="default"/>
        <w:lang w:val="en-US" w:eastAsia="en-US" w:bidi="ar-SA"/>
      </w:rPr>
    </w:lvl>
  </w:abstractNum>
  <w:abstractNum w:abstractNumId="3" w15:restartNumberingAfterBreak="0">
    <w:nsid w:val="287665D6"/>
    <w:multiLevelType w:val="hybridMultilevel"/>
    <w:tmpl w:val="3E2213D2"/>
    <w:lvl w:ilvl="0" w:tplc="B66CD58C">
      <w:start w:val="1"/>
      <w:numFmt w:val="upperLetter"/>
      <w:lvlText w:val="%1."/>
      <w:lvlJc w:val="left"/>
      <w:pPr>
        <w:ind w:left="547" w:hanging="318"/>
        <w:jc w:val="right"/>
      </w:pPr>
      <w:rPr>
        <w:rFonts w:ascii="Times New Roman" w:eastAsia="Times New Roman" w:hAnsi="Times New Roman" w:cs="Times New Roman" w:hint="default"/>
        <w:b w:val="0"/>
        <w:bCs w:val="0"/>
        <w:i/>
        <w:iCs/>
        <w:spacing w:val="0"/>
        <w:w w:val="99"/>
        <w:sz w:val="20"/>
        <w:szCs w:val="20"/>
        <w:lang w:val="en-US" w:eastAsia="en-US" w:bidi="ar-SA"/>
      </w:rPr>
    </w:lvl>
    <w:lvl w:ilvl="1" w:tplc="0F06C134">
      <w:numFmt w:val="bullet"/>
      <w:lvlText w:val="•"/>
      <w:lvlJc w:val="left"/>
      <w:pPr>
        <w:ind w:left="982" w:hanging="318"/>
      </w:pPr>
      <w:rPr>
        <w:rFonts w:hint="default"/>
        <w:lang w:val="en-US" w:eastAsia="en-US" w:bidi="ar-SA"/>
      </w:rPr>
    </w:lvl>
    <w:lvl w:ilvl="2" w:tplc="61AED17E">
      <w:numFmt w:val="bullet"/>
      <w:lvlText w:val="•"/>
      <w:lvlJc w:val="left"/>
      <w:pPr>
        <w:ind w:left="1425" w:hanging="318"/>
      </w:pPr>
      <w:rPr>
        <w:rFonts w:hint="default"/>
        <w:lang w:val="en-US" w:eastAsia="en-US" w:bidi="ar-SA"/>
      </w:rPr>
    </w:lvl>
    <w:lvl w:ilvl="3" w:tplc="79BA2F98">
      <w:numFmt w:val="bullet"/>
      <w:lvlText w:val="•"/>
      <w:lvlJc w:val="left"/>
      <w:pPr>
        <w:ind w:left="1867" w:hanging="318"/>
      </w:pPr>
      <w:rPr>
        <w:rFonts w:hint="default"/>
        <w:lang w:val="en-US" w:eastAsia="en-US" w:bidi="ar-SA"/>
      </w:rPr>
    </w:lvl>
    <w:lvl w:ilvl="4" w:tplc="327C0B6E">
      <w:numFmt w:val="bullet"/>
      <w:lvlText w:val="•"/>
      <w:lvlJc w:val="left"/>
      <w:pPr>
        <w:ind w:left="2310" w:hanging="318"/>
      </w:pPr>
      <w:rPr>
        <w:rFonts w:hint="default"/>
        <w:lang w:val="en-US" w:eastAsia="en-US" w:bidi="ar-SA"/>
      </w:rPr>
    </w:lvl>
    <w:lvl w:ilvl="5" w:tplc="D4462D10">
      <w:numFmt w:val="bullet"/>
      <w:lvlText w:val="•"/>
      <w:lvlJc w:val="left"/>
      <w:pPr>
        <w:ind w:left="2752" w:hanging="318"/>
      </w:pPr>
      <w:rPr>
        <w:rFonts w:hint="default"/>
        <w:lang w:val="en-US" w:eastAsia="en-US" w:bidi="ar-SA"/>
      </w:rPr>
    </w:lvl>
    <w:lvl w:ilvl="6" w:tplc="30FC8768">
      <w:numFmt w:val="bullet"/>
      <w:lvlText w:val="•"/>
      <w:lvlJc w:val="left"/>
      <w:pPr>
        <w:ind w:left="3195" w:hanging="318"/>
      </w:pPr>
      <w:rPr>
        <w:rFonts w:hint="default"/>
        <w:lang w:val="en-US" w:eastAsia="en-US" w:bidi="ar-SA"/>
      </w:rPr>
    </w:lvl>
    <w:lvl w:ilvl="7" w:tplc="418CFF9A">
      <w:numFmt w:val="bullet"/>
      <w:lvlText w:val="•"/>
      <w:lvlJc w:val="left"/>
      <w:pPr>
        <w:ind w:left="3637" w:hanging="318"/>
      </w:pPr>
      <w:rPr>
        <w:rFonts w:hint="default"/>
        <w:lang w:val="en-US" w:eastAsia="en-US" w:bidi="ar-SA"/>
      </w:rPr>
    </w:lvl>
    <w:lvl w:ilvl="8" w:tplc="7B82A7F6">
      <w:numFmt w:val="bullet"/>
      <w:lvlText w:val="•"/>
      <w:lvlJc w:val="left"/>
      <w:pPr>
        <w:ind w:left="4080" w:hanging="318"/>
      </w:pPr>
      <w:rPr>
        <w:rFonts w:hint="default"/>
        <w:lang w:val="en-US" w:eastAsia="en-US" w:bidi="ar-SA"/>
      </w:rPr>
    </w:lvl>
  </w:abstractNum>
  <w:abstractNum w:abstractNumId="4" w15:restartNumberingAfterBreak="0">
    <w:nsid w:val="2CFD3288"/>
    <w:multiLevelType w:val="hybridMultilevel"/>
    <w:tmpl w:val="950C523A"/>
    <w:lvl w:ilvl="0" w:tplc="DCFAEAF6">
      <w:start w:val="1"/>
      <w:numFmt w:val="upperLetter"/>
      <w:lvlText w:val="%1."/>
      <w:lvlJc w:val="left"/>
      <w:pPr>
        <w:ind w:left="547" w:hanging="318"/>
      </w:pPr>
      <w:rPr>
        <w:rFonts w:ascii="Times New Roman" w:eastAsia="Times New Roman" w:hAnsi="Times New Roman" w:cs="Times New Roman" w:hint="default"/>
        <w:b w:val="0"/>
        <w:bCs w:val="0"/>
        <w:i/>
        <w:iCs/>
        <w:spacing w:val="0"/>
        <w:w w:val="99"/>
        <w:sz w:val="20"/>
        <w:szCs w:val="20"/>
        <w:lang w:val="en-US" w:eastAsia="en-US" w:bidi="ar-SA"/>
      </w:rPr>
    </w:lvl>
    <w:lvl w:ilvl="1" w:tplc="6126838E">
      <w:start w:val="1"/>
      <w:numFmt w:val="decimal"/>
      <w:lvlText w:val="%2)"/>
      <w:lvlJc w:val="left"/>
      <w:pPr>
        <w:ind w:left="513" w:hanging="224"/>
      </w:pPr>
      <w:rPr>
        <w:rFonts w:ascii="Times New Roman" w:eastAsia="Times New Roman" w:hAnsi="Times New Roman" w:cs="Times New Roman" w:hint="default"/>
        <w:b w:val="0"/>
        <w:bCs w:val="0"/>
        <w:i/>
        <w:iCs/>
        <w:spacing w:val="0"/>
        <w:w w:val="99"/>
        <w:sz w:val="20"/>
        <w:szCs w:val="20"/>
        <w:lang w:val="en-US" w:eastAsia="en-US" w:bidi="ar-SA"/>
      </w:rPr>
    </w:lvl>
    <w:lvl w:ilvl="2" w:tplc="75E8C786">
      <w:start w:val="1"/>
      <w:numFmt w:val="lowerLetter"/>
      <w:lvlText w:val="%3)"/>
      <w:lvlJc w:val="left"/>
      <w:pPr>
        <w:ind w:left="513" w:hanging="224"/>
      </w:pPr>
      <w:rPr>
        <w:rFonts w:ascii="Times New Roman" w:eastAsia="Times New Roman" w:hAnsi="Times New Roman" w:cs="Times New Roman" w:hint="default"/>
        <w:b w:val="0"/>
        <w:bCs w:val="0"/>
        <w:i/>
        <w:iCs/>
        <w:spacing w:val="0"/>
        <w:w w:val="99"/>
        <w:sz w:val="20"/>
        <w:szCs w:val="20"/>
        <w:lang w:val="en-US" w:eastAsia="en-US" w:bidi="ar-SA"/>
      </w:rPr>
    </w:lvl>
    <w:lvl w:ilvl="3" w:tplc="F4D8B8FC">
      <w:numFmt w:val="bullet"/>
      <w:lvlText w:val="•"/>
      <w:lvlJc w:val="left"/>
      <w:pPr>
        <w:ind w:left="385" w:hanging="224"/>
      </w:pPr>
      <w:rPr>
        <w:rFonts w:hint="default"/>
        <w:lang w:val="en-US" w:eastAsia="en-US" w:bidi="ar-SA"/>
      </w:rPr>
    </w:lvl>
    <w:lvl w:ilvl="4" w:tplc="2CCABAD2">
      <w:numFmt w:val="bullet"/>
      <w:lvlText w:val="•"/>
      <w:lvlJc w:val="left"/>
      <w:pPr>
        <w:ind w:left="308" w:hanging="224"/>
      </w:pPr>
      <w:rPr>
        <w:rFonts w:hint="default"/>
        <w:lang w:val="en-US" w:eastAsia="en-US" w:bidi="ar-SA"/>
      </w:rPr>
    </w:lvl>
    <w:lvl w:ilvl="5" w:tplc="BDF27450">
      <w:numFmt w:val="bullet"/>
      <w:lvlText w:val="•"/>
      <w:lvlJc w:val="left"/>
      <w:pPr>
        <w:ind w:left="230" w:hanging="224"/>
      </w:pPr>
      <w:rPr>
        <w:rFonts w:hint="default"/>
        <w:lang w:val="en-US" w:eastAsia="en-US" w:bidi="ar-SA"/>
      </w:rPr>
    </w:lvl>
    <w:lvl w:ilvl="6" w:tplc="A8BA8C94">
      <w:numFmt w:val="bullet"/>
      <w:lvlText w:val="•"/>
      <w:lvlJc w:val="left"/>
      <w:pPr>
        <w:ind w:left="153" w:hanging="224"/>
      </w:pPr>
      <w:rPr>
        <w:rFonts w:hint="default"/>
        <w:lang w:val="en-US" w:eastAsia="en-US" w:bidi="ar-SA"/>
      </w:rPr>
    </w:lvl>
    <w:lvl w:ilvl="7" w:tplc="9DFA20A6">
      <w:numFmt w:val="bullet"/>
      <w:lvlText w:val="•"/>
      <w:lvlJc w:val="left"/>
      <w:pPr>
        <w:ind w:left="76" w:hanging="224"/>
      </w:pPr>
      <w:rPr>
        <w:rFonts w:hint="default"/>
        <w:lang w:val="en-US" w:eastAsia="en-US" w:bidi="ar-SA"/>
      </w:rPr>
    </w:lvl>
    <w:lvl w:ilvl="8" w:tplc="0C82453E">
      <w:numFmt w:val="bullet"/>
      <w:lvlText w:val="•"/>
      <w:lvlJc w:val="left"/>
      <w:pPr>
        <w:ind w:left="-2" w:hanging="224"/>
      </w:pPr>
      <w:rPr>
        <w:rFonts w:hint="default"/>
        <w:lang w:val="en-US" w:eastAsia="en-US" w:bidi="ar-SA"/>
      </w:rPr>
    </w:lvl>
  </w:abstractNum>
  <w:abstractNum w:abstractNumId="5" w15:restartNumberingAfterBreak="0">
    <w:nsid w:val="30352420"/>
    <w:multiLevelType w:val="hybridMultilevel"/>
    <w:tmpl w:val="15D615C8"/>
    <w:lvl w:ilvl="0" w:tplc="1F6CB382">
      <w:start w:val="1"/>
      <w:numFmt w:val="upperRoman"/>
      <w:lvlText w:val="%1."/>
      <w:lvlJc w:val="left"/>
      <w:pPr>
        <w:ind w:left="2044" w:hanging="262"/>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192AAA64">
      <w:start w:val="1"/>
      <w:numFmt w:val="upperLetter"/>
      <w:lvlText w:val="%2."/>
      <w:lvlJc w:val="left"/>
      <w:pPr>
        <w:ind w:left="547" w:hanging="317"/>
        <w:jc w:val="left"/>
      </w:pPr>
      <w:rPr>
        <w:rFonts w:ascii="Times New Roman" w:eastAsia="Times New Roman" w:hAnsi="Times New Roman" w:cs="Times New Roman" w:hint="default"/>
        <w:b w:val="0"/>
        <w:bCs w:val="0"/>
        <w:i/>
        <w:iCs/>
        <w:spacing w:val="0"/>
        <w:w w:val="99"/>
        <w:sz w:val="20"/>
        <w:szCs w:val="20"/>
        <w:lang w:val="en-US" w:eastAsia="en-US" w:bidi="ar-SA"/>
      </w:rPr>
    </w:lvl>
    <w:lvl w:ilvl="2" w:tplc="46EA0612">
      <w:numFmt w:val="bullet"/>
      <w:lvlText w:val="•"/>
      <w:lvlJc w:val="left"/>
      <w:pPr>
        <w:ind w:left="1796" w:hanging="317"/>
      </w:pPr>
      <w:rPr>
        <w:rFonts w:hint="default"/>
        <w:lang w:val="en-US" w:eastAsia="en-US" w:bidi="ar-SA"/>
      </w:rPr>
    </w:lvl>
    <w:lvl w:ilvl="3" w:tplc="1EEEE812">
      <w:numFmt w:val="bullet"/>
      <w:lvlText w:val="•"/>
      <w:lvlJc w:val="left"/>
      <w:pPr>
        <w:ind w:left="1552" w:hanging="317"/>
      </w:pPr>
      <w:rPr>
        <w:rFonts w:hint="default"/>
        <w:lang w:val="en-US" w:eastAsia="en-US" w:bidi="ar-SA"/>
      </w:rPr>
    </w:lvl>
    <w:lvl w:ilvl="4" w:tplc="B34864D8">
      <w:numFmt w:val="bullet"/>
      <w:lvlText w:val="•"/>
      <w:lvlJc w:val="left"/>
      <w:pPr>
        <w:ind w:left="1308" w:hanging="317"/>
      </w:pPr>
      <w:rPr>
        <w:rFonts w:hint="default"/>
        <w:lang w:val="en-US" w:eastAsia="en-US" w:bidi="ar-SA"/>
      </w:rPr>
    </w:lvl>
    <w:lvl w:ilvl="5" w:tplc="2EB4FF5C">
      <w:numFmt w:val="bullet"/>
      <w:lvlText w:val="•"/>
      <w:lvlJc w:val="left"/>
      <w:pPr>
        <w:ind w:left="1064" w:hanging="317"/>
      </w:pPr>
      <w:rPr>
        <w:rFonts w:hint="default"/>
        <w:lang w:val="en-US" w:eastAsia="en-US" w:bidi="ar-SA"/>
      </w:rPr>
    </w:lvl>
    <w:lvl w:ilvl="6" w:tplc="0D9EAA8E">
      <w:numFmt w:val="bullet"/>
      <w:lvlText w:val="•"/>
      <w:lvlJc w:val="left"/>
      <w:pPr>
        <w:ind w:left="820" w:hanging="317"/>
      </w:pPr>
      <w:rPr>
        <w:rFonts w:hint="default"/>
        <w:lang w:val="en-US" w:eastAsia="en-US" w:bidi="ar-SA"/>
      </w:rPr>
    </w:lvl>
    <w:lvl w:ilvl="7" w:tplc="7786C278">
      <w:numFmt w:val="bullet"/>
      <w:lvlText w:val="•"/>
      <w:lvlJc w:val="left"/>
      <w:pPr>
        <w:ind w:left="576" w:hanging="317"/>
      </w:pPr>
      <w:rPr>
        <w:rFonts w:hint="default"/>
        <w:lang w:val="en-US" w:eastAsia="en-US" w:bidi="ar-SA"/>
      </w:rPr>
    </w:lvl>
    <w:lvl w:ilvl="8" w:tplc="2CE47D86">
      <w:numFmt w:val="bullet"/>
      <w:lvlText w:val="•"/>
      <w:lvlJc w:val="left"/>
      <w:pPr>
        <w:ind w:left="332" w:hanging="317"/>
      </w:pPr>
      <w:rPr>
        <w:rFonts w:hint="default"/>
        <w:lang w:val="en-US" w:eastAsia="en-US" w:bidi="ar-SA"/>
      </w:rPr>
    </w:lvl>
  </w:abstractNum>
  <w:abstractNum w:abstractNumId="6" w15:restartNumberingAfterBreak="0">
    <w:nsid w:val="3DE83978"/>
    <w:multiLevelType w:val="hybridMultilevel"/>
    <w:tmpl w:val="EE747FEC"/>
    <w:lvl w:ilvl="0" w:tplc="206291A4">
      <w:start w:val="1"/>
      <w:numFmt w:val="upperRoman"/>
      <w:lvlText w:val="%1."/>
      <w:lvlJc w:val="left"/>
      <w:pPr>
        <w:ind w:left="2044" w:hanging="262"/>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EB69A12">
      <w:start w:val="1"/>
      <w:numFmt w:val="upperLetter"/>
      <w:lvlText w:val="%2."/>
      <w:lvlJc w:val="left"/>
      <w:pPr>
        <w:ind w:left="547" w:hanging="317"/>
      </w:pPr>
      <w:rPr>
        <w:rFonts w:ascii="Times New Roman" w:eastAsia="Times New Roman" w:hAnsi="Times New Roman" w:cs="Times New Roman" w:hint="default"/>
        <w:b w:val="0"/>
        <w:bCs w:val="0"/>
        <w:i/>
        <w:iCs/>
        <w:spacing w:val="0"/>
        <w:w w:val="99"/>
        <w:sz w:val="20"/>
        <w:szCs w:val="20"/>
        <w:lang w:val="en-US" w:eastAsia="en-US" w:bidi="ar-SA"/>
      </w:rPr>
    </w:lvl>
    <w:lvl w:ilvl="2" w:tplc="3918C7A4">
      <w:numFmt w:val="bullet"/>
      <w:lvlText w:val="•"/>
      <w:lvlJc w:val="left"/>
      <w:pPr>
        <w:ind w:left="1796" w:hanging="317"/>
      </w:pPr>
      <w:rPr>
        <w:rFonts w:hint="default"/>
        <w:lang w:val="en-US" w:eastAsia="en-US" w:bidi="ar-SA"/>
      </w:rPr>
    </w:lvl>
    <w:lvl w:ilvl="3" w:tplc="78B2D0E0">
      <w:numFmt w:val="bullet"/>
      <w:lvlText w:val="•"/>
      <w:lvlJc w:val="left"/>
      <w:pPr>
        <w:ind w:left="1552" w:hanging="317"/>
      </w:pPr>
      <w:rPr>
        <w:rFonts w:hint="default"/>
        <w:lang w:val="en-US" w:eastAsia="en-US" w:bidi="ar-SA"/>
      </w:rPr>
    </w:lvl>
    <w:lvl w:ilvl="4" w:tplc="DC789692">
      <w:numFmt w:val="bullet"/>
      <w:lvlText w:val="•"/>
      <w:lvlJc w:val="left"/>
      <w:pPr>
        <w:ind w:left="1308" w:hanging="317"/>
      </w:pPr>
      <w:rPr>
        <w:rFonts w:hint="default"/>
        <w:lang w:val="en-US" w:eastAsia="en-US" w:bidi="ar-SA"/>
      </w:rPr>
    </w:lvl>
    <w:lvl w:ilvl="5" w:tplc="F6FA793C">
      <w:numFmt w:val="bullet"/>
      <w:lvlText w:val="•"/>
      <w:lvlJc w:val="left"/>
      <w:pPr>
        <w:ind w:left="1064" w:hanging="317"/>
      </w:pPr>
      <w:rPr>
        <w:rFonts w:hint="default"/>
        <w:lang w:val="en-US" w:eastAsia="en-US" w:bidi="ar-SA"/>
      </w:rPr>
    </w:lvl>
    <w:lvl w:ilvl="6" w:tplc="74FEB500">
      <w:numFmt w:val="bullet"/>
      <w:lvlText w:val="•"/>
      <w:lvlJc w:val="left"/>
      <w:pPr>
        <w:ind w:left="820" w:hanging="317"/>
      </w:pPr>
      <w:rPr>
        <w:rFonts w:hint="default"/>
        <w:lang w:val="en-US" w:eastAsia="en-US" w:bidi="ar-SA"/>
      </w:rPr>
    </w:lvl>
    <w:lvl w:ilvl="7" w:tplc="2FDA07C8">
      <w:numFmt w:val="bullet"/>
      <w:lvlText w:val="•"/>
      <w:lvlJc w:val="left"/>
      <w:pPr>
        <w:ind w:left="576" w:hanging="317"/>
      </w:pPr>
      <w:rPr>
        <w:rFonts w:hint="default"/>
        <w:lang w:val="en-US" w:eastAsia="en-US" w:bidi="ar-SA"/>
      </w:rPr>
    </w:lvl>
    <w:lvl w:ilvl="8" w:tplc="D05A83CA">
      <w:numFmt w:val="bullet"/>
      <w:lvlText w:val="•"/>
      <w:lvlJc w:val="left"/>
      <w:pPr>
        <w:ind w:left="332" w:hanging="317"/>
      </w:pPr>
      <w:rPr>
        <w:rFonts w:hint="default"/>
        <w:lang w:val="en-US" w:eastAsia="en-US" w:bidi="ar-SA"/>
      </w:rPr>
    </w:lvl>
  </w:abstractNum>
  <w:abstractNum w:abstractNumId="7" w15:restartNumberingAfterBreak="0">
    <w:nsid w:val="3FE50817"/>
    <w:multiLevelType w:val="hybridMultilevel"/>
    <w:tmpl w:val="0F242BC6"/>
    <w:lvl w:ilvl="0" w:tplc="B6428C18">
      <w:start w:val="1"/>
      <w:numFmt w:val="decimal"/>
      <w:lvlText w:val="%1)"/>
      <w:lvlJc w:val="left"/>
      <w:pPr>
        <w:ind w:left="444" w:hanging="35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F3A17CA">
      <w:numFmt w:val="bullet"/>
      <w:lvlText w:val="•"/>
      <w:lvlJc w:val="left"/>
      <w:pPr>
        <w:ind w:left="896" w:hanging="359"/>
      </w:pPr>
      <w:rPr>
        <w:rFonts w:hint="default"/>
        <w:lang w:val="en-US" w:eastAsia="en-US" w:bidi="ar-SA"/>
      </w:rPr>
    </w:lvl>
    <w:lvl w:ilvl="2" w:tplc="1526CA3A">
      <w:numFmt w:val="bullet"/>
      <w:lvlText w:val="•"/>
      <w:lvlJc w:val="left"/>
      <w:pPr>
        <w:ind w:left="1353" w:hanging="359"/>
      </w:pPr>
      <w:rPr>
        <w:rFonts w:hint="default"/>
        <w:lang w:val="en-US" w:eastAsia="en-US" w:bidi="ar-SA"/>
      </w:rPr>
    </w:lvl>
    <w:lvl w:ilvl="3" w:tplc="CA6E6354">
      <w:numFmt w:val="bullet"/>
      <w:lvlText w:val="•"/>
      <w:lvlJc w:val="left"/>
      <w:pPr>
        <w:ind w:left="1809" w:hanging="359"/>
      </w:pPr>
      <w:rPr>
        <w:rFonts w:hint="default"/>
        <w:lang w:val="en-US" w:eastAsia="en-US" w:bidi="ar-SA"/>
      </w:rPr>
    </w:lvl>
    <w:lvl w:ilvl="4" w:tplc="FC2A81C0">
      <w:numFmt w:val="bullet"/>
      <w:lvlText w:val="•"/>
      <w:lvlJc w:val="left"/>
      <w:pPr>
        <w:ind w:left="2266" w:hanging="359"/>
      </w:pPr>
      <w:rPr>
        <w:rFonts w:hint="default"/>
        <w:lang w:val="en-US" w:eastAsia="en-US" w:bidi="ar-SA"/>
      </w:rPr>
    </w:lvl>
    <w:lvl w:ilvl="5" w:tplc="4B30F620">
      <w:numFmt w:val="bullet"/>
      <w:lvlText w:val="•"/>
      <w:lvlJc w:val="left"/>
      <w:pPr>
        <w:ind w:left="2722" w:hanging="359"/>
      </w:pPr>
      <w:rPr>
        <w:rFonts w:hint="default"/>
        <w:lang w:val="en-US" w:eastAsia="en-US" w:bidi="ar-SA"/>
      </w:rPr>
    </w:lvl>
    <w:lvl w:ilvl="6" w:tplc="F006AE48">
      <w:numFmt w:val="bullet"/>
      <w:lvlText w:val="•"/>
      <w:lvlJc w:val="left"/>
      <w:pPr>
        <w:ind w:left="3179" w:hanging="359"/>
      </w:pPr>
      <w:rPr>
        <w:rFonts w:hint="default"/>
        <w:lang w:val="en-US" w:eastAsia="en-US" w:bidi="ar-SA"/>
      </w:rPr>
    </w:lvl>
    <w:lvl w:ilvl="7" w:tplc="84E4B1AC">
      <w:numFmt w:val="bullet"/>
      <w:lvlText w:val="•"/>
      <w:lvlJc w:val="left"/>
      <w:pPr>
        <w:ind w:left="3635" w:hanging="359"/>
      </w:pPr>
      <w:rPr>
        <w:rFonts w:hint="default"/>
        <w:lang w:val="en-US" w:eastAsia="en-US" w:bidi="ar-SA"/>
      </w:rPr>
    </w:lvl>
    <w:lvl w:ilvl="8" w:tplc="A08ED688">
      <w:numFmt w:val="bullet"/>
      <w:lvlText w:val="•"/>
      <w:lvlJc w:val="left"/>
      <w:pPr>
        <w:ind w:left="4092" w:hanging="359"/>
      </w:pPr>
      <w:rPr>
        <w:rFonts w:hint="default"/>
        <w:lang w:val="en-US" w:eastAsia="en-US" w:bidi="ar-SA"/>
      </w:rPr>
    </w:lvl>
  </w:abstractNum>
  <w:abstractNum w:abstractNumId="8" w15:restartNumberingAfterBreak="0">
    <w:nsid w:val="662020B9"/>
    <w:multiLevelType w:val="hybridMultilevel"/>
    <w:tmpl w:val="1BD4FADA"/>
    <w:lvl w:ilvl="0" w:tplc="175A4F40">
      <w:start w:val="1"/>
      <w:numFmt w:val="upperLetter"/>
      <w:lvlText w:val="%1."/>
      <w:lvlJc w:val="left"/>
      <w:pPr>
        <w:ind w:left="547" w:hanging="318"/>
        <w:jc w:val="left"/>
      </w:pPr>
      <w:rPr>
        <w:rFonts w:ascii="Times New Roman" w:eastAsia="Times New Roman" w:hAnsi="Times New Roman" w:cs="Times New Roman" w:hint="default"/>
        <w:b w:val="0"/>
        <w:bCs w:val="0"/>
        <w:i/>
        <w:iCs/>
        <w:spacing w:val="0"/>
        <w:w w:val="99"/>
        <w:sz w:val="20"/>
        <w:szCs w:val="20"/>
        <w:lang w:val="en-US" w:eastAsia="en-US" w:bidi="ar-SA"/>
      </w:rPr>
    </w:lvl>
    <w:lvl w:ilvl="1" w:tplc="DBE69600">
      <w:numFmt w:val="bullet"/>
      <w:lvlText w:val="•"/>
      <w:lvlJc w:val="left"/>
      <w:pPr>
        <w:ind w:left="986" w:hanging="318"/>
      </w:pPr>
      <w:rPr>
        <w:rFonts w:hint="default"/>
        <w:lang w:val="en-US" w:eastAsia="en-US" w:bidi="ar-SA"/>
      </w:rPr>
    </w:lvl>
    <w:lvl w:ilvl="2" w:tplc="01F67A60">
      <w:numFmt w:val="bullet"/>
      <w:lvlText w:val="•"/>
      <w:lvlJc w:val="left"/>
      <w:pPr>
        <w:ind w:left="1433" w:hanging="318"/>
      </w:pPr>
      <w:rPr>
        <w:rFonts w:hint="default"/>
        <w:lang w:val="en-US" w:eastAsia="en-US" w:bidi="ar-SA"/>
      </w:rPr>
    </w:lvl>
    <w:lvl w:ilvl="3" w:tplc="5420B0B6">
      <w:numFmt w:val="bullet"/>
      <w:lvlText w:val="•"/>
      <w:lvlJc w:val="left"/>
      <w:pPr>
        <w:ind w:left="1879" w:hanging="318"/>
      </w:pPr>
      <w:rPr>
        <w:rFonts w:hint="default"/>
        <w:lang w:val="en-US" w:eastAsia="en-US" w:bidi="ar-SA"/>
      </w:rPr>
    </w:lvl>
    <w:lvl w:ilvl="4" w:tplc="E0CC79D8">
      <w:numFmt w:val="bullet"/>
      <w:lvlText w:val="•"/>
      <w:lvlJc w:val="left"/>
      <w:pPr>
        <w:ind w:left="2326" w:hanging="318"/>
      </w:pPr>
      <w:rPr>
        <w:rFonts w:hint="default"/>
        <w:lang w:val="en-US" w:eastAsia="en-US" w:bidi="ar-SA"/>
      </w:rPr>
    </w:lvl>
    <w:lvl w:ilvl="5" w:tplc="B78CF14A">
      <w:numFmt w:val="bullet"/>
      <w:lvlText w:val="•"/>
      <w:lvlJc w:val="left"/>
      <w:pPr>
        <w:ind w:left="2772" w:hanging="318"/>
      </w:pPr>
      <w:rPr>
        <w:rFonts w:hint="default"/>
        <w:lang w:val="en-US" w:eastAsia="en-US" w:bidi="ar-SA"/>
      </w:rPr>
    </w:lvl>
    <w:lvl w:ilvl="6" w:tplc="3F4E2780">
      <w:numFmt w:val="bullet"/>
      <w:lvlText w:val="•"/>
      <w:lvlJc w:val="left"/>
      <w:pPr>
        <w:ind w:left="3219" w:hanging="318"/>
      </w:pPr>
      <w:rPr>
        <w:rFonts w:hint="default"/>
        <w:lang w:val="en-US" w:eastAsia="en-US" w:bidi="ar-SA"/>
      </w:rPr>
    </w:lvl>
    <w:lvl w:ilvl="7" w:tplc="BADAF25A">
      <w:numFmt w:val="bullet"/>
      <w:lvlText w:val="•"/>
      <w:lvlJc w:val="left"/>
      <w:pPr>
        <w:ind w:left="3665" w:hanging="318"/>
      </w:pPr>
      <w:rPr>
        <w:rFonts w:hint="default"/>
        <w:lang w:val="en-US" w:eastAsia="en-US" w:bidi="ar-SA"/>
      </w:rPr>
    </w:lvl>
    <w:lvl w:ilvl="8" w:tplc="FE30120C">
      <w:numFmt w:val="bullet"/>
      <w:lvlText w:val="•"/>
      <w:lvlJc w:val="left"/>
      <w:pPr>
        <w:ind w:left="4112" w:hanging="318"/>
      </w:pPr>
      <w:rPr>
        <w:rFonts w:hint="default"/>
        <w:lang w:val="en-US" w:eastAsia="en-US" w:bidi="ar-SA"/>
      </w:rPr>
    </w:lvl>
  </w:abstractNum>
  <w:num w:numId="1" w16cid:durableId="882601023">
    <w:abstractNumId w:val="1"/>
  </w:num>
  <w:num w:numId="2" w16cid:durableId="554662323">
    <w:abstractNumId w:val="0"/>
  </w:num>
  <w:num w:numId="3" w16cid:durableId="1277718347">
    <w:abstractNumId w:val="2"/>
  </w:num>
  <w:num w:numId="4" w16cid:durableId="1153109400">
    <w:abstractNumId w:val="3"/>
  </w:num>
  <w:num w:numId="5" w16cid:durableId="2089182948">
    <w:abstractNumId w:val="4"/>
  </w:num>
  <w:num w:numId="6" w16cid:durableId="1055931378">
    <w:abstractNumId w:val="6"/>
  </w:num>
  <w:num w:numId="7" w16cid:durableId="1371803042">
    <w:abstractNumId w:val="7"/>
  </w:num>
  <w:num w:numId="8" w16cid:durableId="1400789941">
    <w:abstractNumId w:val="8"/>
  </w:num>
  <w:num w:numId="9" w16cid:durableId="848447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1AC1"/>
    <w:rsid w:val="00045BAB"/>
    <w:rsid w:val="001651B7"/>
    <w:rsid w:val="00282F59"/>
    <w:rsid w:val="002C2465"/>
    <w:rsid w:val="00500756"/>
    <w:rsid w:val="005D1AC1"/>
    <w:rsid w:val="005E1935"/>
    <w:rsid w:val="0071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031EE"/>
  <w15:docId w15:val="{6002F1D2-D5D3-4256-A78F-4237F76C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rPr>
      <w:sz w:val="20"/>
      <w:szCs w:val="20"/>
    </w:rPr>
  </w:style>
  <w:style w:type="paragraph" w:styleId="ListParagraph">
    <w:name w:val="List Paragraph"/>
    <w:basedOn w:val="Normal"/>
    <w:uiPriority w:val="1"/>
    <w:qFormat/>
    <w:pPr>
      <w:ind w:left="512" w:hanging="222"/>
      <w:jc w:val="both"/>
    </w:pPr>
  </w:style>
  <w:style w:type="paragraph" w:customStyle="1" w:styleId="TableParagraph">
    <w:name w:val="Table Paragraph"/>
    <w:basedOn w:val="Normal"/>
    <w:uiPriority w:val="1"/>
    <w:qFormat/>
    <w:pPr>
      <w:spacing w:line="176" w:lineRule="exact"/>
    </w:pPr>
  </w:style>
  <w:style w:type="paragraph" w:styleId="Header">
    <w:name w:val="header"/>
    <w:basedOn w:val="Normal"/>
    <w:link w:val="HeaderChar"/>
    <w:uiPriority w:val="99"/>
    <w:unhideWhenUsed/>
    <w:rsid w:val="00282F59"/>
    <w:pPr>
      <w:tabs>
        <w:tab w:val="center" w:pos="4680"/>
        <w:tab w:val="right" w:pos="9360"/>
      </w:tabs>
    </w:pPr>
  </w:style>
  <w:style w:type="character" w:customStyle="1" w:styleId="HeaderChar">
    <w:name w:val="Header Char"/>
    <w:basedOn w:val="DefaultParagraphFont"/>
    <w:link w:val="Header"/>
    <w:uiPriority w:val="99"/>
    <w:rsid w:val="00282F59"/>
    <w:rPr>
      <w:rFonts w:ascii="Times New Roman" w:eastAsia="Times New Roman" w:hAnsi="Times New Roman" w:cs="Times New Roman"/>
    </w:rPr>
  </w:style>
  <w:style w:type="paragraph" w:styleId="Footer">
    <w:name w:val="footer"/>
    <w:basedOn w:val="Normal"/>
    <w:link w:val="FooterChar"/>
    <w:uiPriority w:val="99"/>
    <w:unhideWhenUsed/>
    <w:rsid w:val="00282F59"/>
    <w:pPr>
      <w:tabs>
        <w:tab w:val="center" w:pos="4680"/>
        <w:tab w:val="right" w:pos="9360"/>
      </w:tabs>
    </w:pPr>
  </w:style>
  <w:style w:type="character" w:customStyle="1" w:styleId="FooterChar">
    <w:name w:val="Footer Char"/>
    <w:basedOn w:val="DefaultParagraphFont"/>
    <w:link w:val="Footer"/>
    <w:uiPriority w:val="99"/>
    <w:rsid w:val="00282F5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C24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rnal.unmer.ac.id/index.php/jkdp/article/view/869" TargetMode="External"/><Relationship Id="rId5" Type="http://schemas.openxmlformats.org/officeDocument/2006/relationships/footnotes" Target="footnotes.xml"/><Relationship Id="rId10" Type="http://schemas.openxmlformats.org/officeDocument/2006/relationships/hyperlink" Target="http://journals.ums.ac.id/index.php/reaksi/index%0ACapital" TargetMode="External"/><Relationship Id="rId4" Type="http://schemas.openxmlformats.org/officeDocument/2006/relationships/webSettings" Target="webSettings.xml"/><Relationship Id="rId9" Type="http://schemas.openxmlformats.org/officeDocument/2006/relationships/hyperlink" Target="http://jurnal.unmer.ac.id/index.php/jkdp/article/view/725/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5770</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zaratushtra</dc:creator>
  <cp:lastModifiedBy>Ilias Shittu-Gbeko</cp:lastModifiedBy>
  <cp:revision>3</cp:revision>
  <dcterms:created xsi:type="dcterms:W3CDTF">2025-02-11T12:07:00Z</dcterms:created>
  <dcterms:modified xsi:type="dcterms:W3CDTF">2025-02-12T14:43:00Z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2022-05-05T00:00:00Z</vt:filetime>
  </property>
  <property fmtid="{D5CDD505-2E9C-101B-9397-08002B2CF9AE}" pid="3" name="Creator">
    <vt:lpwstr>Microsoft® Word for Microsoft 365</vt:lpwstr>
  </property>
  <property fmtid="{D5CDD505-2E9C-101B-9397-08002B2CF9AE}" pid="4" name="LastSaved">
    <vt:filetime>2025-02-11T00:00:00Z</vt:filetime>
  </property>
  <property fmtid="{D5CDD505-2E9C-101B-9397-08002B2CF9AE}" pid="5" name="Producer">
    <vt:lpwstr>Microsoft® Word for Microsoft 365</vt:lpwstr>
  </property>
</Properties>
</file>