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5E903" w14:textId="77777777" w:rsidR="000E15C6" w:rsidRDefault="000E15C6" w:rsidP="000E15C6">
      <w:pPr>
        <w:jc w:val="center"/>
      </w:pPr>
    </w:p>
    <w:p w14:paraId="740A1DD2" w14:textId="77777777" w:rsidR="000E15C6" w:rsidRDefault="000E15C6" w:rsidP="000E15C6">
      <w:pPr>
        <w:jc w:val="center"/>
      </w:pPr>
    </w:p>
    <w:p w14:paraId="4B73C4E1" w14:textId="77777777" w:rsidR="000E15C6" w:rsidRDefault="000E15C6" w:rsidP="000E15C6">
      <w:pPr>
        <w:jc w:val="center"/>
      </w:pPr>
    </w:p>
    <w:p w14:paraId="590F4F33" w14:textId="77777777" w:rsidR="000E15C6" w:rsidRDefault="000E15C6" w:rsidP="000E15C6">
      <w:pPr>
        <w:jc w:val="center"/>
      </w:pPr>
    </w:p>
    <w:p w14:paraId="33D6F41F" w14:textId="77777777" w:rsidR="000E15C6" w:rsidRDefault="000E15C6" w:rsidP="00407FBC"/>
    <w:p w14:paraId="7C630047" w14:textId="77777777" w:rsidR="000E15C6" w:rsidRDefault="000E15C6" w:rsidP="000E15C6">
      <w:pPr>
        <w:jc w:val="center"/>
      </w:pPr>
    </w:p>
    <w:p w14:paraId="64F5E393" w14:textId="2AA8FE2C" w:rsidR="005A3FF3" w:rsidRPr="0081761C" w:rsidRDefault="00903E2F" w:rsidP="00903E2F">
      <w:pPr>
        <w:jc w:val="center"/>
        <w:rPr>
          <w:b/>
          <w:bCs/>
        </w:rPr>
      </w:pPr>
      <w:r w:rsidRPr="0081761C">
        <w:rPr>
          <w:b/>
          <w:bCs/>
          <w:sz w:val="32"/>
          <w:szCs w:val="32"/>
        </w:rPr>
        <w:t xml:space="preserve">Discuss The Chemical Changes in Human Bodies in The Process </w:t>
      </w:r>
      <w:r w:rsidR="00C13C92" w:rsidRPr="0081761C">
        <w:rPr>
          <w:b/>
          <w:bCs/>
          <w:sz w:val="32"/>
          <w:szCs w:val="32"/>
        </w:rPr>
        <w:t>o</w:t>
      </w:r>
      <w:r w:rsidRPr="0081761C">
        <w:rPr>
          <w:b/>
          <w:bCs/>
          <w:sz w:val="32"/>
          <w:szCs w:val="32"/>
        </w:rPr>
        <w:t>f Aging</w:t>
      </w:r>
    </w:p>
    <w:p w14:paraId="7B9CE2B6" w14:textId="77777777" w:rsidR="00BB77C7" w:rsidRDefault="00BB77C7">
      <w:pPr>
        <w:rPr>
          <w:b/>
          <w:bCs/>
        </w:rPr>
      </w:pPr>
    </w:p>
    <w:p w14:paraId="683E674B" w14:textId="77777777" w:rsidR="000E15C6" w:rsidRDefault="000E15C6">
      <w:pPr>
        <w:rPr>
          <w:b/>
          <w:bCs/>
        </w:rPr>
      </w:pPr>
    </w:p>
    <w:p w14:paraId="4B49EBE5" w14:textId="77777777" w:rsidR="000E15C6" w:rsidRDefault="000E15C6">
      <w:pPr>
        <w:rPr>
          <w:b/>
          <w:bCs/>
        </w:rPr>
      </w:pPr>
    </w:p>
    <w:p w14:paraId="0154787C" w14:textId="77777777" w:rsidR="000E15C6" w:rsidRDefault="000E15C6">
      <w:pPr>
        <w:rPr>
          <w:b/>
          <w:bCs/>
        </w:rPr>
      </w:pPr>
    </w:p>
    <w:p w14:paraId="0BB633BC" w14:textId="77777777" w:rsidR="000E15C6" w:rsidRDefault="000E15C6">
      <w:pPr>
        <w:rPr>
          <w:b/>
          <w:bCs/>
        </w:rPr>
      </w:pPr>
    </w:p>
    <w:p w14:paraId="39CE3E25" w14:textId="77777777" w:rsidR="00903E2F" w:rsidRPr="0081761C" w:rsidRDefault="000E15C6" w:rsidP="0081761C">
      <w:pPr>
        <w:jc w:val="center"/>
        <w:rPr>
          <w:sz w:val="28"/>
          <w:szCs w:val="28"/>
        </w:rPr>
      </w:pPr>
      <w:r w:rsidRPr="0081761C">
        <w:rPr>
          <w:sz w:val="28"/>
          <w:szCs w:val="28"/>
        </w:rPr>
        <w:t>ILIAS OLAKUNLE SHITTU-GBEKO</w:t>
      </w:r>
    </w:p>
    <w:p w14:paraId="734E3977" w14:textId="2F9464CD" w:rsidR="00407FBC" w:rsidRDefault="00903E2F" w:rsidP="0081761C">
      <w:pPr>
        <w:jc w:val="center"/>
        <w:rPr>
          <w:sz w:val="28"/>
          <w:szCs w:val="28"/>
        </w:rPr>
      </w:pPr>
      <w:r w:rsidRPr="0081761C">
        <w:rPr>
          <w:sz w:val="28"/>
          <w:szCs w:val="28"/>
        </w:rPr>
        <w:t>ID: 396983456</w:t>
      </w:r>
    </w:p>
    <w:p w14:paraId="6AEBE1E3" w14:textId="77777777" w:rsidR="00407FBC" w:rsidRDefault="00407FBC">
      <w:pPr>
        <w:rPr>
          <w:sz w:val="28"/>
          <w:szCs w:val="28"/>
        </w:rPr>
      </w:pPr>
      <w:r>
        <w:rPr>
          <w:sz w:val="28"/>
          <w:szCs w:val="28"/>
        </w:rPr>
        <w:br w:type="page"/>
      </w:r>
    </w:p>
    <w:p w14:paraId="67046B47" w14:textId="50EF8DCA" w:rsidR="00903E2F" w:rsidRPr="00830C8E" w:rsidRDefault="00CC3346" w:rsidP="00CC3346">
      <w:pPr>
        <w:jc w:val="both"/>
        <w:rPr>
          <w:sz w:val="20"/>
          <w:szCs w:val="20"/>
        </w:rPr>
      </w:pPr>
      <w:r w:rsidRPr="00830C8E">
        <w:rPr>
          <w:sz w:val="20"/>
          <w:szCs w:val="20"/>
        </w:rPr>
        <w:lastRenderedPageBreak/>
        <w:t>Aging is an inevitable process that brings about numerous chemical changes in the human body. As time progresses, our bodies undergo a myriad of transformations at the molecular level. One significant aspect of aging is the alteration in our chemical composition. Key chemical changes include the depletion of collagen, leading to wrinkles and sagging skin, and the decline in the production of elastin, which results in loss of elasticity in various tissues</w:t>
      </w:r>
      <w:r w:rsidR="005523E8" w:rsidRPr="00830C8E">
        <w:rPr>
          <w:rFonts w:ascii="Times New Roman" w:eastAsia="Times New Roman" w:hAnsi="Times New Roman" w:cs="Times New Roman"/>
          <w:kern w:val="0"/>
          <w:lang w:val="en-US"/>
          <w14:ligatures w14:val="none"/>
        </w:rPr>
        <w:t xml:space="preserve"> </w:t>
      </w:r>
      <w:r w:rsidR="005523E8" w:rsidRPr="00830C8E">
        <w:rPr>
          <w:rFonts w:ascii="Times New Roman" w:eastAsia="Times New Roman" w:hAnsi="Times New Roman" w:cs="Times New Roman"/>
          <w:kern w:val="0"/>
          <w:lang w:val="en-US"/>
          <w14:ligatures w14:val="none"/>
        </w:rPr>
        <w:t>(Schulte &amp; Perera, 2012, p. 24)</w:t>
      </w:r>
      <w:r w:rsidRPr="00830C8E">
        <w:rPr>
          <w:sz w:val="20"/>
          <w:szCs w:val="20"/>
        </w:rPr>
        <w:t>.</w:t>
      </w:r>
    </w:p>
    <w:p w14:paraId="763F9676" w14:textId="7DB2FCE7" w:rsidR="005523E8" w:rsidRPr="00830C8E" w:rsidRDefault="007A00EC" w:rsidP="00CC3346">
      <w:pPr>
        <w:jc w:val="both"/>
        <w:rPr>
          <w:sz w:val="20"/>
          <w:szCs w:val="20"/>
        </w:rPr>
      </w:pPr>
      <w:r w:rsidRPr="00830C8E">
        <w:rPr>
          <w:sz w:val="20"/>
          <w:szCs w:val="20"/>
        </w:rPr>
        <w:t>Aging is marked by a decline in key hormones, including growth hormone, estrogen, and testosterone, which can have significant effects on muscle mass, bone density, and metabolism</w:t>
      </w:r>
      <w:r w:rsidRPr="00830C8E">
        <w:rPr>
          <w:sz w:val="20"/>
          <w:szCs w:val="20"/>
        </w:rPr>
        <w:t xml:space="preserve"> </w:t>
      </w:r>
      <w:r w:rsidRPr="00830C8E">
        <w:rPr>
          <w:sz w:val="20"/>
          <w:szCs w:val="20"/>
        </w:rPr>
        <w:t xml:space="preserve">(Priego et al., 2021). This decline in hormone production and action can increase the risk of chronic diseases and reduce lifespan (Pataky et al., 2021). For example, the reduction in anabolic hormones like growth hormone, insulin-like growth factor IGF-1, testosterone, and estrogen can lead to a decrease in muscle mass and strength, a condition known as sarcopenia </w:t>
      </w:r>
      <w:r w:rsidRPr="00830C8E">
        <w:rPr>
          <w:sz w:val="20"/>
          <w:szCs w:val="20"/>
          <w:lang w:val="en-US"/>
        </w:rPr>
        <w:t>(Pataky et al., 2021)</w:t>
      </w:r>
      <w:r w:rsidRPr="00830C8E">
        <w:rPr>
          <w:sz w:val="20"/>
          <w:szCs w:val="20"/>
        </w:rPr>
        <w:t>. These changes can also impact bone density and metabolism, contributing to frailty and age-related diseases.</w:t>
      </w:r>
    </w:p>
    <w:p w14:paraId="56059637" w14:textId="5F5C8B7F" w:rsidR="007A00EC" w:rsidRPr="00830C8E" w:rsidRDefault="00EB177B" w:rsidP="00CC3346">
      <w:pPr>
        <w:jc w:val="both"/>
        <w:rPr>
          <w:sz w:val="20"/>
          <w:szCs w:val="20"/>
        </w:rPr>
      </w:pPr>
      <w:r w:rsidRPr="00830C8E">
        <w:rPr>
          <w:sz w:val="20"/>
          <w:szCs w:val="20"/>
        </w:rPr>
        <w:t>Oxidative stress, a result of an imbalance between reactive oxygen species (ROS) and antioxidants, is a key factor in aging and age-related diseases</w:t>
      </w:r>
      <w:r w:rsidRPr="00830C8E">
        <w:rPr>
          <w:sz w:val="20"/>
          <w:szCs w:val="20"/>
        </w:rPr>
        <w:t xml:space="preserve"> </w:t>
      </w:r>
      <w:r w:rsidRPr="00830C8E">
        <w:rPr>
          <w:sz w:val="20"/>
          <w:szCs w:val="20"/>
        </w:rPr>
        <w:t>(Moldogazieva et al., 2019). It leads to the formation of advanced glycation end products (AGEs), which are implicated in various pathologies, including inflammation, neurodegenerative diseases, atherosclerosis, and vascular complications of diabetes</w:t>
      </w:r>
      <w:r w:rsidR="0040055A" w:rsidRPr="00830C8E">
        <w:rPr>
          <w:sz w:val="20"/>
          <w:szCs w:val="20"/>
        </w:rPr>
        <w:t xml:space="preserve"> </w:t>
      </w:r>
      <w:r w:rsidR="0040055A" w:rsidRPr="00830C8E">
        <w:rPr>
          <w:sz w:val="20"/>
          <w:szCs w:val="20"/>
        </w:rPr>
        <w:t>(Moldogazieva et al., 2019)</w:t>
      </w:r>
      <w:r w:rsidRPr="00830C8E">
        <w:rPr>
          <w:sz w:val="20"/>
          <w:szCs w:val="20"/>
        </w:rPr>
        <w:t xml:space="preserve">. AGEs also contribute to oxidative stress, further exacerbating the aging process </w:t>
      </w:r>
      <w:r w:rsidR="0040055A" w:rsidRPr="00830C8E">
        <w:rPr>
          <w:sz w:val="20"/>
          <w:szCs w:val="20"/>
        </w:rPr>
        <w:t>(Yang et al., 2024)</w:t>
      </w:r>
      <w:r w:rsidRPr="00830C8E">
        <w:rPr>
          <w:sz w:val="20"/>
          <w:szCs w:val="20"/>
        </w:rPr>
        <w:t xml:space="preserve">. Lifestyle changes can help reduce AGEs burden and promote healthy aging </w:t>
      </w:r>
      <w:r w:rsidR="0040055A" w:rsidRPr="00830C8E">
        <w:rPr>
          <w:sz w:val="20"/>
          <w:szCs w:val="20"/>
        </w:rPr>
        <w:t>(Prasad, 2014)</w:t>
      </w:r>
      <w:r w:rsidRPr="00830C8E">
        <w:rPr>
          <w:sz w:val="20"/>
          <w:szCs w:val="20"/>
        </w:rPr>
        <w:t>.</w:t>
      </w:r>
    </w:p>
    <w:p w14:paraId="1A74D17A" w14:textId="6EF7018C" w:rsidR="0040055A" w:rsidRDefault="0040055A" w:rsidP="00CC3346">
      <w:pPr>
        <w:jc w:val="both"/>
        <w:rPr>
          <w:sz w:val="20"/>
          <w:szCs w:val="20"/>
        </w:rPr>
      </w:pPr>
      <w:r w:rsidRPr="00830C8E">
        <w:rPr>
          <w:sz w:val="20"/>
          <w:szCs w:val="20"/>
        </w:rPr>
        <w:t xml:space="preserve">Mitochondrial decline, characterized by impaired mitophagy and DNA damage, is a central player in inflammaging, contributing to the release of mitochondria-derived damage-associated molecular patterns (DAMPs) and the subsequent inflammatory response (Walker et al., 2022, </w:t>
      </w:r>
      <w:r w:rsidR="00830C8E" w:rsidRPr="00830C8E">
        <w:rPr>
          <w:sz w:val="20"/>
          <w:szCs w:val="20"/>
        </w:rPr>
        <w:t>Picca et al., 2017</w:t>
      </w:r>
      <w:r w:rsidRPr="00830C8E">
        <w:rPr>
          <w:sz w:val="20"/>
          <w:szCs w:val="20"/>
        </w:rPr>
        <w:t xml:space="preserve">). This process is further exacerbated by the senescence-associated secretory phenotype (SASP), which is influenced by mitochondrial activity and can lead to chronic low-grade inflammation </w:t>
      </w:r>
      <w:r w:rsidR="00830C8E" w:rsidRPr="00830C8E">
        <w:rPr>
          <w:sz w:val="20"/>
          <w:szCs w:val="20"/>
        </w:rPr>
        <w:t>(Giuliani et al., 2017)</w:t>
      </w:r>
      <w:r w:rsidRPr="00830C8E">
        <w:rPr>
          <w:sz w:val="20"/>
          <w:szCs w:val="20"/>
        </w:rPr>
        <w:t>. The resulting chronic inflammation, in turn, is a significant risk factor for age-related diseases such as type II diabetes, Alzheimer's disease, and cardiovascular disease</w:t>
      </w:r>
      <w:r w:rsidR="00830C8E" w:rsidRPr="00830C8E">
        <w:rPr>
          <w:sz w:val="20"/>
          <w:szCs w:val="20"/>
        </w:rPr>
        <w:t xml:space="preserve"> </w:t>
      </w:r>
      <w:r w:rsidR="00830C8E" w:rsidRPr="00830C8E">
        <w:rPr>
          <w:sz w:val="20"/>
          <w:szCs w:val="20"/>
        </w:rPr>
        <w:t>(Fougère et al., 2016)</w:t>
      </w:r>
      <w:r w:rsidRPr="00830C8E">
        <w:rPr>
          <w:sz w:val="20"/>
          <w:szCs w:val="20"/>
        </w:rPr>
        <w:t xml:space="preserve">. </w:t>
      </w:r>
    </w:p>
    <w:p w14:paraId="105A6B92" w14:textId="77777777" w:rsidR="0017585B" w:rsidRDefault="0017585B" w:rsidP="00CC3346">
      <w:pPr>
        <w:jc w:val="both"/>
        <w:rPr>
          <w:sz w:val="20"/>
          <w:szCs w:val="20"/>
        </w:rPr>
      </w:pPr>
    </w:p>
    <w:p w14:paraId="5C4D0455" w14:textId="77777777" w:rsidR="0017585B" w:rsidRPr="0017585B" w:rsidRDefault="0017585B" w:rsidP="0017585B">
      <w:pPr>
        <w:jc w:val="center"/>
        <w:rPr>
          <w:b/>
          <w:bCs/>
          <w:sz w:val="28"/>
          <w:szCs w:val="28"/>
          <w:lang w:val="nl-NL"/>
        </w:rPr>
      </w:pPr>
      <w:r w:rsidRPr="0017585B">
        <w:rPr>
          <w:b/>
          <w:bCs/>
          <w:sz w:val="28"/>
          <w:szCs w:val="28"/>
          <w:lang w:val="nl-NL"/>
        </w:rPr>
        <w:lastRenderedPageBreak/>
        <w:t>References</w:t>
      </w:r>
    </w:p>
    <w:p w14:paraId="11AC11B0" w14:textId="77777777" w:rsidR="0017585B" w:rsidRPr="0017585B" w:rsidRDefault="0017585B" w:rsidP="0017585B">
      <w:pPr>
        <w:ind w:left="851" w:hanging="851"/>
        <w:jc w:val="both"/>
        <w:rPr>
          <w:sz w:val="20"/>
          <w:szCs w:val="20"/>
          <w:lang/>
        </w:rPr>
      </w:pPr>
      <w:r w:rsidRPr="0017585B">
        <w:rPr>
          <w:sz w:val="20"/>
          <w:szCs w:val="20"/>
          <w:lang/>
        </w:rPr>
        <w:t xml:space="preserve">Fougère, B., Boulanger, E., Nourhashémi, F., Guyonnet, S., &amp; Cesari, M. (2016). RETRACTED: Chronic Inflammation: Accelerator of Biological Aging. </w:t>
      </w:r>
      <w:r w:rsidRPr="0017585B">
        <w:rPr>
          <w:rFonts w:cs="Century"/>
          <w:i/>
          <w:iCs/>
          <w:sz w:val="20"/>
          <w:szCs w:val="20"/>
          <w:lang/>
        </w:rPr>
        <w:t></w:t>
      </w:r>
      <w:r w:rsidRPr="0017585B">
        <w:rPr>
          <w:i/>
          <w:iCs/>
          <w:sz w:val="20"/>
          <w:szCs w:val="20"/>
          <w:lang/>
        </w:rPr>
        <w:t xml:space="preserve">the </w:t>
      </w:r>
      <w:r w:rsidRPr="0017585B">
        <w:rPr>
          <w:rFonts w:cs="Century"/>
          <w:i/>
          <w:iCs/>
          <w:sz w:val="20"/>
          <w:szCs w:val="20"/>
          <w:lang/>
        </w:rPr>
        <w:t></w:t>
      </w:r>
      <w:r w:rsidRPr="0017585B">
        <w:rPr>
          <w:i/>
          <w:iCs/>
          <w:sz w:val="20"/>
          <w:szCs w:val="20"/>
          <w:lang/>
        </w:rPr>
        <w:t>Journals of Gerontology. Series a, Biological Sciences and Medical Sciences</w:t>
      </w:r>
      <w:r w:rsidRPr="0017585B">
        <w:rPr>
          <w:sz w:val="20"/>
          <w:szCs w:val="20"/>
          <w:lang/>
        </w:rPr>
        <w:t xml:space="preserve">, </w:t>
      </w:r>
      <w:r w:rsidRPr="0017585B">
        <w:rPr>
          <w:i/>
          <w:iCs/>
          <w:sz w:val="20"/>
          <w:szCs w:val="20"/>
          <w:lang/>
        </w:rPr>
        <w:t>72</w:t>
      </w:r>
      <w:r w:rsidRPr="0017585B">
        <w:rPr>
          <w:sz w:val="20"/>
          <w:szCs w:val="20"/>
          <w:lang/>
        </w:rPr>
        <w:t>(9), 1218–1225. https://doi.org/10.1093/gerona/glw240</w:t>
      </w:r>
    </w:p>
    <w:p w14:paraId="112F5A7E" w14:textId="77777777" w:rsidR="0017585B" w:rsidRPr="0017585B" w:rsidRDefault="0017585B" w:rsidP="0017585B">
      <w:pPr>
        <w:ind w:left="851" w:hanging="851"/>
        <w:jc w:val="both"/>
        <w:rPr>
          <w:sz w:val="20"/>
          <w:szCs w:val="20"/>
          <w:lang/>
        </w:rPr>
      </w:pPr>
      <w:r w:rsidRPr="0017585B">
        <w:rPr>
          <w:sz w:val="20"/>
          <w:szCs w:val="20"/>
          <w:lang/>
        </w:rPr>
        <w:t xml:space="preserve">Giuliani, A., Prattichizzo, F., Micolucci, L., Ceriello, A., Procopio, A. D., &amp; Rippo, M. R. (2017). Mitochondrial (Dys) Function in Inflammaging: Do MitomiRs Influence the Energetic, Oxidative, and Inflammatory Status of Senescent Cells? </w:t>
      </w:r>
      <w:r w:rsidRPr="0017585B">
        <w:rPr>
          <w:i/>
          <w:iCs/>
          <w:sz w:val="20"/>
          <w:szCs w:val="20"/>
          <w:lang/>
        </w:rPr>
        <w:t>Mediators of Inflammation</w:t>
      </w:r>
      <w:r w:rsidRPr="0017585B">
        <w:rPr>
          <w:sz w:val="20"/>
          <w:szCs w:val="20"/>
          <w:lang/>
        </w:rPr>
        <w:t xml:space="preserve">, </w:t>
      </w:r>
      <w:r w:rsidRPr="0017585B">
        <w:rPr>
          <w:i/>
          <w:iCs/>
          <w:sz w:val="20"/>
          <w:szCs w:val="20"/>
          <w:lang/>
        </w:rPr>
        <w:t>2017</w:t>
      </w:r>
      <w:r w:rsidRPr="0017585B">
        <w:rPr>
          <w:sz w:val="20"/>
          <w:szCs w:val="20"/>
          <w:lang/>
        </w:rPr>
        <w:t>, 1–11. https://doi.org/10.1155/2017/2309034</w:t>
      </w:r>
    </w:p>
    <w:p w14:paraId="3F4A540D" w14:textId="77777777" w:rsidR="0017585B" w:rsidRPr="0017585B" w:rsidRDefault="0017585B" w:rsidP="0017585B">
      <w:pPr>
        <w:ind w:left="993" w:hanging="993"/>
        <w:jc w:val="both"/>
        <w:rPr>
          <w:sz w:val="20"/>
          <w:szCs w:val="20"/>
          <w:lang/>
        </w:rPr>
      </w:pPr>
      <w:r w:rsidRPr="0017585B">
        <w:rPr>
          <w:sz w:val="20"/>
          <w:szCs w:val="20"/>
          <w:lang/>
        </w:rPr>
        <w:t xml:space="preserve">Moldogazieva, N. T., Mokhosoev, I. M., Mel’nikova, T. I., Porozov, Y. B., &amp; Terentiev, A. A. (2019). Oxidative Stress and Advanced Lipoxidation and Glycation End Products (ALEs and AGEs) in Aging and Age-Related Diseases. </w:t>
      </w:r>
      <w:r w:rsidRPr="0017585B">
        <w:rPr>
          <w:i/>
          <w:iCs/>
          <w:sz w:val="20"/>
          <w:szCs w:val="20"/>
          <w:lang/>
        </w:rPr>
        <w:t>Oxidative Medicine and Cellular Longevity</w:t>
      </w:r>
      <w:r w:rsidRPr="0017585B">
        <w:rPr>
          <w:sz w:val="20"/>
          <w:szCs w:val="20"/>
          <w:lang/>
        </w:rPr>
        <w:t xml:space="preserve">, </w:t>
      </w:r>
      <w:r w:rsidRPr="0017585B">
        <w:rPr>
          <w:i/>
          <w:iCs/>
          <w:sz w:val="20"/>
          <w:szCs w:val="20"/>
          <w:lang/>
        </w:rPr>
        <w:t>2019</w:t>
      </w:r>
      <w:r w:rsidRPr="0017585B">
        <w:rPr>
          <w:sz w:val="20"/>
          <w:szCs w:val="20"/>
          <w:lang/>
        </w:rPr>
        <w:t>, 1–14. https://doi.org/10.1155/2019/3085756</w:t>
      </w:r>
    </w:p>
    <w:p w14:paraId="2187543C" w14:textId="77777777" w:rsidR="0017585B" w:rsidRPr="0017585B" w:rsidRDefault="0017585B" w:rsidP="0017585B">
      <w:pPr>
        <w:ind w:left="993" w:hanging="993"/>
        <w:jc w:val="both"/>
        <w:rPr>
          <w:sz w:val="20"/>
          <w:szCs w:val="20"/>
          <w:lang/>
        </w:rPr>
      </w:pPr>
      <w:r w:rsidRPr="0017585B">
        <w:rPr>
          <w:sz w:val="20"/>
          <w:szCs w:val="20"/>
          <w:lang/>
        </w:rPr>
        <w:t xml:space="preserve">Pataky, M. W., Young, W. F., &amp; Nair, K. S. (2021). Hormonal and Metabolic Changes of Aging and the Influence of Lifestyle Modifications. </w:t>
      </w:r>
      <w:r w:rsidRPr="0017585B">
        <w:rPr>
          <w:i/>
          <w:iCs/>
          <w:sz w:val="20"/>
          <w:szCs w:val="20"/>
          <w:lang/>
        </w:rPr>
        <w:t>Mayo Clinic Proceedings</w:t>
      </w:r>
      <w:r w:rsidRPr="0017585B">
        <w:rPr>
          <w:sz w:val="20"/>
          <w:szCs w:val="20"/>
          <w:lang/>
        </w:rPr>
        <w:t xml:space="preserve">, </w:t>
      </w:r>
      <w:r w:rsidRPr="0017585B">
        <w:rPr>
          <w:i/>
          <w:iCs/>
          <w:sz w:val="20"/>
          <w:szCs w:val="20"/>
          <w:lang/>
        </w:rPr>
        <w:t>96</w:t>
      </w:r>
      <w:r w:rsidRPr="0017585B">
        <w:rPr>
          <w:sz w:val="20"/>
          <w:szCs w:val="20"/>
          <w:lang/>
        </w:rPr>
        <w:t>(3), 788–814. https://doi.org/10.1016/j.mayocp.2020.07.033</w:t>
      </w:r>
    </w:p>
    <w:p w14:paraId="7D0DA858" w14:textId="77777777" w:rsidR="0017585B" w:rsidRPr="0017585B" w:rsidRDefault="0017585B" w:rsidP="0017585B">
      <w:pPr>
        <w:ind w:left="1134" w:hanging="1134"/>
        <w:jc w:val="both"/>
        <w:rPr>
          <w:sz w:val="20"/>
          <w:szCs w:val="20"/>
          <w:lang/>
        </w:rPr>
      </w:pPr>
      <w:r w:rsidRPr="0017585B">
        <w:rPr>
          <w:sz w:val="20"/>
          <w:szCs w:val="20"/>
          <w:lang/>
        </w:rPr>
        <w:t xml:space="preserve">Prasad, C. (2014). Lifestyle and Advanced Glycation End Products (AGEs) Burden: Its Relevance to Healthy Aging. </w:t>
      </w:r>
      <w:r w:rsidRPr="0017585B">
        <w:rPr>
          <w:i/>
          <w:iCs/>
          <w:sz w:val="20"/>
          <w:szCs w:val="20"/>
          <w:lang/>
        </w:rPr>
        <w:t>Aging and Disease</w:t>
      </w:r>
      <w:r w:rsidRPr="0017585B">
        <w:rPr>
          <w:sz w:val="20"/>
          <w:szCs w:val="20"/>
          <w:lang/>
        </w:rPr>
        <w:t>. https://doi.org/10.14336/ad.2014.0500212</w:t>
      </w:r>
    </w:p>
    <w:p w14:paraId="10003D58" w14:textId="77777777" w:rsidR="0017585B" w:rsidRPr="0017585B" w:rsidRDefault="0017585B" w:rsidP="0017585B">
      <w:pPr>
        <w:ind w:left="1134" w:hanging="1134"/>
        <w:jc w:val="both"/>
        <w:rPr>
          <w:sz w:val="20"/>
          <w:szCs w:val="20"/>
          <w:lang/>
        </w:rPr>
      </w:pPr>
      <w:r w:rsidRPr="0017585B">
        <w:rPr>
          <w:sz w:val="20"/>
          <w:szCs w:val="20"/>
          <w:lang/>
        </w:rPr>
        <w:t xml:space="preserve">Priego, T., Martín, A., González-Hedström, D., Granado, M., &amp; López-Calderón, A. (2021). Role of hormones in sarcopenia. In </w:t>
      </w:r>
      <w:r w:rsidRPr="0017585B">
        <w:rPr>
          <w:i/>
          <w:iCs/>
          <w:sz w:val="20"/>
          <w:szCs w:val="20"/>
          <w:lang/>
        </w:rPr>
        <w:t>Vitamins and hormones</w:t>
      </w:r>
      <w:r w:rsidRPr="0017585B">
        <w:rPr>
          <w:sz w:val="20"/>
          <w:szCs w:val="20"/>
          <w:lang/>
        </w:rPr>
        <w:t xml:space="preserve"> (pp. 535–570). https://doi.org/10.1016/bs.vh.2020.12.021</w:t>
      </w:r>
    </w:p>
    <w:p w14:paraId="743E18BB" w14:textId="77777777" w:rsidR="0017585B" w:rsidRPr="0017585B" w:rsidRDefault="0017585B" w:rsidP="0017585B">
      <w:pPr>
        <w:ind w:left="1134" w:hanging="1134"/>
        <w:jc w:val="both"/>
        <w:rPr>
          <w:sz w:val="20"/>
          <w:szCs w:val="20"/>
          <w:lang/>
        </w:rPr>
      </w:pPr>
      <w:r w:rsidRPr="0017585B">
        <w:rPr>
          <w:sz w:val="20"/>
          <w:szCs w:val="20"/>
          <w:lang/>
        </w:rPr>
        <w:t xml:space="preserve">Schulte, P. A., &amp; Perera, F. P. (2012). </w:t>
      </w:r>
      <w:r w:rsidRPr="0017585B">
        <w:rPr>
          <w:i/>
          <w:iCs/>
          <w:sz w:val="20"/>
          <w:szCs w:val="20"/>
          <w:lang/>
        </w:rPr>
        <w:t>Molecular Epidemiology</w:t>
      </w:r>
      <w:r w:rsidRPr="0017585B">
        <w:rPr>
          <w:sz w:val="20"/>
          <w:szCs w:val="20"/>
          <w:lang/>
        </w:rPr>
        <w:t>. Academic Press. http://books.google.ie/books?id=0hiUsCRG6f8C&amp;printsec=frontcover&amp;dq=Aging+is+an+inevitable+process+that+brings+about+numerous+chemical+changes+in+the+human+body.+As+time+progresses,+our+bodies+undergo+a+myriad+of+transformations+at+the+molecular+level.+One+significant+aspect+of+aging+is+the+alteration+in+our+chemical+composition.+Key+chemical+changes+include+the+depletion+of+collagen,+leading+to+wrinkles+and+sagging+skin,+and+the+decline+in+the+production+of+elastin,+which+results+in+loss+of+elasticity+in+various+tissues.+These+changes+can+have+profound+imp</w:t>
      </w:r>
      <w:r w:rsidRPr="0017585B">
        <w:rPr>
          <w:sz w:val="20"/>
          <w:szCs w:val="20"/>
          <w:lang/>
        </w:rPr>
        <w:lastRenderedPageBreak/>
        <w:t>lications+on+our+health,+including+an+increased+risk+of+chronic+diseases.+Understanding+these+chemical+changes+can+help+us+develop+strategies+to+mitigate+their+impacts+and+promote+healthy+aging.&amp;hl=&amp;cd=3&amp;source=gbs_api</w:t>
      </w:r>
    </w:p>
    <w:p w14:paraId="0D47ADE1" w14:textId="77777777" w:rsidR="0017585B" w:rsidRPr="0017585B" w:rsidRDefault="0017585B" w:rsidP="0017585B">
      <w:pPr>
        <w:ind w:left="1134" w:hanging="1134"/>
        <w:jc w:val="both"/>
        <w:rPr>
          <w:sz w:val="20"/>
          <w:szCs w:val="20"/>
          <w:lang/>
        </w:rPr>
      </w:pPr>
      <w:r w:rsidRPr="0017585B">
        <w:rPr>
          <w:sz w:val="20"/>
          <w:szCs w:val="20"/>
          <w:lang/>
        </w:rPr>
        <w:t xml:space="preserve">Walker, K. A., Basisty, N., Wilson, D. M., &amp; Ferrucci, L. (2022). Connecting aging biology and inflammation in the omics era. </w:t>
      </w:r>
      <w:r w:rsidRPr="0017585B">
        <w:rPr>
          <w:rFonts w:cs="Century"/>
          <w:i/>
          <w:iCs/>
          <w:sz w:val="20"/>
          <w:szCs w:val="20"/>
          <w:lang/>
        </w:rPr>
        <w:t></w:t>
      </w:r>
      <w:r w:rsidRPr="0017585B">
        <w:rPr>
          <w:i/>
          <w:iCs/>
          <w:sz w:val="20"/>
          <w:szCs w:val="20"/>
          <w:lang/>
        </w:rPr>
        <w:t xml:space="preserve">the </w:t>
      </w:r>
      <w:r w:rsidRPr="0017585B">
        <w:rPr>
          <w:rFonts w:cs="Century"/>
          <w:i/>
          <w:iCs/>
          <w:sz w:val="20"/>
          <w:szCs w:val="20"/>
          <w:lang/>
        </w:rPr>
        <w:t></w:t>
      </w:r>
      <w:r w:rsidRPr="0017585B">
        <w:rPr>
          <w:i/>
          <w:iCs/>
          <w:sz w:val="20"/>
          <w:szCs w:val="20"/>
          <w:lang/>
        </w:rPr>
        <w:t>Journal of Clinical Investigation/</w:t>
      </w:r>
      <w:r w:rsidRPr="0017585B">
        <w:rPr>
          <w:rFonts w:cs="Century"/>
          <w:i/>
          <w:iCs/>
          <w:sz w:val="20"/>
          <w:szCs w:val="20"/>
          <w:lang/>
        </w:rPr>
        <w:t></w:t>
      </w:r>
      <w:r w:rsidRPr="0017585B">
        <w:rPr>
          <w:i/>
          <w:iCs/>
          <w:sz w:val="20"/>
          <w:szCs w:val="20"/>
          <w:lang/>
        </w:rPr>
        <w:t xml:space="preserve">the </w:t>
      </w:r>
      <w:r w:rsidRPr="0017585B">
        <w:rPr>
          <w:rFonts w:cs="Century"/>
          <w:i/>
          <w:iCs/>
          <w:sz w:val="20"/>
          <w:szCs w:val="20"/>
          <w:lang/>
        </w:rPr>
        <w:t></w:t>
      </w:r>
      <w:r w:rsidRPr="0017585B">
        <w:rPr>
          <w:i/>
          <w:iCs/>
          <w:sz w:val="20"/>
          <w:szCs w:val="20"/>
          <w:lang/>
        </w:rPr>
        <w:t>Journal of Clinical Investigation</w:t>
      </w:r>
      <w:r w:rsidRPr="0017585B">
        <w:rPr>
          <w:sz w:val="20"/>
          <w:szCs w:val="20"/>
          <w:lang/>
        </w:rPr>
        <w:t xml:space="preserve">, </w:t>
      </w:r>
      <w:r w:rsidRPr="0017585B">
        <w:rPr>
          <w:i/>
          <w:iCs/>
          <w:sz w:val="20"/>
          <w:szCs w:val="20"/>
          <w:lang/>
        </w:rPr>
        <w:t>132</w:t>
      </w:r>
      <w:r w:rsidRPr="0017585B">
        <w:rPr>
          <w:sz w:val="20"/>
          <w:szCs w:val="20"/>
          <w:lang/>
        </w:rPr>
        <w:t>(14). https://doi.org/10.1172/jci158448</w:t>
      </w:r>
    </w:p>
    <w:p w14:paraId="11E6529A" w14:textId="77777777" w:rsidR="0017585B" w:rsidRPr="0017585B" w:rsidRDefault="0017585B" w:rsidP="0017585B">
      <w:pPr>
        <w:ind w:left="1134" w:hanging="1134"/>
        <w:jc w:val="both"/>
        <w:rPr>
          <w:sz w:val="20"/>
          <w:szCs w:val="20"/>
          <w:lang/>
        </w:rPr>
      </w:pPr>
      <w:r w:rsidRPr="0017585B">
        <w:rPr>
          <w:sz w:val="20"/>
          <w:szCs w:val="20"/>
          <w:lang/>
        </w:rPr>
        <w:t xml:space="preserve">Yang, J., Luo, J., Tian, X., Zhao, Y., Li, Y., &amp; Wu, X. (2024). Progress in Understanding Oxidative Stress, Aging, and Aging-Related Diseases. </w:t>
      </w:r>
      <w:r w:rsidRPr="0017585B">
        <w:rPr>
          <w:i/>
          <w:iCs/>
          <w:sz w:val="20"/>
          <w:szCs w:val="20"/>
          <w:lang/>
        </w:rPr>
        <w:t>Antioxidants</w:t>
      </w:r>
      <w:r w:rsidRPr="0017585B">
        <w:rPr>
          <w:sz w:val="20"/>
          <w:szCs w:val="20"/>
          <w:lang/>
        </w:rPr>
        <w:t xml:space="preserve">, </w:t>
      </w:r>
      <w:r w:rsidRPr="0017585B">
        <w:rPr>
          <w:i/>
          <w:iCs/>
          <w:sz w:val="20"/>
          <w:szCs w:val="20"/>
          <w:lang/>
        </w:rPr>
        <w:t>13</w:t>
      </w:r>
      <w:r w:rsidRPr="0017585B">
        <w:rPr>
          <w:sz w:val="20"/>
          <w:szCs w:val="20"/>
          <w:lang/>
        </w:rPr>
        <w:t>(4), 394. https://doi.org/10.3390/antiox13040394</w:t>
      </w:r>
    </w:p>
    <w:p w14:paraId="061E1B32" w14:textId="77777777" w:rsidR="0017585B" w:rsidRPr="00830C8E" w:rsidRDefault="0017585B" w:rsidP="00CC3346">
      <w:pPr>
        <w:jc w:val="both"/>
        <w:rPr>
          <w:sz w:val="20"/>
          <w:szCs w:val="20"/>
        </w:rPr>
      </w:pPr>
    </w:p>
    <w:p w14:paraId="39AD7155" w14:textId="77777777" w:rsidR="00CC3346" w:rsidRPr="0081761C" w:rsidRDefault="00CC3346" w:rsidP="00CC3346">
      <w:pPr>
        <w:jc w:val="both"/>
      </w:pPr>
    </w:p>
    <w:sectPr w:rsidR="00CC3346" w:rsidRPr="0081761C" w:rsidSect="00903E2F">
      <w:pgSz w:w="12240" w:h="15840"/>
      <w:pgMar w:top="1440" w:right="758"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53A7"/>
    <w:rsid w:val="000E15C6"/>
    <w:rsid w:val="0017585B"/>
    <w:rsid w:val="00221EA4"/>
    <w:rsid w:val="0026488A"/>
    <w:rsid w:val="002753A7"/>
    <w:rsid w:val="0040055A"/>
    <w:rsid w:val="00407FBC"/>
    <w:rsid w:val="004C0E09"/>
    <w:rsid w:val="005523E8"/>
    <w:rsid w:val="005A3FF3"/>
    <w:rsid w:val="007A00EC"/>
    <w:rsid w:val="0081761C"/>
    <w:rsid w:val="00830C8E"/>
    <w:rsid w:val="00884545"/>
    <w:rsid w:val="00903E2F"/>
    <w:rsid w:val="00BB77C7"/>
    <w:rsid w:val="00C049B7"/>
    <w:rsid w:val="00C13C92"/>
    <w:rsid w:val="00CC3346"/>
    <w:rsid w:val="00DA22FF"/>
    <w:rsid w:val="00EB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C9D4"/>
  <w15:chartTrackingRefBased/>
  <w15:docId w15:val="{999ED8B0-7FE4-404E-B4B3-5A2DB1C0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46"/>
    <w:pPr>
      <w:spacing w:line="480" w:lineRule="auto"/>
    </w:pPr>
    <w:rPr>
      <w:rFonts w:ascii="Century" w:hAnsi="Century"/>
      <w:lang w:val="en-GB"/>
    </w:rPr>
  </w:style>
  <w:style w:type="paragraph" w:styleId="Heading1">
    <w:name w:val="heading 1"/>
    <w:basedOn w:val="Normal"/>
    <w:next w:val="Normal"/>
    <w:link w:val="Heading1Char"/>
    <w:uiPriority w:val="9"/>
    <w:qFormat/>
    <w:rsid w:val="00275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A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753A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753A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753A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753A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753A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753A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753A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753A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75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3A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75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3A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753A7"/>
    <w:pPr>
      <w:spacing w:before="160"/>
      <w:jc w:val="center"/>
    </w:pPr>
    <w:rPr>
      <w:i/>
      <w:iCs/>
      <w:color w:val="404040" w:themeColor="text1" w:themeTint="BF"/>
    </w:rPr>
  </w:style>
  <w:style w:type="character" w:customStyle="1" w:styleId="QuoteChar">
    <w:name w:val="Quote Char"/>
    <w:basedOn w:val="DefaultParagraphFont"/>
    <w:link w:val="Quote"/>
    <w:uiPriority w:val="29"/>
    <w:rsid w:val="002753A7"/>
    <w:rPr>
      <w:i/>
      <w:iCs/>
      <w:color w:val="404040" w:themeColor="text1" w:themeTint="BF"/>
      <w:lang w:val="en-GB"/>
    </w:rPr>
  </w:style>
  <w:style w:type="paragraph" w:styleId="ListParagraph">
    <w:name w:val="List Paragraph"/>
    <w:basedOn w:val="Normal"/>
    <w:uiPriority w:val="34"/>
    <w:qFormat/>
    <w:rsid w:val="002753A7"/>
    <w:pPr>
      <w:ind w:left="720"/>
      <w:contextualSpacing/>
    </w:pPr>
  </w:style>
  <w:style w:type="character" w:styleId="IntenseEmphasis">
    <w:name w:val="Intense Emphasis"/>
    <w:basedOn w:val="DefaultParagraphFont"/>
    <w:uiPriority w:val="21"/>
    <w:qFormat/>
    <w:rsid w:val="002753A7"/>
    <w:rPr>
      <w:i/>
      <w:iCs/>
      <w:color w:val="0F4761" w:themeColor="accent1" w:themeShade="BF"/>
    </w:rPr>
  </w:style>
  <w:style w:type="paragraph" w:styleId="IntenseQuote">
    <w:name w:val="Intense Quote"/>
    <w:basedOn w:val="Normal"/>
    <w:next w:val="Normal"/>
    <w:link w:val="IntenseQuoteChar"/>
    <w:uiPriority w:val="30"/>
    <w:qFormat/>
    <w:rsid w:val="00275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3A7"/>
    <w:rPr>
      <w:i/>
      <w:iCs/>
      <w:color w:val="0F4761" w:themeColor="accent1" w:themeShade="BF"/>
      <w:lang w:val="en-GB"/>
    </w:rPr>
  </w:style>
  <w:style w:type="character" w:styleId="IntenseReference">
    <w:name w:val="Intense Reference"/>
    <w:basedOn w:val="DefaultParagraphFont"/>
    <w:uiPriority w:val="32"/>
    <w:qFormat/>
    <w:rsid w:val="00275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74111">
      <w:bodyDiv w:val="1"/>
      <w:marLeft w:val="0"/>
      <w:marRight w:val="0"/>
      <w:marTop w:val="0"/>
      <w:marBottom w:val="0"/>
      <w:divBdr>
        <w:top w:val="none" w:sz="0" w:space="0" w:color="auto"/>
        <w:left w:val="none" w:sz="0" w:space="0" w:color="auto"/>
        <w:bottom w:val="none" w:sz="0" w:space="0" w:color="auto"/>
        <w:right w:val="none" w:sz="0" w:space="0" w:color="auto"/>
      </w:divBdr>
    </w:div>
    <w:div w:id="455217537">
      <w:bodyDiv w:val="1"/>
      <w:marLeft w:val="0"/>
      <w:marRight w:val="0"/>
      <w:marTop w:val="0"/>
      <w:marBottom w:val="0"/>
      <w:divBdr>
        <w:top w:val="none" w:sz="0" w:space="0" w:color="auto"/>
        <w:left w:val="none" w:sz="0" w:space="0" w:color="auto"/>
        <w:bottom w:val="none" w:sz="0" w:space="0" w:color="auto"/>
        <w:right w:val="none" w:sz="0" w:space="0" w:color="auto"/>
      </w:divBdr>
    </w:div>
    <w:div w:id="748229296">
      <w:bodyDiv w:val="1"/>
      <w:marLeft w:val="0"/>
      <w:marRight w:val="0"/>
      <w:marTop w:val="0"/>
      <w:marBottom w:val="0"/>
      <w:divBdr>
        <w:top w:val="none" w:sz="0" w:space="0" w:color="auto"/>
        <w:left w:val="none" w:sz="0" w:space="0" w:color="auto"/>
        <w:bottom w:val="none" w:sz="0" w:space="0" w:color="auto"/>
        <w:right w:val="none" w:sz="0" w:space="0" w:color="auto"/>
      </w:divBdr>
    </w:div>
    <w:div w:id="823858052">
      <w:bodyDiv w:val="1"/>
      <w:marLeft w:val="0"/>
      <w:marRight w:val="0"/>
      <w:marTop w:val="0"/>
      <w:marBottom w:val="0"/>
      <w:divBdr>
        <w:top w:val="none" w:sz="0" w:space="0" w:color="auto"/>
        <w:left w:val="none" w:sz="0" w:space="0" w:color="auto"/>
        <w:bottom w:val="none" w:sz="0" w:space="0" w:color="auto"/>
        <w:right w:val="none" w:sz="0" w:space="0" w:color="auto"/>
      </w:divBdr>
    </w:div>
    <w:div w:id="1004472236">
      <w:bodyDiv w:val="1"/>
      <w:marLeft w:val="0"/>
      <w:marRight w:val="0"/>
      <w:marTop w:val="0"/>
      <w:marBottom w:val="0"/>
      <w:divBdr>
        <w:top w:val="none" w:sz="0" w:space="0" w:color="auto"/>
        <w:left w:val="none" w:sz="0" w:space="0" w:color="auto"/>
        <w:bottom w:val="none" w:sz="0" w:space="0" w:color="auto"/>
        <w:right w:val="none" w:sz="0" w:space="0" w:color="auto"/>
      </w:divBdr>
    </w:div>
    <w:div w:id="1028333927">
      <w:bodyDiv w:val="1"/>
      <w:marLeft w:val="0"/>
      <w:marRight w:val="0"/>
      <w:marTop w:val="0"/>
      <w:marBottom w:val="0"/>
      <w:divBdr>
        <w:top w:val="none" w:sz="0" w:space="0" w:color="auto"/>
        <w:left w:val="none" w:sz="0" w:space="0" w:color="auto"/>
        <w:bottom w:val="none" w:sz="0" w:space="0" w:color="auto"/>
        <w:right w:val="none" w:sz="0" w:space="0" w:color="auto"/>
      </w:divBdr>
    </w:div>
    <w:div w:id="1292975539">
      <w:bodyDiv w:val="1"/>
      <w:marLeft w:val="0"/>
      <w:marRight w:val="0"/>
      <w:marTop w:val="0"/>
      <w:marBottom w:val="0"/>
      <w:divBdr>
        <w:top w:val="none" w:sz="0" w:space="0" w:color="auto"/>
        <w:left w:val="none" w:sz="0" w:space="0" w:color="auto"/>
        <w:bottom w:val="none" w:sz="0" w:space="0" w:color="auto"/>
        <w:right w:val="none" w:sz="0" w:space="0" w:color="auto"/>
      </w:divBdr>
    </w:div>
    <w:div w:id="1345664494">
      <w:bodyDiv w:val="1"/>
      <w:marLeft w:val="0"/>
      <w:marRight w:val="0"/>
      <w:marTop w:val="0"/>
      <w:marBottom w:val="0"/>
      <w:divBdr>
        <w:top w:val="none" w:sz="0" w:space="0" w:color="auto"/>
        <w:left w:val="none" w:sz="0" w:space="0" w:color="auto"/>
        <w:bottom w:val="none" w:sz="0" w:space="0" w:color="auto"/>
        <w:right w:val="none" w:sz="0" w:space="0" w:color="auto"/>
      </w:divBdr>
    </w:div>
    <w:div w:id="1375498564">
      <w:bodyDiv w:val="1"/>
      <w:marLeft w:val="0"/>
      <w:marRight w:val="0"/>
      <w:marTop w:val="0"/>
      <w:marBottom w:val="0"/>
      <w:divBdr>
        <w:top w:val="none" w:sz="0" w:space="0" w:color="auto"/>
        <w:left w:val="none" w:sz="0" w:space="0" w:color="auto"/>
        <w:bottom w:val="none" w:sz="0" w:space="0" w:color="auto"/>
        <w:right w:val="none" w:sz="0" w:space="0" w:color="auto"/>
      </w:divBdr>
    </w:div>
    <w:div w:id="1624924810">
      <w:bodyDiv w:val="1"/>
      <w:marLeft w:val="0"/>
      <w:marRight w:val="0"/>
      <w:marTop w:val="0"/>
      <w:marBottom w:val="0"/>
      <w:divBdr>
        <w:top w:val="none" w:sz="0" w:space="0" w:color="auto"/>
        <w:left w:val="none" w:sz="0" w:space="0" w:color="auto"/>
        <w:bottom w:val="none" w:sz="0" w:space="0" w:color="auto"/>
        <w:right w:val="none" w:sz="0" w:space="0" w:color="auto"/>
      </w:divBdr>
    </w:div>
    <w:div w:id="1706835200">
      <w:bodyDiv w:val="1"/>
      <w:marLeft w:val="0"/>
      <w:marRight w:val="0"/>
      <w:marTop w:val="0"/>
      <w:marBottom w:val="0"/>
      <w:divBdr>
        <w:top w:val="none" w:sz="0" w:space="0" w:color="auto"/>
        <w:left w:val="none" w:sz="0" w:space="0" w:color="auto"/>
        <w:bottom w:val="none" w:sz="0" w:space="0" w:color="auto"/>
        <w:right w:val="none" w:sz="0" w:space="0" w:color="auto"/>
      </w:divBdr>
    </w:div>
    <w:div w:id="1785339964">
      <w:bodyDiv w:val="1"/>
      <w:marLeft w:val="0"/>
      <w:marRight w:val="0"/>
      <w:marTop w:val="0"/>
      <w:marBottom w:val="0"/>
      <w:divBdr>
        <w:top w:val="none" w:sz="0" w:space="0" w:color="auto"/>
        <w:left w:val="none" w:sz="0" w:space="0" w:color="auto"/>
        <w:bottom w:val="none" w:sz="0" w:space="0" w:color="auto"/>
        <w:right w:val="none" w:sz="0" w:space="0" w:color="auto"/>
      </w:divBdr>
    </w:div>
    <w:div w:id="1982464920">
      <w:bodyDiv w:val="1"/>
      <w:marLeft w:val="0"/>
      <w:marRight w:val="0"/>
      <w:marTop w:val="0"/>
      <w:marBottom w:val="0"/>
      <w:divBdr>
        <w:top w:val="none" w:sz="0" w:space="0" w:color="auto"/>
        <w:left w:val="none" w:sz="0" w:space="0" w:color="auto"/>
        <w:bottom w:val="none" w:sz="0" w:space="0" w:color="auto"/>
        <w:right w:val="none" w:sz="0" w:space="0" w:color="auto"/>
      </w:divBdr>
    </w:div>
    <w:div w:id="2018264848">
      <w:bodyDiv w:val="1"/>
      <w:marLeft w:val="0"/>
      <w:marRight w:val="0"/>
      <w:marTop w:val="0"/>
      <w:marBottom w:val="0"/>
      <w:divBdr>
        <w:top w:val="none" w:sz="0" w:space="0" w:color="auto"/>
        <w:left w:val="none" w:sz="0" w:space="0" w:color="auto"/>
        <w:bottom w:val="none" w:sz="0" w:space="0" w:color="auto"/>
        <w:right w:val="none" w:sz="0" w:space="0" w:color="auto"/>
      </w:divBdr>
    </w:div>
    <w:div w:id="21412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cp:revision>
  <dcterms:created xsi:type="dcterms:W3CDTF">2024-06-23T11:10:00Z</dcterms:created>
  <dcterms:modified xsi:type="dcterms:W3CDTF">2024-06-23T13:06:00Z</dcterms:modified>
</cp:coreProperties>
</file>