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proofErr w:type="spellStart"/>
      <w:r>
        <w:rPr>
          <w:lang w:val="nl-NL"/>
        </w:rPr>
        <w:t>References</w:t>
      </w:r>
      <w:proofErr w:type="spellEnd"/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Fougère, B., Boulanger, E., Nourhashémi, F., Guyonnet, S., &amp; Cesari, M. (2016). RETRACTED: Chronic Inflammation: Accelerator of Biological Aging. </w:t>
      </w:r>
      <w:r>
        <w:rPr>
          <w:b w:val="false"/>
          <w:bCs w:val="false"/>
          <w:i w:val="true"/>
          <w:iCs w:val="true"/>
        </w:rPr>
        <w:t xml:space="preserve">the Journals of Gerontology. Series a, Biological Sciences and Medical Sciences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72</w:t>
      </w:r>
      <w:r>
        <w:rPr>
          <w:b w:val="false"/>
          <w:bCs w:val="false"/>
          <w:i w:val="false"/>
          <w:iCs w:val="false"/>
        </w:rPr>
        <w:t xml:space="preserve">(9), 1218–1225. </w:t>
      </w:r>
      <w:r>
        <w:rPr>
          <w:b w:val="false"/>
          <w:bCs w:val="false"/>
          <w:i w:val="false"/>
          <w:iCs w:val="false"/>
        </w:rPr>
        <w:t xml:space="preserve">https://doi.org/10.1093/gerona/glw240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Giuliani, A., Prattichizzo, F., Micolucci, L., Ceriello, A., Procopio, A. D., &amp; Rippo, M. R. (2017). Mitochondrial (Dys) Function in Inflammaging: Do MitomiRs Influence the Energetic, Oxidative, and Inflammatory Status of Senescent Cells? </w:t>
      </w:r>
      <w:r>
        <w:rPr>
          <w:b w:val="false"/>
          <w:bCs w:val="false"/>
          <w:i w:val="true"/>
          <w:iCs w:val="true"/>
        </w:rPr>
        <w:t xml:space="preserve">Mediators of Inflammation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2017</w:t>
      </w:r>
      <w:r>
        <w:rPr>
          <w:b w:val="false"/>
          <w:bCs w:val="false"/>
          <w:i w:val="false"/>
          <w:iCs w:val="false"/>
        </w:rPr>
        <w:t xml:space="preserve">, 1–11. </w:t>
      </w:r>
      <w:r>
        <w:rPr>
          <w:b w:val="false"/>
          <w:bCs w:val="false"/>
          <w:i w:val="false"/>
          <w:iCs w:val="false"/>
        </w:rPr>
        <w:t xml:space="preserve">https://doi.org/10.1155/2017/2309034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Medicine, N. a. O. S. E. A., Division, H. a. M., Practice, B. O. P. H. a. P. H., &amp; States, C. O. C. B. S. T. P. H. E. I. T. U. (2017). </w:t>
      </w:r>
      <w:r>
        <w:rPr>
          <w:b w:val="false"/>
          <w:bCs w:val="false"/>
          <w:i w:val="true"/>
          <w:iCs w:val="true"/>
        </w:rPr>
        <w:t xml:space="preserve">Communities in Action</w:t>
      </w:r>
      <w:r>
        <w:rPr>
          <w:b w:val="false"/>
          <w:bCs w:val="false"/>
          <w:i w:val="false"/>
          <w:iCs w:val="false"/>
        </w:rPr>
        <w:t xml:space="preserve">. National Academies Press. </w:t>
      </w:r>
      <w:r>
        <w:rPr>
          <w:b w:val="false"/>
          <w:bCs w:val="false"/>
          <w:i w:val="false"/>
          <w:iCs w:val="false"/>
        </w:rPr>
        <w:t xml:space="preserve">http://books.google.ie/books?id=AIKPDgAAQBAJ&amp;printsec=frontcover&amp;dq=These+changes+can+have+profound+implications+on+our+health,+including+an+increased+risk+of+chronic+diseases&amp;hl=&amp;cd=4&amp;source=gbs_api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Moldogazieva, N. T., Mokhosoev, I. M., Mel’nikova, T. I., Porozov, Y. B., &amp; Terentiev, A. A. (2019). Oxidative Stress and Advanced Lipoxidation and Glycation End Products (ALEs and AGEs) in Aging and Age-Related Diseases. </w:t>
      </w:r>
      <w:r>
        <w:rPr>
          <w:b w:val="false"/>
          <w:bCs w:val="false"/>
          <w:i w:val="true"/>
          <w:iCs w:val="true"/>
        </w:rPr>
        <w:t xml:space="preserve">Oxidative Medicine and Cellular Longevity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2019</w:t>
      </w:r>
      <w:r>
        <w:rPr>
          <w:b w:val="false"/>
          <w:bCs w:val="false"/>
          <w:i w:val="false"/>
          <w:iCs w:val="false"/>
        </w:rPr>
        <w:t xml:space="preserve">, 1–14. </w:t>
      </w:r>
      <w:r>
        <w:rPr>
          <w:b w:val="false"/>
          <w:bCs w:val="false"/>
          <w:i w:val="false"/>
          <w:iCs w:val="false"/>
        </w:rPr>
        <w:t xml:space="preserve">https://doi.org/10.1155/2019/3085756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Pataky, M. W., Young, W. F., &amp; Nair, K. S. (2021). Hormonal and Metabolic Changes of Aging and the Influence of Lifestyle Modifications. </w:t>
      </w:r>
      <w:r>
        <w:rPr>
          <w:b w:val="false"/>
          <w:bCs w:val="false"/>
          <w:i w:val="true"/>
          <w:iCs w:val="true"/>
        </w:rPr>
        <w:t xml:space="preserve">Mayo Clinic Proceedings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96</w:t>
      </w:r>
      <w:r>
        <w:rPr>
          <w:b w:val="false"/>
          <w:bCs w:val="false"/>
          <w:i w:val="false"/>
          <w:iCs w:val="false"/>
        </w:rPr>
        <w:t xml:space="preserve">(3), 788–814. </w:t>
      </w:r>
      <w:r>
        <w:rPr>
          <w:b w:val="false"/>
          <w:bCs w:val="false"/>
          <w:i w:val="false"/>
          <w:iCs w:val="false"/>
        </w:rPr>
        <w:t xml:space="preserve">https://doi.org/10.1016/j.mayocp.2020.07.033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Picca, A., Lezza, A., Leeuwenburgh, C., Pesce, V., Calvani, R., Landi, F., Bernabei, R., &amp; Marzetti, E. (2017a). Fueling Inflamm-Aging through Mitochondrial Dysfunction: Mechanisms and Molecular Targets. </w:t>
      </w:r>
      <w:r>
        <w:rPr>
          <w:b w:val="false"/>
          <w:bCs w:val="false"/>
          <w:i w:val="true"/>
          <w:iCs w:val="true"/>
        </w:rPr>
        <w:t xml:space="preserve">International Journal of Molecular Sciences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18</w:t>
      </w:r>
      <w:r>
        <w:rPr>
          <w:b w:val="false"/>
          <w:bCs w:val="false"/>
          <w:i w:val="false"/>
          <w:iCs w:val="false"/>
        </w:rPr>
        <w:t xml:space="preserve">(5), 933. </w:t>
      </w:r>
      <w:r>
        <w:rPr>
          <w:b w:val="false"/>
          <w:bCs w:val="false"/>
          <w:i w:val="false"/>
          <w:iCs w:val="false"/>
        </w:rPr>
        <w:t xml:space="preserve">https://doi.org/10.3390/ijms18050933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Picca, A., Lezza, A., Leeuwenburgh, C., Pesce, V., Calvani, R., Landi, F., Bernabei, R., &amp; Marzetti, E. (2017b). Fueling Inflamm-Aging through Mitochondrial Dysfunction: Mechanisms and Molecular Targets. </w:t>
      </w:r>
      <w:r>
        <w:rPr>
          <w:b w:val="false"/>
          <w:bCs w:val="false"/>
          <w:i w:val="true"/>
          <w:iCs w:val="true"/>
        </w:rPr>
        <w:t xml:space="preserve">International Journal of Molecular Sciences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18</w:t>
      </w:r>
      <w:r>
        <w:rPr>
          <w:b w:val="false"/>
          <w:bCs w:val="false"/>
          <w:i w:val="false"/>
          <w:iCs w:val="false"/>
        </w:rPr>
        <w:t xml:space="preserve">(5), 933. </w:t>
      </w:r>
      <w:r>
        <w:rPr>
          <w:b w:val="false"/>
          <w:bCs w:val="false"/>
          <w:i w:val="false"/>
          <w:iCs w:val="false"/>
        </w:rPr>
        <w:t xml:space="preserve">https://doi.org/10.3390/ijms18050933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Prasad, C. (2014). Lifestyle and Advanced Glycation End Products (AGEs) Burden: Its Relevance to Healthy Aging. </w:t>
      </w:r>
      <w:r>
        <w:rPr>
          <w:b w:val="false"/>
          <w:bCs w:val="false"/>
          <w:i w:val="true"/>
          <w:iCs w:val="true"/>
        </w:rPr>
        <w:t xml:space="preserve">Aging and Disease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https://doi.org/10.14336/ad.2014.0500212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Priego, T., Martín, A., González-Hedström, D., Granado, M., &amp; López-Calderón, A. (2021). Role of hormones in sarcopenia. In </w:t>
      </w:r>
      <w:r>
        <w:rPr>
          <w:b w:val="false"/>
          <w:bCs w:val="false"/>
          <w:i w:val="true"/>
          <w:iCs w:val="true"/>
        </w:rPr>
        <w:t xml:space="preserve">Vitamins and hormones</w:t>
      </w:r>
      <w:r>
        <w:rPr>
          <w:b w:val="false"/>
          <w:bCs w:val="false"/>
          <w:i w:val="false"/>
          <w:iCs w:val="false"/>
        </w:rPr>
        <w:t xml:space="preserve"> (pp. 535–570). </w:t>
      </w:r>
      <w:r>
        <w:rPr>
          <w:b w:val="false"/>
          <w:bCs w:val="false"/>
          <w:i w:val="false"/>
          <w:iCs w:val="false"/>
        </w:rPr>
        <w:t xml:space="preserve">https://doi.org/10.1016/bs.vh.2020.12.021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Schulte, P. A., &amp; Perera, F. P. (2012). </w:t>
      </w:r>
      <w:r>
        <w:rPr>
          <w:b w:val="false"/>
          <w:bCs w:val="false"/>
          <w:i w:val="true"/>
          <w:iCs w:val="true"/>
        </w:rPr>
        <w:t xml:space="preserve">Molecular Epidemiology</w:t>
      </w:r>
      <w:r>
        <w:rPr>
          <w:b w:val="false"/>
          <w:bCs w:val="false"/>
          <w:i w:val="false"/>
          <w:iCs w:val="false"/>
        </w:rPr>
        <w:t xml:space="preserve">. Academic Press. </w:t>
      </w:r>
      <w:r>
        <w:rPr>
          <w:b w:val="false"/>
          <w:bCs w:val="false"/>
          <w:i w:val="false"/>
          <w:iCs w:val="false"/>
        </w:rPr>
        <w:t xml:space="preserve">http://books.google.ie/books?id=0hiUsCRG6f8C&amp;printsec=frontcover&amp;dq=Aging+is+an+inevitable+process+that+brings+about+numerous+chemical+changes+in+the+human+body.+As+time+progresses,+our+bodies+undergo+a+myriad+of+transformations+at+the+molecular+level.+One+significant+aspect+of+aging+is+the+alteration+in+our+chemical+composition.+Key+chemical+changes+include+the+depletion+of+collagen,+leading+to+wrinkles+and+sagging+skin,+and+the+decline+in+the+production+of+elastin,+which+results+in+loss+of+elasticity+in+various+tissues.+These+changes+can+have+profound+implications+on+our+health,+including+an+increased+risk+of+chronic+diseases.+Understanding+these+chemical+changes+can+help+us+develop+strategies+to+mitigate+their+impacts+and+promote+healthy+aging.&amp;hl=&amp;cd=3&amp;source=gbs_api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Walker, K. A., Basisty, N., Wilson, D. M., &amp; Ferrucci, L. (2022). Connecting aging biology and inflammation in the omics era. </w:t>
      </w:r>
      <w:r>
        <w:rPr>
          <w:b w:val="false"/>
          <w:bCs w:val="false"/>
          <w:i w:val="true"/>
          <w:iCs w:val="true"/>
        </w:rPr>
        <w:t xml:space="preserve">the Journal of Clinical Investigation/the Journal of Clinical Investigation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132</w:t>
      </w:r>
      <w:r>
        <w:rPr>
          <w:b w:val="false"/>
          <w:bCs w:val="false"/>
          <w:i w:val="false"/>
          <w:iCs w:val="false"/>
        </w:rPr>
        <w:t xml:space="preserve">(14). </w:t>
      </w:r>
      <w:r>
        <w:rPr>
          <w:b w:val="false"/>
          <w:bCs w:val="false"/>
          <w:i w:val="false"/>
          <w:iCs w:val="false"/>
        </w:rPr>
        <w:t xml:space="preserve">https://doi.org/10.1172/jci158448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Yang, J., Luo, J., Tian, X., Zhao, Y., Li, Y., &amp; Wu, X. (2024). Progress in Understanding Oxidative Stress, Aging, and Aging-Related Diseases. </w:t>
      </w:r>
      <w:r>
        <w:rPr>
          <w:b w:val="false"/>
          <w:bCs w:val="false"/>
          <w:i w:val="true"/>
          <w:iCs w:val="true"/>
        </w:rPr>
        <w:t xml:space="preserve">Antioxidants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13</w:t>
      </w:r>
      <w:r>
        <w:rPr>
          <w:b w:val="false"/>
          <w:bCs w:val="false"/>
          <w:i w:val="false"/>
          <w:iCs w:val="false"/>
        </w:rPr>
        <w:t xml:space="preserve">(4), 394. </w:t>
      </w:r>
      <w:r>
        <w:rPr>
          <w:b w:val="false"/>
          <w:bCs w:val="false"/>
          <w:i w:val="false"/>
          <w:iCs w:val="false"/>
        </w:rPr>
        <w:t xml:space="preserve">https://doi.org/10.3390/antiox13040394</w:t>
      </w:r>
      <w:r>
        <w:rPr>
          <w:b w:val="false"/>
          <w:bCs w:val="false"/>
          <w:i w:val="false"/>
          <w:iCs w:val="false"/>
        </w:rPr>
        <w:t xml:space="preserve"/>
      </w:r>
    </w:p>
    <w:sectPr w:rsidR="00287DD9" w:rsidRPr="00287D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896A" w14:textId="77777777" w:rsidR="00454F77" w:rsidRDefault="00454F77">
      <w:pPr>
        <w:spacing w:line="240" w:lineRule="auto"/>
      </w:pPr>
      <w:r>
        <w:separator/>
      </w:r>
    </w:p>
  </w:endnote>
  <w:endnote w:type="continuationSeparator" w:id="0">
    <w:p w14:paraId="229F9308" w14:textId="77777777" w:rsidR="00454F77" w:rsidRDefault="00454F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2BC8D8A1" w:rsidR="00FD027A" w:rsidRDefault="00FD027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93D68" w14:textId="77777777" w:rsidR="00454F77" w:rsidRDefault="00454F77">
      <w:pPr>
        <w:spacing w:line="240" w:lineRule="auto"/>
      </w:pPr>
      <w:r>
        <w:separator/>
      </w:r>
    </w:p>
  </w:footnote>
  <w:footnote w:type="continuationSeparator" w:id="0">
    <w:p w14:paraId="156F0B04" w14:textId="77777777" w:rsidR="00454F77" w:rsidRDefault="00454F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454F77"/>
    <w:rsid w:val="00675234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67523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234"/>
    <w:rPr>
      <w:sz w:val="24"/>
      <w:szCs w:val="24"/>
      <w:rFonts w:ascii="Times New Roman" w:cs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Tobias Klevenz</cp:lastModifiedBy>
  <cp:revision>4</cp:revision>
  <dcterms:created xsi:type="dcterms:W3CDTF">2022-05-31T12:50:00Z</dcterms:created>
  <dcterms:modified xsi:type="dcterms:W3CDTF">2024-04-09T12:49:00Z</dcterms:modified>
</cp:coreProperties>
</file>