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96337" w14:textId="77777777" w:rsidR="00BE62F7" w:rsidRDefault="00BE62F7" w:rsidP="00BE62F7">
      <w:pPr>
        <w:pStyle w:val="Title"/>
      </w:pPr>
    </w:p>
    <w:p w14:paraId="434D4D48" w14:textId="77777777" w:rsidR="00BE62F7" w:rsidRDefault="00BE62F7" w:rsidP="00BE62F7">
      <w:pPr>
        <w:pStyle w:val="Title"/>
      </w:pPr>
    </w:p>
    <w:p w14:paraId="51D630B0" w14:textId="77777777" w:rsidR="00BE62F7" w:rsidRDefault="00BE62F7" w:rsidP="00BE62F7">
      <w:pPr>
        <w:pStyle w:val="Title"/>
      </w:pPr>
    </w:p>
    <w:p w14:paraId="7D5F4A41" w14:textId="77777777" w:rsidR="00BE62F7" w:rsidRDefault="00BE62F7" w:rsidP="00BE62F7">
      <w:pPr>
        <w:pStyle w:val="Title"/>
      </w:pPr>
    </w:p>
    <w:p w14:paraId="524BE289" w14:textId="77777777" w:rsidR="00BE62F7" w:rsidRDefault="00BE62F7" w:rsidP="00BE62F7">
      <w:pPr>
        <w:pStyle w:val="Title"/>
      </w:pPr>
    </w:p>
    <w:p w14:paraId="2A8F1310" w14:textId="77777777" w:rsidR="00BE62F7" w:rsidRDefault="00BE62F7" w:rsidP="00BE62F7">
      <w:pPr>
        <w:pStyle w:val="Title"/>
      </w:pPr>
    </w:p>
    <w:p w14:paraId="69B499DE" w14:textId="77777777" w:rsidR="00BE62F7" w:rsidRDefault="00BE62F7" w:rsidP="00BE62F7">
      <w:pPr>
        <w:pStyle w:val="Title"/>
      </w:pPr>
    </w:p>
    <w:p w14:paraId="4C99CB41" w14:textId="444D0552" w:rsidR="00BE62F7" w:rsidRDefault="00BE62F7" w:rsidP="00BE62F7">
      <w:pPr>
        <w:pStyle w:val="Title"/>
      </w:pPr>
      <w:r>
        <w:t>Import Policy Restrictions and Industrial Competitiveness: A Study of the Nigerian Cement Sector.</w:t>
      </w:r>
    </w:p>
    <w:p w14:paraId="59D1EABC" w14:textId="06152A69" w:rsidR="00BE62F7" w:rsidRDefault="00BE62F7">
      <w:pPr>
        <w:spacing w:line="259" w:lineRule="auto"/>
        <w:jc w:val="left"/>
      </w:pPr>
    </w:p>
    <w:p w14:paraId="4AC02E25" w14:textId="77777777" w:rsidR="00BE62F7" w:rsidRPr="00FC778B" w:rsidRDefault="00BE62F7">
      <w:pPr>
        <w:spacing w:line="259" w:lineRule="auto"/>
        <w:jc w:val="left"/>
        <w:rPr>
          <w:b/>
          <w:bCs/>
          <w:i/>
          <w:iCs/>
          <w:sz w:val="40"/>
          <w:szCs w:val="36"/>
        </w:rPr>
      </w:pPr>
    </w:p>
    <w:p w14:paraId="68178381" w14:textId="5BAB03DD" w:rsidR="00BE62F7" w:rsidRPr="00FC778B" w:rsidRDefault="00BE62F7">
      <w:pPr>
        <w:spacing w:line="259" w:lineRule="auto"/>
        <w:jc w:val="left"/>
        <w:rPr>
          <w:b/>
          <w:bCs/>
          <w:i/>
          <w:iCs/>
          <w:sz w:val="40"/>
          <w:szCs w:val="36"/>
        </w:rPr>
      </w:pPr>
      <w:r w:rsidRPr="00FC778B">
        <w:rPr>
          <w:b/>
          <w:bCs/>
          <w:i/>
          <w:iCs/>
          <w:sz w:val="40"/>
          <w:szCs w:val="36"/>
        </w:rPr>
        <w:t>Research Proposal</w:t>
      </w:r>
    </w:p>
    <w:p w14:paraId="2B3EE2A4" w14:textId="113CA8E6" w:rsidR="00BE62F7" w:rsidRDefault="00BE62F7">
      <w:pPr>
        <w:spacing w:line="259" w:lineRule="auto"/>
        <w:jc w:val="left"/>
      </w:pPr>
      <w:r w:rsidRPr="00BE62F7">
        <w:rPr>
          <w:b/>
          <w:bCs/>
        </w:rPr>
        <w:t>Word Count</w:t>
      </w:r>
      <w:r>
        <w:t>: 2,</w:t>
      </w:r>
      <w:r w:rsidR="00C25D6A">
        <w:t>653</w:t>
      </w:r>
    </w:p>
    <w:p w14:paraId="1952D297" w14:textId="77777777" w:rsidR="00BE62F7" w:rsidRDefault="00BE62F7">
      <w:pPr>
        <w:spacing w:line="259" w:lineRule="auto"/>
        <w:jc w:val="left"/>
      </w:pPr>
      <w:r>
        <w:br w:type="page"/>
      </w:r>
    </w:p>
    <w:p w14:paraId="108A4BBD" w14:textId="3CCF126F" w:rsidR="00BE62F7" w:rsidRPr="00BE62F7" w:rsidRDefault="00BE62F7" w:rsidP="00BE62F7">
      <w:pPr>
        <w:pStyle w:val="Heading1"/>
      </w:pPr>
      <w:r w:rsidRPr="00BE62F7">
        <w:lastRenderedPageBreak/>
        <w:t>1. INTRODUCTION</w:t>
      </w:r>
    </w:p>
    <w:p w14:paraId="4F49263E" w14:textId="0C3ABA78" w:rsidR="005A3FF3" w:rsidRDefault="00EE2906" w:rsidP="00EE2906">
      <w:pPr>
        <w:pStyle w:val="Heading2"/>
      </w:pPr>
      <w:r>
        <w:t>1.1 Background of Study</w:t>
      </w:r>
    </w:p>
    <w:p w14:paraId="0E2FDF92" w14:textId="043C66FD" w:rsidR="000F11FB" w:rsidRPr="000F11FB" w:rsidRDefault="000F11FB" w:rsidP="000F11FB">
      <w:r w:rsidRPr="000F11FB">
        <w:t>A shift in the cement sector of Nigeria has seen the country move away from reliance on heavy imports in the sector and become self-sufficient, owing to specific policy interventions (Roche, 2023). The 2002 Backward Integration Policy (BIP) under which firms were to invest in local production in exchange of import licences attracted billions of private investment and more than doubled installed capacity in 10 years, as well as increasing the installed capacity 2 to over 28 million tonnes (Odijie, 2019; Oshodi, 2022). As the local capacity increased, the imports of cement were prohibited, and in 2015 the Central Bank of Nigeria blocked the access of importers to official foreign exchange (McCulloch et al., 2017). Dangote, BUA, and Lafarge are the giants of the industry today, and Dangote is the one that possesses nearly 70% of the market share (Omeiza et al., 2021). Despite the fact that these policies led to the decrease of imports, there are still worries about their impact on the competitiveness (Oluikpe, 2020). Considering the continued elevated prices, lack of capacity utilisation, and lack of competition (Ibeh, 2024; Okogwu et al., 2023), it is curious whether there have been consumer and economic gains. This is worth reconsidering the new policies (Abdul-Wahab et al., 2020; Bamidele, 2024).</w:t>
      </w:r>
    </w:p>
    <w:p w14:paraId="4C74B8FF" w14:textId="256947DB" w:rsidR="007F6EF8" w:rsidRDefault="007F6EF8" w:rsidP="007F6EF8">
      <w:pPr>
        <w:pStyle w:val="Heading2"/>
      </w:pPr>
      <w:r w:rsidRPr="007F6EF8">
        <w:t xml:space="preserve">1.2 Problem </w:t>
      </w:r>
      <w:r>
        <w:t>S</w:t>
      </w:r>
      <w:r w:rsidRPr="007F6EF8">
        <w:t>tatement</w:t>
      </w:r>
    </w:p>
    <w:p w14:paraId="01EF0EA0" w14:textId="3A5D6BD6" w:rsidR="007F6EF8" w:rsidRDefault="00752149" w:rsidP="007F6EF8">
      <w:r>
        <w:t>Nigeria's</w:t>
      </w:r>
      <w:r w:rsidRPr="00752149">
        <w:t xml:space="preserve"> cement industry has been experiencing continuous challenges despite massive expansion in its local production. It is still selling at high prices, N10,000 and above per </w:t>
      </w:r>
      <w:r>
        <w:t>50kg bag, despite having the capacity and sourcing</w:t>
      </w:r>
      <w:r w:rsidRPr="00752149">
        <w:t xml:space="preserve"> most of its inputs locally (Evuti et al., 2024). A small number of firms </w:t>
      </w:r>
      <w:r>
        <w:t xml:space="preserve">control the industry, which has caused concerns regarding a </w:t>
      </w:r>
      <w:r w:rsidRPr="00752149">
        <w:t>lack of competition and inefficiencies (Okogwu et al., 2023)</w:t>
      </w:r>
      <w:r>
        <w:t xml:space="preserve">. </w:t>
      </w:r>
      <w:r w:rsidRPr="00752149">
        <w:t xml:space="preserve">Such results cast some doubt on whether the bans on imports and forex governance have increased the competitiveness of the industry or </w:t>
      </w:r>
      <w:r>
        <w:t xml:space="preserve">whether </w:t>
      </w:r>
      <w:r w:rsidRPr="00752149">
        <w:t>the oligopolies have been rooted at the cost of consumers.</w:t>
      </w:r>
    </w:p>
    <w:p w14:paraId="43DCDCC0" w14:textId="6643D5A6" w:rsidR="00752149" w:rsidRPr="007F6EF8" w:rsidRDefault="00752149" w:rsidP="00752149">
      <w:pPr>
        <w:pStyle w:val="Heading2"/>
      </w:pPr>
      <w:r w:rsidRPr="00752149">
        <w:t xml:space="preserve">1.3 Research </w:t>
      </w:r>
      <w:r>
        <w:t>A</w:t>
      </w:r>
      <w:r w:rsidRPr="00752149">
        <w:t xml:space="preserve">im and </w:t>
      </w:r>
      <w:r>
        <w:t>Q</w:t>
      </w:r>
      <w:r w:rsidRPr="00752149">
        <w:t>uestion</w:t>
      </w:r>
    </w:p>
    <w:p w14:paraId="4027067D" w14:textId="1DFF6466" w:rsidR="00EE2906" w:rsidRDefault="00752149" w:rsidP="00B04510">
      <w:pPr>
        <w:pStyle w:val="Heading3"/>
      </w:pPr>
      <w:r>
        <w:t>1.3.1</w:t>
      </w:r>
      <w:r w:rsidR="00B04510">
        <w:t xml:space="preserve"> Research Aim</w:t>
      </w:r>
    </w:p>
    <w:p w14:paraId="2D1AF146" w14:textId="01F851A3" w:rsidR="00B04510" w:rsidRDefault="00B04510" w:rsidP="00B04510">
      <w:r w:rsidRPr="00B04510">
        <w:t>To examine how import policy restrictions have shaped the industrial competitiveness of the Nigerian cement sector</w:t>
      </w:r>
      <w:r>
        <w:t>.</w:t>
      </w:r>
    </w:p>
    <w:p w14:paraId="48BB55E4" w14:textId="144502B1" w:rsidR="00B04510" w:rsidRDefault="00B04510" w:rsidP="00B04510">
      <w:pPr>
        <w:pStyle w:val="Heading3"/>
      </w:pPr>
      <w:r>
        <w:lastRenderedPageBreak/>
        <w:t>1.3.2 Research Question</w:t>
      </w:r>
    </w:p>
    <w:p w14:paraId="6CF4484A" w14:textId="2765DFFD" w:rsidR="00B04510" w:rsidRPr="00B04510" w:rsidRDefault="00B04510" w:rsidP="00B04510">
      <w:pPr>
        <w:tabs>
          <w:tab w:val="left" w:pos="2022"/>
        </w:tabs>
      </w:pPr>
      <w:r w:rsidRPr="00B04510">
        <w:t>To what extent have Nigeria’s import policy and foreign exchange restrictions on cement contributed to or undermined industrial competitiveness in the cement industry?</w:t>
      </w:r>
    </w:p>
    <w:p w14:paraId="538B91E0" w14:textId="622EE26F" w:rsidR="00B04510" w:rsidRDefault="00B04510" w:rsidP="00B04510">
      <w:pPr>
        <w:pStyle w:val="Heading2"/>
      </w:pPr>
      <w:r>
        <w:t>1.4 Justification of the Study</w:t>
      </w:r>
    </w:p>
    <w:p w14:paraId="297B3CAB" w14:textId="75191F81" w:rsidR="00B04510" w:rsidRDefault="00B04510" w:rsidP="00BE62F7">
      <w:r w:rsidRPr="00B04510">
        <w:t xml:space="preserve">Cement is </w:t>
      </w:r>
      <w:r>
        <w:t>a significant contributor to Nigeria's economy, as it serves as a raw material in the construction of houses, infrastructure,</w:t>
      </w:r>
      <w:r w:rsidRPr="00B04510">
        <w:t xml:space="preserve"> and industrial growth. It </w:t>
      </w:r>
      <w:r>
        <w:t>directly influences national growth, urbanization, and poverty reduction due to</w:t>
      </w:r>
      <w:r w:rsidRPr="00B04510">
        <w:t xml:space="preserve"> its affordability and availability (Unum et al., 2025). </w:t>
      </w:r>
      <w:r>
        <w:t xml:space="preserve">According to </w:t>
      </w:r>
      <w:r w:rsidRPr="00B04510">
        <w:t>McCulloch et al. (2017)</w:t>
      </w:r>
      <w:r>
        <w:t>, t</w:t>
      </w:r>
      <w:r w:rsidRPr="00B04510">
        <w:t xml:space="preserve">he Nigerian cement industry is considered </w:t>
      </w:r>
      <w:r>
        <w:t>a successful case study of the effectiveness of industrial policy, and the Backward Integration Policy is referred to as a</w:t>
      </w:r>
      <w:r w:rsidRPr="00B04510">
        <w:t xml:space="preserve"> success story of self-sufficiency and domestic capacity building. Nevertheless, the continued high prices of cement and </w:t>
      </w:r>
      <w:r>
        <w:t xml:space="preserve">concerns about market concentration have raised new doubts about whether the </w:t>
      </w:r>
      <w:r w:rsidRPr="00B04510">
        <w:t xml:space="preserve">policy-driven growth in the industry has resulted in competitive efficiency or benefited consumers (Okogwu et al., 2023). As the Central Bank of Nigeria </w:t>
      </w:r>
      <w:r>
        <w:t>eased its foreign exchange ban on imported cement in 2023, it has a good chance to review the previous trade barriers and assess their impact on the sector's competitiveness</w:t>
      </w:r>
      <w:r w:rsidRPr="00B04510">
        <w:t xml:space="preserve"> (Eboh, 2023). </w:t>
      </w:r>
      <w:r>
        <w:t>As such, this study contributes towards formulating</w:t>
      </w:r>
      <w:r w:rsidRPr="00B04510">
        <w:t xml:space="preserve"> </w:t>
      </w:r>
      <w:r>
        <w:t>evidence-based policy changes in the Nigerian</w:t>
      </w:r>
      <w:r w:rsidRPr="00B04510">
        <w:t xml:space="preserve"> industrial sector.</w:t>
      </w:r>
    </w:p>
    <w:p w14:paraId="0669B0EA" w14:textId="5E232EBB" w:rsidR="000F11FB" w:rsidRDefault="000F11FB">
      <w:pPr>
        <w:spacing w:line="259" w:lineRule="auto"/>
        <w:jc w:val="left"/>
      </w:pPr>
      <w:r>
        <w:br w:type="page"/>
      </w:r>
    </w:p>
    <w:p w14:paraId="06C4AE81" w14:textId="01B3852B" w:rsidR="000F11FB" w:rsidRDefault="000F11FB" w:rsidP="00045FD9">
      <w:pPr>
        <w:pStyle w:val="Heading1"/>
      </w:pPr>
      <w:r w:rsidRPr="000F11FB">
        <w:lastRenderedPageBreak/>
        <w:t xml:space="preserve">2. </w:t>
      </w:r>
      <w:r w:rsidRPr="00045FD9">
        <w:t>LITERATURE</w:t>
      </w:r>
      <w:r w:rsidRPr="000F11FB">
        <w:t xml:space="preserve"> REVIEW</w:t>
      </w:r>
    </w:p>
    <w:p w14:paraId="7B5299F2" w14:textId="3AC74FFA" w:rsidR="000367CB" w:rsidRDefault="000367CB" w:rsidP="000367CB">
      <w:pPr>
        <w:pStyle w:val="Heading2"/>
      </w:pPr>
      <w:r w:rsidRPr="000367CB">
        <w:t>2.</w:t>
      </w:r>
      <w:r w:rsidR="000B257C">
        <w:t>1</w:t>
      </w:r>
      <w:r w:rsidRPr="000367CB">
        <w:t xml:space="preserve"> Import Restrictions in Emerging Economies</w:t>
      </w:r>
    </w:p>
    <w:p w14:paraId="40099AA7" w14:textId="6A51A3BE" w:rsidR="000367CB" w:rsidRDefault="000367CB" w:rsidP="000367CB">
      <w:r>
        <w:t xml:space="preserve">Import restrictions have frequently been central to the industrial policy in emerging economies, especially </w:t>
      </w:r>
      <w:r w:rsidR="007E3EB5">
        <w:t>through</w:t>
      </w:r>
      <w:r>
        <w:t xml:space="preserve"> the use of Import Substitution Industrialization (ISI)</w:t>
      </w:r>
      <w:r w:rsidR="007E3EB5">
        <w:t xml:space="preserve"> </w:t>
      </w:r>
      <w:r w:rsidR="007E3EB5" w:rsidRPr="007E3EB5">
        <w:t>(Sahu, 2021)</w:t>
      </w:r>
      <w:r>
        <w:t>.</w:t>
      </w:r>
      <w:r w:rsidR="00D003E7">
        <w:t xml:space="preserve"> </w:t>
      </w:r>
      <w:r w:rsidR="00D003E7" w:rsidRPr="00D003E7">
        <w:t>Schöfer and Weinhardt (2022)</w:t>
      </w:r>
      <w:r w:rsidR="00D003E7">
        <w:t xml:space="preserve"> mentioned that</w:t>
      </w:r>
      <w:r>
        <w:t xml:space="preserve"> </w:t>
      </w:r>
      <w:r w:rsidR="00D003E7">
        <w:t>t</w:t>
      </w:r>
      <w:r>
        <w:t xml:space="preserve">he countries (such as Brazil and India) were dependent on the high tariffs and strict licensing to create national capacity and minimize reliance on imports. The protection was also done selectively in Malaysia, especially in the automotive sector via the Proton project </w:t>
      </w:r>
      <w:r w:rsidR="00D003E7" w:rsidRPr="00D003E7">
        <w:t>(Victor et al., 2021)</w:t>
      </w:r>
      <w:r>
        <w:t>. There have been mixed results of these policies. On the one hand, they could stimulate the initial development of industries by protecting their domestic companies</w:t>
      </w:r>
      <w:r w:rsidR="007E3EB5">
        <w:t>,</w:t>
      </w:r>
      <w:r>
        <w:t xml:space="preserve"> enabling them to develop capacity and scale</w:t>
      </w:r>
      <w:r w:rsidR="00D003E7">
        <w:t xml:space="preserve"> </w:t>
      </w:r>
      <w:r w:rsidR="00D003E7" w:rsidRPr="00D003E7">
        <w:t>(Chang &amp; Andreoni, 2020)</w:t>
      </w:r>
      <w:r>
        <w:t>. On the other</w:t>
      </w:r>
      <w:r w:rsidR="007E3EB5">
        <w:t xml:space="preserve"> hand, </w:t>
      </w:r>
      <w:r w:rsidR="00D003E7">
        <w:t xml:space="preserve">critics such as </w:t>
      </w:r>
      <w:r w:rsidR="00D003E7" w:rsidRPr="00D003E7">
        <w:t>Petricevic and Teece (2019)</w:t>
      </w:r>
      <w:r w:rsidR="007E3EB5">
        <w:t xml:space="preserve"> caution that long-term protection creates inefficiency, rent-seeking,</w:t>
      </w:r>
      <w:r>
        <w:t xml:space="preserve"> and complacency. As an illustration, </w:t>
      </w:r>
      <w:r w:rsidR="00D003E7" w:rsidRPr="00D003E7">
        <w:t>Movahed (2020)</w:t>
      </w:r>
      <w:r w:rsidR="00D003E7">
        <w:t xml:space="preserve"> highlighted that </w:t>
      </w:r>
      <w:r>
        <w:t>ISI led to the car industry in Chile</w:t>
      </w:r>
      <w:r w:rsidR="007E3EB5">
        <w:t>, which</w:t>
      </w:r>
      <w:r>
        <w:t xml:space="preserve"> was disjointed in production and very expensive. Such policies will jeopardize innovation and consumer welfare without a definite exit strategy. It is generally agreed that the protection should be </w:t>
      </w:r>
      <w:r w:rsidR="007E3EB5">
        <w:t>performance-based, transitional, and time-based</w:t>
      </w:r>
      <w:r>
        <w:t xml:space="preserve"> to be efficient.</w:t>
      </w:r>
    </w:p>
    <w:p w14:paraId="587BD822" w14:textId="2F2996B7" w:rsidR="000367CB" w:rsidRDefault="000367CB" w:rsidP="000367CB">
      <w:pPr>
        <w:pStyle w:val="Heading2"/>
      </w:pPr>
      <w:r w:rsidRPr="000367CB">
        <w:t>2.</w:t>
      </w:r>
      <w:r w:rsidR="000B257C">
        <w:t>2</w:t>
      </w:r>
      <w:r w:rsidRPr="000367CB">
        <w:t xml:space="preserve"> Overview of the Nigerian Cement Industry</w:t>
      </w:r>
    </w:p>
    <w:p w14:paraId="2DA66408" w14:textId="0D4A4B79" w:rsidR="000367CB" w:rsidRDefault="000367CB" w:rsidP="000367CB">
      <w:r>
        <w:t xml:space="preserve">The Nigerian cement sector is a case of state-led change in terms of import policy. It was mostly an </w:t>
      </w:r>
      <w:r w:rsidR="00045FD9">
        <w:t>import-based</w:t>
      </w:r>
      <w:r>
        <w:t xml:space="preserve"> product with the country producing only 2 million tonnes per year before the year 2002 </w:t>
      </w:r>
      <w:r w:rsidR="00045FD9" w:rsidRPr="00045FD9">
        <w:t>(Alayande, 2020)</w:t>
      </w:r>
      <w:r>
        <w:t>. To overturn this, the government introduced the Backward Integration Policy (BIP), which required local investment to obtain import licences</w:t>
      </w:r>
      <w:r w:rsidR="00045FD9">
        <w:t xml:space="preserve"> </w:t>
      </w:r>
      <w:r w:rsidR="00045FD9" w:rsidRPr="00045FD9">
        <w:t>(McCulloch et al., 2017)</w:t>
      </w:r>
      <w:r>
        <w:t>. With tax holidays and duty exemptions, this plan brought in billions of private investment</w:t>
      </w:r>
      <w:r w:rsidR="00045FD9">
        <w:t>,</w:t>
      </w:r>
      <w:r>
        <w:t xml:space="preserve"> and the domestic production grew to 28 million tonnes in ten years (Odijie, 2020). By the year 2012, Nigeria had reached self-sufficiency and started exporting cement</w:t>
      </w:r>
      <w:r w:rsidR="00225864">
        <w:t xml:space="preserve"> </w:t>
      </w:r>
      <w:r w:rsidR="00225864" w:rsidRPr="00225864">
        <w:t>(Evuti et al., 2024)</w:t>
      </w:r>
      <w:r>
        <w:t xml:space="preserve">. To bring this together, the government placed an outright ban on imports and denied access to official foreign exchange </w:t>
      </w:r>
      <w:r w:rsidR="00045FD9">
        <w:t>to</w:t>
      </w:r>
      <w:r>
        <w:t xml:space="preserve"> the importers of cement</w:t>
      </w:r>
      <w:r w:rsidR="00225864">
        <w:t xml:space="preserve"> </w:t>
      </w:r>
      <w:r w:rsidR="00225864" w:rsidRPr="00225864">
        <w:t>(Alayande, 2020)</w:t>
      </w:r>
      <w:r>
        <w:t>. This resulted in market concentration as there are now three main players in the industry</w:t>
      </w:r>
      <w:r w:rsidR="00045FD9">
        <w:t>, namely Dangote Cement, BUA Group,</w:t>
      </w:r>
      <w:r>
        <w:t xml:space="preserve"> and Lafarge Africa</w:t>
      </w:r>
      <w:r w:rsidR="00225864">
        <w:t xml:space="preserve"> </w:t>
      </w:r>
      <w:r w:rsidR="00225864" w:rsidRPr="00225864">
        <w:t>(Nkwor et al., 2024)</w:t>
      </w:r>
      <w:r>
        <w:t xml:space="preserve">. </w:t>
      </w:r>
      <w:r w:rsidR="00225864">
        <w:t xml:space="preserve">According to </w:t>
      </w:r>
      <w:r w:rsidR="00225864" w:rsidRPr="00225864">
        <w:t>Omeiza et al. (2021)</w:t>
      </w:r>
      <w:r w:rsidR="00225864">
        <w:t xml:space="preserve">, </w:t>
      </w:r>
      <w:r>
        <w:t>Dangote possesses about 60</w:t>
      </w:r>
      <w:r w:rsidR="00045FD9">
        <w:t>%</w:t>
      </w:r>
      <w:r>
        <w:t xml:space="preserve"> of </w:t>
      </w:r>
      <w:r w:rsidR="00045FD9">
        <w:t xml:space="preserve">the </w:t>
      </w:r>
      <w:r>
        <w:t xml:space="preserve">market share. As BIP stimulated the production, it also eased the oligopolist structure, which </w:t>
      </w:r>
      <w:r w:rsidR="00045FD9">
        <w:t>raised</w:t>
      </w:r>
      <w:r>
        <w:t xml:space="preserve"> long-term issues of competition.</w:t>
      </w:r>
    </w:p>
    <w:p w14:paraId="4C0F2467" w14:textId="144A9718" w:rsidR="000367CB" w:rsidRDefault="000367CB" w:rsidP="000367CB">
      <w:pPr>
        <w:pStyle w:val="Heading2"/>
      </w:pPr>
      <w:r w:rsidRPr="000367CB">
        <w:lastRenderedPageBreak/>
        <w:t>2.</w:t>
      </w:r>
      <w:r w:rsidR="000B257C">
        <w:t>3</w:t>
      </w:r>
      <w:r w:rsidRPr="000367CB">
        <w:t xml:space="preserve"> Impact of Import Restrictions on Competitiveness Globally</w:t>
      </w:r>
    </w:p>
    <w:p w14:paraId="6690F6D5" w14:textId="3FE0654E" w:rsidR="000367CB" w:rsidRDefault="000367CB" w:rsidP="000367CB">
      <w:r>
        <w:t>The international data on the limitations on imports and industrial competitiveness has a complex image</w:t>
      </w:r>
      <w:r w:rsidR="00327F44">
        <w:t xml:space="preserve"> </w:t>
      </w:r>
      <w:r w:rsidR="00327F44" w:rsidRPr="00327F44">
        <w:t>(Li et al., 2022)</w:t>
      </w:r>
      <w:r>
        <w:t>. Interim security may assist infant industries to expand and attain capabilities</w:t>
      </w:r>
      <w:r w:rsidR="00045FD9">
        <w:t>, as was the case in the post-war East Asia, where companies with</w:t>
      </w:r>
      <w:r>
        <w:t xml:space="preserve"> conditional protection became leaders in the world </w:t>
      </w:r>
      <w:r w:rsidR="00327F44" w:rsidRPr="00327F44">
        <w:t>(Hong et al., 2023)</w:t>
      </w:r>
      <w:r>
        <w:t xml:space="preserve">. An international survey on ISI policies proved the short-term increase in industrial productivity </w:t>
      </w:r>
      <w:r w:rsidR="00327F44" w:rsidRPr="00327F44">
        <w:t>(Sahu, 2021)</w:t>
      </w:r>
      <w:r>
        <w:t>. Nonetheless, prolonged protection may decrease the motivation of firms to be innovative, implement cost-efficiency technology, or enhance the quality of products</w:t>
      </w:r>
      <w:r w:rsidR="00327F44">
        <w:t xml:space="preserve"> </w:t>
      </w:r>
      <w:r w:rsidR="00327F44" w:rsidRPr="00327F44">
        <w:t>(Nkwor et al., 2024)</w:t>
      </w:r>
      <w:r>
        <w:t>. It has been empirically confirmed that in response to high tariffs, the high tariffs result in the misallocation of resources and a loss in productivity</w:t>
      </w:r>
      <w:r w:rsidR="00327F44">
        <w:t>. One</w:t>
      </w:r>
      <w:r>
        <w:t xml:space="preserve"> study found that an increase in tariffs of one </w:t>
      </w:r>
      <w:r w:rsidR="00045FD9">
        <w:t>standard deviation</w:t>
      </w:r>
      <w:r>
        <w:t xml:space="preserve"> reduces total factor productivity by 2.8-6.2% </w:t>
      </w:r>
      <w:r w:rsidR="0097212F" w:rsidRPr="0097212F">
        <w:t>(Ibeh, 2024)</w:t>
      </w:r>
      <w:r>
        <w:t>. Additionally,</w:t>
      </w:r>
      <w:r w:rsidR="0097212F">
        <w:t xml:space="preserve"> </w:t>
      </w:r>
      <w:r w:rsidR="0097212F" w:rsidRPr="0097212F">
        <w:t>Barwick et al. (2021)</w:t>
      </w:r>
      <w:r w:rsidR="0097212F">
        <w:t xml:space="preserve"> stated that</w:t>
      </w:r>
      <w:r>
        <w:t xml:space="preserve"> there is a likelihood of more consumer prices in the case of the protected markets, where the firms are not subjected to much competitive pressure. The consumer electronics industry in Brazil, which was hit hard in the 1980s, was characterized by expensive prices and obsolete technology on the one hand due to the strict importation ban </w:t>
      </w:r>
      <w:r w:rsidR="0097212F" w:rsidRPr="0097212F">
        <w:t>(Li et al., 2022)</w:t>
      </w:r>
      <w:r>
        <w:t>. Therefore, the long-term shielding of the market without market discipline can kill the competitiveness that it is supposed to be nurturing.</w:t>
      </w:r>
    </w:p>
    <w:p w14:paraId="3778E7D8" w14:textId="05255166" w:rsidR="000367CB" w:rsidRDefault="000367CB" w:rsidP="000367CB">
      <w:pPr>
        <w:pStyle w:val="Heading2"/>
      </w:pPr>
      <w:r w:rsidRPr="000367CB">
        <w:t>2.</w:t>
      </w:r>
      <w:r w:rsidR="000B257C">
        <w:t>4</w:t>
      </w:r>
      <w:r w:rsidRPr="000367CB">
        <w:t xml:space="preserve"> Empirical Studies Specific to Nigeria</w:t>
      </w:r>
    </w:p>
    <w:p w14:paraId="5FD02F79" w14:textId="6519E7BF" w:rsidR="000F11FB" w:rsidRDefault="00C64AEE" w:rsidP="000367CB">
      <w:r>
        <w:t>Empirical studies of the cement industry in Nigeria confirm the efficacy of restrictions on imports on the production side and also reveal ongoing problems with</w:t>
      </w:r>
      <w:r w:rsidR="000367CB">
        <w:t xml:space="preserve"> market efficiency</w:t>
      </w:r>
      <w:r>
        <w:t xml:space="preserve"> </w:t>
      </w:r>
      <w:r w:rsidRPr="00C64AEE">
        <w:t>(Odijie, 2019)</w:t>
      </w:r>
      <w:r w:rsidR="000367CB">
        <w:t xml:space="preserve">. On the one hand, </w:t>
      </w:r>
      <w:r w:rsidR="00A34330" w:rsidRPr="00A34330">
        <w:t>Akinyoade and Uche (2025)</w:t>
      </w:r>
      <w:r w:rsidR="000367CB">
        <w:t xml:space="preserve"> reported that BIP resulted in a cement production boom that became self-reliant in ten years. Odijie (20</w:t>
      </w:r>
      <w:r w:rsidR="00A34330">
        <w:t>19</w:t>
      </w:r>
      <w:r w:rsidR="000367CB">
        <w:t xml:space="preserve">) also provided an example of the success of the industrial policy of traditionalists in Nigeria, indicating that this model was followed by the rapid growth of Dangote. In </w:t>
      </w:r>
      <w:r>
        <w:t xml:space="preserve">the quantification of the </w:t>
      </w:r>
      <w:r w:rsidR="000367CB">
        <w:t xml:space="preserve">Effective Rate of Protection (ERP), Alayande (2020) reported it to be very high during the 2000s-2010s, as an imminent subsidy to local companies. Nevertheless, market performance is still a problem. </w:t>
      </w:r>
      <w:r w:rsidR="00A34330" w:rsidRPr="00A34330">
        <w:t>Olayiwola (2019)</w:t>
      </w:r>
      <w:r w:rsidR="000367CB">
        <w:t xml:space="preserve"> reported that even after increased capacity, cement prices </w:t>
      </w:r>
      <w:r>
        <w:t>remained high, indicating that there were few benefits for</w:t>
      </w:r>
      <w:r w:rsidR="000367CB">
        <w:t xml:space="preserve"> consumers. This is due to oligopolistic competition as indicated by high prices and limited competition, which are encouraged by policy </w:t>
      </w:r>
      <w:r w:rsidR="00A34330" w:rsidRPr="00A34330">
        <w:t>(Ayoola et al., 2022)</w:t>
      </w:r>
      <w:r w:rsidR="000367CB">
        <w:t xml:space="preserve">. On balance, the policies of </w:t>
      </w:r>
      <w:r w:rsidR="000367CB">
        <w:lastRenderedPageBreak/>
        <w:t>Nigeria have managed to achieve production but have a less convincing impact on price efficiency and dynamic competitiveness</w:t>
      </w:r>
      <w:r>
        <w:t>,</w:t>
      </w:r>
      <w:r w:rsidR="000367CB">
        <w:t xml:space="preserve"> and this needs to be recalibrated in the policies.</w:t>
      </w:r>
    </w:p>
    <w:p w14:paraId="2445C150" w14:textId="22A4EE61" w:rsidR="00C442FD" w:rsidRDefault="00C442FD" w:rsidP="00C442FD">
      <w:pPr>
        <w:pStyle w:val="Heading2"/>
      </w:pPr>
      <w:r w:rsidRPr="00C442FD">
        <w:t>2.</w:t>
      </w:r>
      <w:r w:rsidR="000B257C">
        <w:t>5</w:t>
      </w:r>
      <w:r w:rsidRPr="00C442FD">
        <w:t xml:space="preserve"> Identified Gaps in the Literature</w:t>
      </w:r>
    </w:p>
    <w:p w14:paraId="6E209EB9" w14:textId="020AE9F8" w:rsidR="00C442FD" w:rsidRDefault="006E3855" w:rsidP="00C442FD">
      <w:r w:rsidRPr="006E3855">
        <w:t xml:space="preserve">Despite extensive research on Nigeria’s cement sector, several important gaps persist in the literature. First, little discussion is done of </w:t>
      </w:r>
      <w:r>
        <w:t>long-term</w:t>
      </w:r>
      <w:r w:rsidRPr="006E3855">
        <w:t xml:space="preserve"> competitiveness, whether or not firms that have enjoyed protection have reached a state of sustainable productivity and cost efficiency. Second, the effect of importation restrictions on consumer welfare is under-researched, particularly given the continuing high price of cement despite </w:t>
      </w:r>
      <w:r>
        <w:t xml:space="preserve">its </w:t>
      </w:r>
      <w:r w:rsidRPr="006E3855">
        <w:t>dominance in cement production locally. Third, innovation or technological upgrading is rarely measured in the sector using empirical studies</w:t>
      </w:r>
      <w:r>
        <w:t>,</w:t>
      </w:r>
      <w:r w:rsidRPr="006E3855">
        <w:t xml:space="preserve"> hence it is hard to gauge dynamic competitiveness. Fourth, comparative analysis is not available to justify why cement was successful under import substitution</w:t>
      </w:r>
      <w:r>
        <w:t>, but attempts at industrial policy, such as in the textile or agro-processing sectors,</w:t>
      </w:r>
      <w:r w:rsidRPr="006E3855">
        <w:t xml:space="preserve"> did not work. Lastly, the </w:t>
      </w:r>
      <w:r>
        <w:t>literature</w:t>
      </w:r>
      <w:r w:rsidRPr="006E3855">
        <w:t xml:space="preserve"> has not adequately analy</w:t>
      </w:r>
      <w:r>
        <w:t>s</w:t>
      </w:r>
      <w:r w:rsidRPr="006E3855">
        <w:t xml:space="preserve">ed the issue of whether </w:t>
      </w:r>
      <w:r>
        <w:t xml:space="preserve">Nigeria has had trade and industrial policies that considered structured exit strategies to shift </w:t>
      </w:r>
      <w:r w:rsidRPr="006E3855">
        <w:t xml:space="preserve">firms out of protection into open-market competition. These gaps would be addressed to enhance </w:t>
      </w:r>
      <w:r>
        <w:t xml:space="preserve">knowledge in the context of the consequences of protectionist policies on industry competitiveness </w:t>
      </w:r>
      <w:r w:rsidRPr="006E3855">
        <w:t>and future policy reform in Nigeria.</w:t>
      </w:r>
    </w:p>
    <w:p w14:paraId="7C3CF700" w14:textId="49DCAD91" w:rsidR="000B257C" w:rsidRDefault="000B257C">
      <w:pPr>
        <w:spacing w:line="259" w:lineRule="auto"/>
        <w:jc w:val="left"/>
      </w:pPr>
      <w:r>
        <w:br w:type="page"/>
      </w:r>
    </w:p>
    <w:p w14:paraId="31FB632D" w14:textId="011FAA9F" w:rsidR="000B257C" w:rsidRDefault="000B257C" w:rsidP="000B257C">
      <w:pPr>
        <w:pStyle w:val="Heading1"/>
      </w:pPr>
      <w:r w:rsidRPr="000B257C">
        <w:lastRenderedPageBreak/>
        <w:t>3. METHODOLOGY</w:t>
      </w:r>
    </w:p>
    <w:p w14:paraId="019EFDC7" w14:textId="77777777" w:rsidR="000B257C" w:rsidRDefault="000B257C" w:rsidP="000B257C">
      <w:pPr>
        <w:pStyle w:val="Heading2"/>
      </w:pPr>
      <w:r>
        <w:t>3.1 Research Philosophy</w:t>
      </w:r>
    </w:p>
    <w:p w14:paraId="307A29F3" w14:textId="6764F500" w:rsidR="000B257C" w:rsidRDefault="000B257C" w:rsidP="000B257C">
      <w:r>
        <w:t>The research philosophy</w:t>
      </w:r>
      <w:r>
        <w:t xml:space="preserve"> to be</w:t>
      </w:r>
      <w:r>
        <w:t xml:space="preserve"> </w:t>
      </w:r>
      <w:r>
        <w:t>employed in this study is interpretivism, which is suitable for investigating the effects of policies, perceptions of competitiveness, and behaviour of stakeholders in the Nigerian cement industry</w:t>
      </w:r>
      <w:r>
        <w:t>.</w:t>
      </w:r>
      <w:r>
        <w:t xml:space="preserve"> According to </w:t>
      </w:r>
      <w:r w:rsidRPr="000B257C">
        <w:t>Trangbæk and Cecchini (2023)</w:t>
      </w:r>
      <w:r>
        <w:t>,</w:t>
      </w:r>
      <w:r>
        <w:t xml:space="preserve"> Interpretivism focuses on getting to the meaning of social actions and </w:t>
      </w:r>
      <w:r>
        <w:t xml:space="preserve">the </w:t>
      </w:r>
      <w:r>
        <w:t xml:space="preserve">situational essence of knowledge. In contrast to positivism, which aims to find </w:t>
      </w:r>
      <w:r>
        <w:t>generalizable laws by empirically testing them, interpretivism provides a researcher with the opportunity to interact with complex</w:t>
      </w:r>
      <w:r>
        <w:t xml:space="preserve"> socio-economic and institutional variables </w:t>
      </w:r>
      <w:r w:rsidR="004B74E8" w:rsidRPr="004B74E8">
        <w:t>(Saunders et al., 2019)</w:t>
      </w:r>
      <w:r>
        <w:t xml:space="preserve">. With </w:t>
      </w:r>
      <w:r>
        <w:t xml:space="preserve">an emphasis on the interpretation of policies and the dynamics of industries, this philosophy </w:t>
      </w:r>
      <w:r w:rsidR="00EF0174">
        <w:t xml:space="preserve">will </w:t>
      </w:r>
      <w:r>
        <w:t>advocate for a qualitative investigation, which favo</w:t>
      </w:r>
      <w:r w:rsidR="004B74E8">
        <w:t>u</w:t>
      </w:r>
      <w:r>
        <w:t>rs narrative, policy discourse, and stakeholder outcomes over quantification and statistical generali</w:t>
      </w:r>
      <w:r w:rsidR="004B74E8">
        <w:t>s</w:t>
      </w:r>
      <w:r>
        <w:t>ation</w:t>
      </w:r>
      <w:r>
        <w:t>.</w:t>
      </w:r>
    </w:p>
    <w:p w14:paraId="59A82E49" w14:textId="77777777" w:rsidR="000B257C" w:rsidRDefault="000B257C" w:rsidP="004B74E8">
      <w:pPr>
        <w:pStyle w:val="Heading2"/>
      </w:pPr>
      <w:r>
        <w:t>3.2 Research Approach</w:t>
      </w:r>
    </w:p>
    <w:p w14:paraId="5D9485E2" w14:textId="60C61801" w:rsidR="000B257C" w:rsidRDefault="000B257C" w:rsidP="000B257C">
      <w:r>
        <w:t xml:space="preserve">This </w:t>
      </w:r>
      <w:r w:rsidR="004B74E8">
        <w:t xml:space="preserve">study will employ an inductive research approach, which is suitable for eliciting knowledge about the identified patterns through observation, rather than </w:t>
      </w:r>
      <w:r>
        <w:t xml:space="preserve">hypothesis testing. Induction is used to </w:t>
      </w:r>
      <w:r w:rsidR="004B74E8">
        <w:t>inform exploratory studies, where the data support</w:t>
      </w:r>
      <w:r>
        <w:t xml:space="preserve"> </w:t>
      </w:r>
      <w:r w:rsidR="004B74E8">
        <w:t xml:space="preserve">a </w:t>
      </w:r>
      <w:r>
        <w:t xml:space="preserve">theory </w:t>
      </w:r>
      <w:r w:rsidR="004B74E8" w:rsidRPr="004B74E8">
        <w:t>(Bell et al., 2022)</w:t>
      </w:r>
      <w:r>
        <w:t xml:space="preserve">. This methodology </w:t>
      </w:r>
      <w:r w:rsidR="004B74E8">
        <w:t>aligns with the research objective to understand the impact of Nigeria's import policy restrictions on the competitiveness of</w:t>
      </w:r>
      <w:r>
        <w:t xml:space="preserve"> the cement industry. Using </w:t>
      </w:r>
      <w:r w:rsidR="004B74E8">
        <w:t xml:space="preserve">available policy documents, scholarly literature, and industrial reports, the analysis </w:t>
      </w:r>
      <w:r w:rsidR="00EF0174">
        <w:t xml:space="preserve">will </w:t>
      </w:r>
      <w:r w:rsidR="004B74E8">
        <w:t xml:space="preserve">aim </w:t>
      </w:r>
      <w:r w:rsidR="00EF0174">
        <w:t xml:space="preserve">at </w:t>
      </w:r>
      <w:r w:rsidR="004B74E8">
        <w:t>develop</w:t>
      </w:r>
      <w:r w:rsidR="00EF0174">
        <w:t>ing</w:t>
      </w:r>
      <w:r w:rsidR="004B74E8">
        <w:t xml:space="preserve"> a grounded understanding</w:t>
      </w:r>
      <w:r>
        <w:t xml:space="preserve"> of the effects of policy. </w:t>
      </w:r>
      <w:r w:rsidR="004B74E8">
        <w:t>The inductive method, therefore, fills the gap created by the interpretivist position, allowing the researcher to examine subtle, localized</w:t>
      </w:r>
      <w:r>
        <w:t xml:space="preserve"> industrial processes without imposing strict theoretical views</w:t>
      </w:r>
      <w:r w:rsidR="004B74E8">
        <w:t xml:space="preserve"> </w:t>
      </w:r>
      <w:r w:rsidR="004B74E8" w:rsidRPr="004B74E8">
        <w:t>(Rowlands, 2005)</w:t>
      </w:r>
      <w:r>
        <w:t>.</w:t>
      </w:r>
    </w:p>
    <w:p w14:paraId="25E1172E" w14:textId="77777777" w:rsidR="000B257C" w:rsidRDefault="000B257C" w:rsidP="004B74E8">
      <w:pPr>
        <w:pStyle w:val="Heading2"/>
      </w:pPr>
      <w:r>
        <w:t>3.3 Research Design</w:t>
      </w:r>
    </w:p>
    <w:p w14:paraId="70301652" w14:textId="31FA1EAA" w:rsidR="000B257C" w:rsidRDefault="00EF0174" w:rsidP="000B257C">
      <w:r>
        <w:t xml:space="preserve">A </w:t>
      </w:r>
      <w:r w:rsidR="004B74E8">
        <w:t xml:space="preserve">qualitative design </w:t>
      </w:r>
      <w:r>
        <w:t>is proposed for this study. The design will employ</w:t>
      </w:r>
      <w:r w:rsidR="004B74E8">
        <w:t xml:space="preserve"> a secondary data approach to assess</w:t>
      </w:r>
      <w:r w:rsidR="000B257C">
        <w:t xml:space="preserve"> the effectiveness of import policy restrictions on the competitiveness of </w:t>
      </w:r>
      <w:r w:rsidR="004B74E8">
        <w:t>the Nigerian</w:t>
      </w:r>
      <w:r w:rsidR="000B257C">
        <w:t xml:space="preserve"> cement industry. Qualitative structure </w:t>
      </w:r>
      <w:r>
        <w:t xml:space="preserve">will </w:t>
      </w:r>
      <w:r w:rsidR="000B257C">
        <w:t xml:space="preserve">enable </w:t>
      </w:r>
      <w:r w:rsidR="004B74E8">
        <w:t>a profound understanding of the complex policy effects and responses within</w:t>
      </w:r>
      <w:r w:rsidR="000B257C">
        <w:t xml:space="preserve"> the sector</w:t>
      </w:r>
      <w:r>
        <w:t xml:space="preserve"> </w:t>
      </w:r>
      <w:r w:rsidRPr="00EF0174">
        <w:t>(Saunders et al., 2019)</w:t>
      </w:r>
      <w:r w:rsidR="000B257C">
        <w:t xml:space="preserve">. The evidentiary base </w:t>
      </w:r>
      <w:r>
        <w:t xml:space="preserve">will comprise </w:t>
      </w:r>
      <w:r w:rsidR="004B74E8">
        <w:t>secondary data sources, including</w:t>
      </w:r>
      <w:r w:rsidR="000B257C">
        <w:t xml:space="preserve"> government policies, central bank directives, industry reports</w:t>
      </w:r>
      <w:r w:rsidR="004B74E8">
        <w:t>,</w:t>
      </w:r>
      <w:r w:rsidR="000B257C">
        <w:t xml:space="preserve"> </w:t>
      </w:r>
      <w:r w:rsidR="000B257C">
        <w:lastRenderedPageBreak/>
        <w:t xml:space="preserve">and scholarly literature. </w:t>
      </w:r>
      <w:r>
        <w:t xml:space="preserve">According to </w:t>
      </w:r>
      <w:r w:rsidRPr="00EF0174">
        <w:t>Creswell (2014)</w:t>
      </w:r>
      <w:r>
        <w:t>, this design is especially appropriate when analysing</w:t>
      </w:r>
      <w:r w:rsidR="000B257C">
        <w:t xml:space="preserve"> an economic policy in a real-world, changing environment. </w:t>
      </w:r>
      <w:r>
        <w:t>Hence, q</w:t>
      </w:r>
      <w:r w:rsidR="000B257C">
        <w:t xml:space="preserve">ualitative analysis </w:t>
      </w:r>
      <w:r>
        <w:t xml:space="preserve">will </w:t>
      </w:r>
      <w:r w:rsidR="000B257C">
        <w:t xml:space="preserve">enable the study to examine themes </w:t>
      </w:r>
      <w:r>
        <w:t>related to market structure, pricing trends, and firm behavior, providing insight into whether the growth in the industry due to policy issues is accompanied by increased</w:t>
      </w:r>
      <w:r w:rsidR="000B257C">
        <w:t xml:space="preserve"> efficiency in competition.</w:t>
      </w:r>
    </w:p>
    <w:p w14:paraId="31A56AB6" w14:textId="11713494" w:rsidR="000B257C" w:rsidRDefault="000B257C" w:rsidP="00EF0174">
      <w:pPr>
        <w:pStyle w:val="Heading2"/>
      </w:pPr>
      <w:r>
        <w:t>3.4 Data Collection Method</w:t>
      </w:r>
    </w:p>
    <w:p w14:paraId="1D3C08C8" w14:textId="62174023" w:rsidR="000B257C" w:rsidRDefault="000B257C" w:rsidP="000B257C">
      <w:r>
        <w:t xml:space="preserve">The research </w:t>
      </w:r>
      <w:r w:rsidR="00EF0174">
        <w:t>will incorporate the use of secondary data collection, which relies on various</w:t>
      </w:r>
      <w:r>
        <w:t xml:space="preserve"> authoritative sources pertaining to the trade policy and industrial competitiveness in Nigeria. The major sources will be policy documents of the Federal Government on the Backward Integration Policy (BIP), circulars of </w:t>
      </w:r>
      <w:r w:rsidR="00EF0174">
        <w:t xml:space="preserve">the </w:t>
      </w:r>
      <w:r>
        <w:t xml:space="preserve">Central Bank of Nigeria </w:t>
      </w:r>
      <w:r w:rsidR="00EF0174">
        <w:t>regarding foreign exchange restrictions, and annual reports of cement companies such as</w:t>
      </w:r>
      <w:r>
        <w:t xml:space="preserve"> Dangote and Lafarge. Other sources</w:t>
      </w:r>
      <w:r w:rsidR="002A6D9B">
        <w:t xml:space="preserve"> will</w:t>
      </w:r>
      <w:r>
        <w:t xml:space="preserve"> include a statistical bulletin of the National Bureau of </w:t>
      </w:r>
      <w:r w:rsidR="00EF0174">
        <w:t>Statistics (NBS), competitiveness reports of the Manufacturers Association of Nigeria (MAN),</w:t>
      </w:r>
      <w:r>
        <w:t xml:space="preserve"> and peer-reviewed journal articles. Secondary data </w:t>
      </w:r>
      <w:r w:rsidR="002A6D9B">
        <w:t xml:space="preserve">have considerable merits, namely, they are easily obtainable, </w:t>
      </w:r>
      <w:r>
        <w:t xml:space="preserve">more affordable, and can be triangulated between policy, industry, and academic views </w:t>
      </w:r>
      <w:r w:rsidR="002A6D9B" w:rsidRPr="002A6D9B">
        <w:t>(Goel, 2022)</w:t>
      </w:r>
      <w:r>
        <w:t>.</w:t>
      </w:r>
      <w:r w:rsidR="002A6D9B">
        <w:t xml:space="preserve"> In light of this,</w:t>
      </w:r>
      <w:r>
        <w:t xml:space="preserve"> </w:t>
      </w:r>
      <w:r w:rsidR="002A6D9B">
        <w:t>considering</w:t>
      </w:r>
      <w:r>
        <w:t xml:space="preserve"> the orientation towards retrospective evaluation of policies and the difficulties of obtaining the internal firm-level data, the secondary sources are the most effective and satisfying prism </w:t>
      </w:r>
      <w:r w:rsidR="002A6D9B">
        <w:t>through</w:t>
      </w:r>
      <w:r>
        <w:t xml:space="preserve"> which it is possible to examine long-term results. Such resources </w:t>
      </w:r>
      <w:r w:rsidR="002A6D9B">
        <w:t>enable a critical investigation of sectoral patterns and facilitate in-depth</w:t>
      </w:r>
      <w:r>
        <w:t xml:space="preserve"> thematic analysis</w:t>
      </w:r>
      <w:r w:rsidR="002A6D9B">
        <w:t xml:space="preserve"> </w:t>
      </w:r>
      <w:r w:rsidR="002A6D9B" w:rsidRPr="002A6D9B">
        <w:t>(Arumsari et al., 2024)</w:t>
      </w:r>
      <w:r>
        <w:t>.</w:t>
      </w:r>
    </w:p>
    <w:p w14:paraId="2329A9DD" w14:textId="77777777" w:rsidR="000B257C" w:rsidRDefault="000B257C" w:rsidP="002A6D9B">
      <w:pPr>
        <w:pStyle w:val="Heading2"/>
      </w:pPr>
      <w:r>
        <w:t>3.5 Data Analysis Method</w:t>
      </w:r>
    </w:p>
    <w:p w14:paraId="3EF8E9DD" w14:textId="5F8FC471" w:rsidR="000B257C" w:rsidRDefault="000B257C" w:rsidP="000B257C">
      <w:r>
        <w:t>The thematic analysis will be used to analy</w:t>
      </w:r>
      <w:r w:rsidR="002A6D9B">
        <w:t>s</w:t>
      </w:r>
      <w:r>
        <w:t xml:space="preserve">e the secondary data in this study. </w:t>
      </w:r>
      <w:r w:rsidR="002A6D9B" w:rsidRPr="002A6D9B">
        <w:t>Braun and Clarke (2006)</w:t>
      </w:r>
      <w:r w:rsidR="002A6D9B">
        <w:t xml:space="preserve"> emphasised that t</w:t>
      </w:r>
      <w:r>
        <w:t xml:space="preserve">hematic analysis </w:t>
      </w:r>
      <w:r w:rsidR="002A6D9B">
        <w:t>is a qualitative research method that aims to identify meaning patterns within a dataset</w:t>
      </w:r>
      <w:r>
        <w:t xml:space="preserve">. In that regard, coding of data segments into themes will be performed in connection with </w:t>
      </w:r>
      <w:r w:rsidR="002A6D9B">
        <w:t>competitiveness indicators, production capacity, pricing dynamics, export performance, market concentration, and the level of innovation</w:t>
      </w:r>
      <w:r>
        <w:t xml:space="preserve">. </w:t>
      </w:r>
      <w:r w:rsidR="002A6D9B">
        <w:t xml:space="preserve">In line with </w:t>
      </w:r>
      <w:r w:rsidR="002A6D9B" w:rsidRPr="002A6D9B">
        <w:t>Thomas and Harden (2008)</w:t>
      </w:r>
      <w:r w:rsidR="002A6D9B">
        <w:t>, the</w:t>
      </w:r>
      <w:r>
        <w:t xml:space="preserve"> process </w:t>
      </w:r>
      <w:r w:rsidR="002A6D9B">
        <w:t>will be</w:t>
      </w:r>
      <w:r>
        <w:t xml:space="preserve"> systematic, </w:t>
      </w:r>
      <w:r w:rsidR="002A6D9B">
        <w:t>involving several stages that lead to familiarization</w:t>
      </w:r>
      <w:r>
        <w:t xml:space="preserve"> with the materials, creation of initial codes, classification of codes, and evaluation of the classification of codes as applied to </w:t>
      </w:r>
      <w:r w:rsidR="002A6D9B">
        <w:t xml:space="preserve">the </w:t>
      </w:r>
      <w:r>
        <w:t xml:space="preserve">research </w:t>
      </w:r>
      <w:r w:rsidR="002A6D9B">
        <w:t>aim</w:t>
      </w:r>
      <w:r>
        <w:t xml:space="preserve">. This will </w:t>
      </w:r>
      <w:r w:rsidR="002A6D9B">
        <w:t>enable a thorough examination of how various policies and market structures have influenced</w:t>
      </w:r>
      <w:r>
        <w:t xml:space="preserve"> the competitiveness of industries in the past</w:t>
      </w:r>
      <w:r w:rsidR="002A6D9B">
        <w:t xml:space="preserve"> </w:t>
      </w:r>
      <w:r w:rsidR="002A6D9B" w:rsidRPr="002A6D9B">
        <w:t>(Ahmed et al., 2025)</w:t>
      </w:r>
      <w:r>
        <w:t>. The thematic analysis</w:t>
      </w:r>
      <w:r w:rsidR="002A6D9B">
        <w:t xml:space="preserve">, with its flexibility, will allow for the </w:t>
      </w:r>
      <w:r w:rsidR="002A6D9B">
        <w:lastRenderedPageBreak/>
        <w:t xml:space="preserve">interpretivist position and enable the study of various types of data, including policy texts, reports, and </w:t>
      </w:r>
      <w:r>
        <w:t xml:space="preserve">academic articles. It enables one to gain a </w:t>
      </w:r>
      <w:r w:rsidR="002A6D9B">
        <w:t>nuanced appreciation of the policy implications without relying on quantifiable measures, which may not be feasible</w:t>
      </w:r>
      <w:r>
        <w:t xml:space="preserve"> in such macro-industrial evaluations</w:t>
      </w:r>
      <w:r w:rsidR="002A6D9B">
        <w:t xml:space="preserve"> </w:t>
      </w:r>
      <w:r w:rsidR="002A6D9B" w:rsidRPr="002A6D9B">
        <w:t>(Arumsari et al., 2024)</w:t>
      </w:r>
      <w:r>
        <w:t>.</w:t>
      </w:r>
    </w:p>
    <w:p w14:paraId="6E308B10" w14:textId="77777777" w:rsidR="000B257C" w:rsidRDefault="000B257C" w:rsidP="002A6D9B">
      <w:pPr>
        <w:pStyle w:val="Heading2"/>
      </w:pPr>
      <w:r>
        <w:t>3.6. Validity, Reliability, and Trustworthiness.</w:t>
      </w:r>
    </w:p>
    <w:p w14:paraId="4E418268" w14:textId="0BD6AC2A" w:rsidR="000B257C" w:rsidRDefault="000B257C" w:rsidP="000B257C">
      <w:r>
        <w:t xml:space="preserve">Triangulation will be </w:t>
      </w:r>
      <w:r w:rsidR="002A6D9B">
        <w:t>employed to enhance the credibility of this research by comparing information from various independent sources, such as government documents, industry reports,</w:t>
      </w:r>
      <w:r>
        <w:t xml:space="preserve"> and the literature. This </w:t>
      </w:r>
      <w:r w:rsidR="002A6D9B">
        <w:t xml:space="preserve">helps ensure consistency and accuracy in the development of </w:t>
      </w:r>
      <w:r>
        <w:t>themes</w:t>
      </w:r>
      <w:r w:rsidR="002A6D9B">
        <w:t xml:space="preserve"> </w:t>
      </w:r>
      <w:r w:rsidR="002A6D9B" w:rsidRPr="002A6D9B">
        <w:t>(Arumsari et al., 2024)</w:t>
      </w:r>
      <w:r>
        <w:t xml:space="preserve">. The reliability </w:t>
      </w:r>
      <w:r w:rsidR="002A6D9B">
        <w:t xml:space="preserve">will be </w:t>
      </w:r>
      <w:r>
        <w:t xml:space="preserve">ensured </w:t>
      </w:r>
      <w:r w:rsidR="002A6D9B">
        <w:t xml:space="preserve">through an open process of data analysis, where the development of coding and theme building is thoroughly </w:t>
      </w:r>
      <w:r>
        <w:t>documented. Even though interpretive approaches imply impairment to replicability in the strongest sense</w:t>
      </w:r>
      <w:r w:rsidR="002A6D9B">
        <w:t xml:space="preserve"> </w:t>
      </w:r>
      <w:r w:rsidR="002A6D9B" w:rsidRPr="002A6D9B">
        <w:t>(Bell et al., 2022)</w:t>
      </w:r>
      <w:r>
        <w:t xml:space="preserve">, credibility </w:t>
      </w:r>
      <w:r w:rsidR="002A6D9B">
        <w:t>will be</w:t>
      </w:r>
      <w:r>
        <w:t xml:space="preserve"> strengthened through the application of well-known analytical practices and reliance on commonly </w:t>
      </w:r>
      <w:r w:rsidR="002A6D9B">
        <w:t>agreed-upon</w:t>
      </w:r>
      <w:r>
        <w:t xml:space="preserve"> sources of data. All these measures are </w:t>
      </w:r>
      <w:r w:rsidR="002A6D9B">
        <w:t>aimed at achieving</w:t>
      </w:r>
      <w:r>
        <w:t xml:space="preserve"> strong and credible results in a qualitative policy analysis setting.</w:t>
      </w:r>
    </w:p>
    <w:p w14:paraId="62BBE865" w14:textId="0C175144" w:rsidR="002A6D9B" w:rsidRDefault="00902C63" w:rsidP="00902C63">
      <w:pPr>
        <w:pStyle w:val="Heading1"/>
      </w:pPr>
      <w:r w:rsidRPr="00902C63">
        <w:t>4. ETHICAL CONSIDERATIONS</w:t>
      </w:r>
    </w:p>
    <w:p w14:paraId="3BED3F11" w14:textId="5B29F960" w:rsidR="00902C63" w:rsidRDefault="00902C63" w:rsidP="00902C63">
      <w:r w:rsidRPr="00902C63">
        <w:t xml:space="preserve">The </w:t>
      </w:r>
      <w:r>
        <w:t>study</w:t>
      </w:r>
      <w:r w:rsidRPr="00902C63">
        <w:t xml:space="preserve"> will also </w:t>
      </w:r>
      <w:r>
        <w:t>adhere to high ethical principles when conducting this research, particularly in the management of</w:t>
      </w:r>
      <w:r w:rsidRPr="00902C63">
        <w:t xml:space="preserve"> secondary data. There will be an attempt to </w:t>
      </w:r>
      <w:r>
        <w:t>ensure that all sources, including policy reports, industry reports, and academic publications, are accurate and presented in a context-driven manner</w:t>
      </w:r>
      <w:r w:rsidRPr="00902C63">
        <w:t xml:space="preserve"> without distortion or selective reporting (Saunders et al., 2019). </w:t>
      </w:r>
      <w:r>
        <w:t>In line with the recommendation by Jamieson et al. (2023), the reflexive research strategy will be employed to mitigate researcher bias and consider the researcher's positionality; however, the reflexive strategy will utilize</w:t>
      </w:r>
      <w:r w:rsidRPr="00902C63">
        <w:t xml:space="preserve"> standard analytical procedures. </w:t>
      </w:r>
      <w:r w:rsidRPr="00902C63">
        <w:t>Thematic</w:t>
      </w:r>
      <w:r w:rsidRPr="00902C63">
        <w:t xml:space="preserve"> coding processes will be recorded </w:t>
      </w:r>
      <w:r>
        <w:t>systematically to increase transparency and reliability</w:t>
      </w:r>
      <w:r w:rsidRPr="00902C63">
        <w:t>. No human subjects will be involved in the study</w:t>
      </w:r>
      <w:r>
        <w:t>, as no primary data will be gathered, which means that there will be no risks to</w:t>
      </w:r>
      <w:r w:rsidRPr="00902C63">
        <w:t xml:space="preserve"> confidentiality, consent, or personal harm. However, to avoid violating the rights of the owners of the secondary data, their ethical utilization will be guaranteed by </w:t>
      </w:r>
      <w:r>
        <w:t xml:space="preserve">subscribing to citation standards, preventing data manipulation, and adhering to </w:t>
      </w:r>
      <w:r w:rsidRPr="00902C63">
        <w:t>copyright regulations (Creswell, 2014). The steps will all contribute to making research findings more ethical and credible.</w:t>
      </w:r>
    </w:p>
    <w:p w14:paraId="348BF1DA" w14:textId="08A47F51" w:rsidR="00902C63" w:rsidRDefault="00902C63" w:rsidP="00902C63">
      <w:pPr>
        <w:pStyle w:val="Heading1"/>
      </w:pPr>
      <w:r w:rsidRPr="00902C63">
        <w:lastRenderedPageBreak/>
        <w:t>5. LIMITATIONS</w:t>
      </w:r>
    </w:p>
    <w:p w14:paraId="466FC534" w14:textId="15EB2CE7" w:rsidR="00FC778B" w:rsidRDefault="00373EC1" w:rsidP="00373EC1">
      <w:r w:rsidRPr="00373EC1">
        <w:t xml:space="preserve">The </w:t>
      </w:r>
      <w:r>
        <w:t>study is expected to face</w:t>
      </w:r>
      <w:r w:rsidRPr="00373EC1">
        <w:t xml:space="preserve"> methodological and practical drawbacks. Methodologically, the study will be based </w:t>
      </w:r>
      <w:r>
        <w:t>solely on secondary data, which may restrict its capacity to obtain fine-grained, insider views or firm-specific operational information that could</w:t>
      </w:r>
      <w:r w:rsidRPr="00373EC1">
        <w:t xml:space="preserve"> be more meaningful in revealing dynamic competitiveness (Saunders et al., 2019). The lack of primary data gathering can also limit the depth of context</w:t>
      </w:r>
      <w:r>
        <w:t>, particularly in understanding</w:t>
      </w:r>
      <w:r w:rsidRPr="00373EC1">
        <w:t xml:space="preserve"> managerial intentions or informal policy outcomes</w:t>
      </w:r>
      <w:r w:rsidR="00C25D6A">
        <w:t xml:space="preserve"> </w:t>
      </w:r>
      <w:r w:rsidR="00C25D6A" w:rsidRPr="00C25D6A">
        <w:t>(Kumara, 2022)</w:t>
      </w:r>
      <w:r w:rsidRPr="00373EC1">
        <w:t xml:space="preserve">. In practice, confidentiality or restricted access to some governmental records or corporate documents might be limited. </w:t>
      </w:r>
      <w:r w:rsidR="00C25D6A">
        <w:t>Additionally, not all publicly available reports are up to date, particularly in cases of recent policy reversals, such as the removal of foreign exchange</w:t>
      </w:r>
      <w:r w:rsidRPr="00373EC1">
        <w:t xml:space="preserve"> restrictions. To curb these threats, the research will cross-reference data </w:t>
      </w:r>
      <w:r>
        <w:t>from different and authoritative sources and prioritize</w:t>
      </w:r>
      <w:r w:rsidRPr="00373EC1">
        <w:t xml:space="preserve"> the most current and applicable data. These measures will </w:t>
      </w:r>
      <w:r>
        <w:t>help ensure that the analysis is strong, up-to-date, and realistic for</w:t>
      </w:r>
      <w:r w:rsidRPr="00373EC1">
        <w:t xml:space="preserve"> the sector.</w:t>
      </w:r>
    </w:p>
    <w:p w14:paraId="7A264CCB" w14:textId="77777777" w:rsidR="00FC778B" w:rsidRDefault="00FC778B">
      <w:pPr>
        <w:spacing w:line="259" w:lineRule="auto"/>
        <w:jc w:val="left"/>
      </w:pPr>
      <w:r>
        <w:br w:type="page"/>
      </w:r>
    </w:p>
    <w:p w14:paraId="6F06287A" w14:textId="6354CC07" w:rsidR="00FC778B" w:rsidRDefault="00FC778B" w:rsidP="00FC778B">
      <w:pPr>
        <w:pStyle w:val="Heading1"/>
      </w:pPr>
      <w:r w:rsidRPr="00FC778B">
        <w:lastRenderedPageBreak/>
        <w:t>REFERENCES</w:t>
      </w:r>
    </w:p>
    <w:p w14:paraId="5A4BBEB0" w14:textId="77777777" w:rsidR="00FC778B" w:rsidRDefault="00FC778B" w:rsidP="00FC778B">
      <w:pPr>
        <w:pStyle w:val="NormalWeb"/>
        <w:spacing w:before="0" w:beforeAutospacing="0" w:after="0" w:afterAutospacing="0" w:line="360" w:lineRule="auto"/>
        <w:ind w:left="720" w:hanging="720"/>
        <w:jc w:val="both"/>
      </w:pPr>
      <w:r>
        <w:t>Abdul-Wahab, S. A., Al-</w:t>
      </w:r>
      <w:proofErr w:type="spellStart"/>
      <w:r>
        <w:t>Dhamri</w:t>
      </w:r>
      <w:proofErr w:type="spellEnd"/>
      <w:r>
        <w:t xml:space="preserve">, H., Ram, G., &amp; Chatterjee, V. P. (2020). An overview of alternative raw materials used in cement and clinker manufacturing. </w:t>
      </w:r>
      <w:r>
        <w:rPr>
          <w:i/>
          <w:iCs/>
        </w:rPr>
        <w:t>International Journal of Sustainable Engineering</w:t>
      </w:r>
      <w:r>
        <w:t xml:space="preserve">, </w:t>
      </w:r>
      <w:r>
        <w:rPr>
          <w:i/>
          <w:iCs/>
        </w:rPr>
        <w:t>14</w:t>
      </w:r>
      <w:r>
        <w:t>(4), 743–760. https://doi.org/10.1080/19397038.2020.1822949</w:t>
      </w:r>
    </w:p>
    <w:p w14:paraId="26DF5535" w14:textId="77777777" w:rsidR="00FC778B" w:rsidRDefault="00FC778B" w:rsidP="00FC778B">
      <w:pPr>
        <w:pStyle w:val="NormalWeb"/>
        <w:spacing w:before="0" w:beforeAutospacing="0" w:after="0" w:afterAutospacing="0" w:line="360" w:lineRule="auto"/>
        <w:ind w:left="720" w:hanging="720"/>
        <w:jc w:val="both"/>
      </w:pPr>
      <w:r>
        <w:t xml:space="preserve">Ahmed, S. K., Mohammed, R. A., Nashwan, A. J., Ibrahim, R. H., Abdalla, A. Q., Ameen, B. M. M., &amp; </w:t>
      </w:r>
      <w:proofErr w:type="spellStart"/>
      <w:r>
        <w:t>Khidhir</w:t>
      </w:r>
      <w:proofErr w:type="spellEnd"/>
      <w:r>
        <w:t xml:space="preserve">, R. M. (2025). Using Thematic Analysis in Qualitative Research. </w:t>
      </w:r>
      <w:r>
        <w:rPr>
          <w:i/>
          <w:iCs/>
        </w:rPr>
        <w:t>Journal of Medicine, Surgery, and Public Health</w:t>
      </w:r>
      <w:r>
        <w:t xml:space="preserve">, </w:t>
      </w:r>
      <w:r>
        <w:rPr>
          <w:i/>
          <w:iCs/>
        </w:rPr>
        <w:t>6</w:t>
      </w:r>
      <w:r>
        <w:t>(6), 100198. ScienceDirect. https://doi.org/10.1016/j.glmedi.2025.100198</w:t>
      </w:r>
    </w:p>
    <w:p w14:paraId="60D4A1FA" w14:textId="77777777" w:rsidR="00FC778B" w:rsidRDefault="00FC778B" w:rsidP="00FC778B">
      <w:pPr>
        <w:pStyle w:val="NormalWeb"/>
        <w:spacing w:before="0" w:beforeAutospacing="0" w:after="0" w:afterAutospacing="0" w:line="360" w:lineRule="auto"/>
        <w:ind w:left="720" w:hanging="720"/>
        <w:jc w:val="both"/>
      </w:pPr>
      <w:r>
        <w:t xml:space="preserve">Akinyoade, A., &amp; Uche, C. (2025). Dangote Cement : an African success story? </w:t>
      </w:r>
      <w:r>
        <w:rPr>
          <w:i/>
          <w:iCs/>
        </w:rPr>
        <w:t>ResearchGate</w:t>
      </w:r>
      <w:r>
        <w:t>. https://www.researchgate.net/publication/311596676_Dangote_Cement_an_African_success_story</w:t>
      </w:r>
    </w:p>
    <w:p w14:paraId="5856D7D9" w14:textId="77777777" w:rsidR="00FC778B" w:rsidRDefault="00FC778B" w:rsidP="00FC778B">
      <w:pPr>
        <w:pStyle w:val="NormalWeb"/>
        <w:spacing w:before="0" w:beforeAutospacing="0" w:after="0" w:afterAutospacing="0" w:line="360" w:lineRule="auto"/>
        <w:ind w:left="720" w:hanging="720"/>
        <w:jc w:val="both"/>
      </w:pPr>
      <w:r>
        <w:t xml:space="preserve">Alayande, F. (2020). Estimating effective rates of protection in Nigeria’s protected cement industry. </w:t>
      </w:r>
      <w:r>
        <w:rPr>
          <w:i/>
          <w:iCs/>
        </w:rPr>
        <w:t>Scientific African</w:t>
      </w:r>
      <w:r>
        <w:t xml:space="preserve">, </w:t>
      </w:r>
      <w:r>
        <w:rPr>
          <w:i/>
          <w:iCs/>
        </w:rPr>
        <w:t>8</w:t>
      </w:r>
      <w:r>
        <w:t>(13), e00436. https://doi.org/10.1016/j.sciaf.2020.e00436</w:t>
      </w:r>
    </w:p>
    <w:p w14:paraId="16A38C7B" w14:textId="77777777" w:rsidR="00FC778B" w:rsidRDefault="00FC778B" w:rsidP="00FC778B">
      <w:pPr>
        <w:pStyle w:val="NormalWeb"/>
        <w:spacing w:before="0" w:beforeAutospacing="0" w:after="0" w:afterAutospacing="0" w:line="360" w:lineRule="auto"/>
        <w:ind w:left="720" w:hanging="720"/>
        <w:jc w:val="both"/>
      </w:pPr>
      <w:r>
        <w:t xml:space="preserve">Arumsari, P., </w:t>
      </w:r>
      <w:proofErr w:type="spellStart"/>
      <w:r>
        <w:t>Alisjahbana</w:t>
      </w:r>
      <w:proofErr w:type="spellEnd"/>
      <w:r>
        <w:t xml:space="preserve">, S. M., </w:t>
      </w:r>
      <w:proofErr w:type="spellStart"/>
      <w:r>
        <w:t>Rarasati</w:t>
      </w:r>
      <w:proofErr w:type="spellEnd"/>
      <w:r>
        <w:t xml:space="preserve">, A. D., &amp; Najid, N. (2024). Triangulation and Delphi method analysis of alternative management scheme for sustainable public-rented flats. </w:t>
      </w:r>
      <w:r>
        <w:rPr>
          <w:i/>
          <w:iCs/>
        </w:rPr>
        <w:t>Journal of Facilities Management</w:t>
      </w:r>
      <w:r>
        <w:t xml:space="preserve">, </w:t>
      </w:r>
      <w:r>
        <w:rPr>
          <w:i/>
          <w:iCs/>
        </w:rPr>
        <w:t>12</w:t>
      </w:r>
      <w:r>
        <w:t>(13). https://doi.org/10.1108/jfm-08-2024-0105</w:t>
      </w:r>
    </w:p>
    <w:p w14:paraId="1B510CB3" w14:textId="77777777" w:rsidR="00FC778B" w:rsidRDefault="00FC778B" w:rsidP="00FC778B">
      <w:pPr>
        <w:pStyle w:val="NormalWeb"/>
        <w:spacing w:before="0" w:beforeAutospacing="0" w:after="0" w:afterAutospacing="0" w:line="360" w:lineRule="auto"/>
        <w:ind w:left="720" w:hanging="720"/>
        <w:jc w:val="both"/>
      </w:pPr>
      <w:r>
        <w:t xml:space="preserve">Ayoola, T. J., </w:t>
      </w:r>
      <w:proofErr w:type="spellStart"/>
      <w:r>
        <w:t>Inneh</w:t>
      </w:r>
      <w:proofErr w:type="spellEnd"/>
      <w:r>
        <w:t xml:space="preserve">, E. G., </w:t>
      </w:r>
      <w:proofErr w:type="spellStart"/>
      <w:r>
        <w:t>Obokoh</w:t>
      </w:r>
      <w:proofErr w:type="spellEnd"/>
      <w:r>
        <w:t xml:space="preserve">, L. O., Kolawole, P. E., &amp; Adeoye, E. T. (2022). Competition and efficiency in an oligopolistic audit market: Evidence from the Nigerian banking industry. </w:t>
      </w:r>
      <w:r>
        <w:rPr>
          <w:i/>
          <w:iCs/>
        </w:rPr>
        <w:t>Banks and Bank Systems</w:t>
      </w:r>
      <w:r>
        <w:t xml:space="preserve">, </w:t>
      </w:r>
      <w:r>
        <w:rPr>
          <w:i/>
          <w:iCs/>
        </w:rPr>
        <w:t>17</w:t>
      </w:r>
      <w:r>
        <w:t>(4), 129–139. https://doi.org/10.21511/bbs.17(4).2022.11</w:t>
      </w:r>
    </w:p>
    <w:p w14:paraId="0F60E37B" w14:textId="77777777" w:rsidR="00FC778B" w:rsidRDefault="00FC778B" w:rsidP="00FC778B">
      <w:pPr>
        <w:pStyle w:val="NormalWeb"/>
        <w:spacing w:before="0" w:beforeAutospacing="0" w:after="0" w:afterAutospacing="0" w:line="360" w:lineRule="auto"/>
        <w:ind w:left="720" w:hanging="720"/>
        <w:jc w:val="both"/>
      </w:pPr>
      <w:r>
        <w:t xml:space="preserve">Bamidele, K. (2024). Impact of Exchange Rate Volatility on Foreign Portfolio Investment in Nigeria (1986-2023). </w:t>
      </w:r>
      <w:r>
        <w:rPr>
          <w:i/>
          <w:iCs/>
        </w:rPr>
        <w:t xml:space="preserve">Risk Management </w:t>
      </w:r>
      <w:proofErr w:type="spellStart"/>
      <w:r>
        <w:rPr>
          <w:i/>
          <w:iCs/>
        </w:rPr>
        <w:t>EJournal</w:t>
      </w:r>
      <w:proofErr w:type="spellEnd"/>
      <w:r>
        <w:t xml:space="preserve">, </w:t>
      </w:r>
      <w:r>
        <w:rPr>
          <w:i/>
          <w:iCs/>
        </w:rPr>
        <w:t>34</w:t>
      </w:r>
      <w:r>
        <w:t>(5), 1–28. https://doi.org/10.2139/ssrn.4954853</w:t>
      </w:r>
    </w:p>
    <w:p w14:paraId="13039EDB" w14:textId="77777777" w:rsidR="00FC778B" w:rsidRDefault="00FC778B" w:rsidP="00FC778B">
      <w:pPr>
        <w:pStyle w:val="NormalWeb"/>
        <w:spacing w:before="0" w:beforeAutospacing="0" w:after="0" w:afterAutospacing="0" w:line="360" w:lineRule="auto"/>
        <w:ind w:left="720" w:hanging="720"/>
        <w:jc w:val="both"/>
      </w:pPr>
      <w:r>
        <w:t xml:space="preserve">Barwick, P. J., Cao, S., &amp; Li, S. (2021). Local Protectionism, Market Structure, and Social Welfare: China’s Automobile Market. </w:t>
      </w:r>
      <w:r>
        <w:rPr>
          <w:i/>
          <w:iCs/>
        </w:rPr>
        <w:t>American Economic Journal: Economic Policy</w:t>
      </w:r>
      <w:r>
        <w:t xml:space="preserve">, </w:t>
      </w:r>
      <w:r>
        <w:rPr>
          <w:i/>
          <w:iCs/>
        </w:rPr>
        <w:t>13</w:t>
      </w:r>
      <w:r>
        <w:t>(4), 112–151. https://doi.org/10.1257/pol.20180513</w:t>
      </w:r>
    </w:p>
    <w:p w14:paraId="0CF201BE" w14:textId="77777777" w:rsidR="00FC778B" w:rsidRDefault="00FC778B" w:rsidP="00FC778B">
      <w:pPr>
        <w:pStyle w:val="NormalWeb"/>
        <w:spacing w:before="0" w:beforeAutospacing="0" w:after="0" w:afterAutospacing="0" w:line="360" w:lineRule="auto"/>
        <w:ind w:left="720" w:hanging="720"/>
        <w:jc w:val="both"/>
      </w:pPr>
      <w:r>
        <w:t xml:space="preserve">Bell, E., Bryman, A., &amp; Harley, B. (2022). </w:t>
      </w:r>
      <w:r>
        <w:rPr>
          <w:i/>
          <w:iCs/>
        </w:rPr>
        <w:t>Business Research Methods</w:t>
      </w:r>
      <w:r>
        <w:t xml:space="preserve"> (6th ed.). Oxford University Press. </w:t>
      </w:r>
      <w:r>
        <w:lastRenderedPageBreak/>
        <w:t>https://www.academia.edu/35725749/Business_Research_Methods_by_Bryman_A_and_Bell_E_2015_1_</w:t>
      </w:r>
    </w:p>
    <w:p w14:paraId="3B3982C2" w14:textId="77777777" w:rsidR="00FC778B" w:rsidRDefault="00FC778B" w:rsidP="00FC778B">
      <w:pPr>
        <w:pStyle w:val="NormalWeb"/>
        <w:spacing w:before="0" w:beforeAutospacing="0" w:after="0" w:afterAutospacing="0" w:line="360" w:lineRule="auto"/>
        <w:ind w:left="720" w:hanging="720"/>
        <w:jc w:val="both"/>
      </w:pPr>
      <w:r>
        <w:t xml:space="preserve">Braun, V., &amp; Clarke, V. (2006). Using Thematic Analysis in Psychology. </w:t>
      </w:r>
      <w:r>
        <w:rPr>
          <w:i/>
          <w:iCs/>
        </w:rPr>
        <w:t>Qualitative Research in Psychology</w:t>
      </w:r>
      <w:r>
        <w:t xml:space="preserve">, </w:t>
      </w:r>
      <w:r>
        <w:rPr>
          <w:i/>
          <w:iCs/>
        </w:rPr>
        <w:t>3</w:t>
      </w:r>
      <w:r>
        <w:t>(2), 77–101. https://doi.org/10.1191/1478088706qp063oa</w:t>
      </w:r>
    </w:p>
    <w:p w14:paraId="285A10D0" w14:textId="77777777" w:rsidR="00FC778B" w:rsidRDefault="00FC778B" w:rsidP="00FC778B">
      <w:pPr>
        <w:pStyle w:val="NormalWeb"/>
        <w:spacing w:before="0" w:beforeAutospacing="0" w:after="0" w:afterAutospacing="0" w:line="360" w:lineRule="auto"/>
        <w:ind w:left="720" w:hanging="720"/>
        <w:jc w:val="both"/>
      </w:pPr>
      <w:r>
        <w:t xml:space="preserve">Chang, H., &amp; Andreoni, A. (2020). Industrial Policy in the 21st Century. </w:t>
      </w:r>
      <w:r>
        <w:rPr>
          <w:i/>
          <w:iCs/>
        </w:rPr>
        <w:t>Development and Change</w:t>
      </w:r>
      <w:r>
        <w:t xml:space="preserve">, </w:t>
      </w:r>
      <w:r>
        <w:rPr>
          <w:i/>
          <w:iCs/>
        </w:rPr>
        <w:t>51</w:t>
      </w:r>
      <w:r>
        <w:t>(2). https://onlinelibrary.wiley.com/doi/abs/10.1111/dech.12570</w:t>
      </w:r>
    </w:p>
    <w:p w14:paraId="2243C837" w14:textId="77777777" w:rsidR="00FC778B" w:rsidRDefault="00FC778B" w:rsidP="00FC778B">
      <w:pPr>
        <w:pStyle w:val="NormalWeb"/>
        <w:spacing w:before="0" w:beforeAutospacing="0" w:after="0" w:afterAutospacing="0" w:line="360" w:lineRule="auto"/>
        <w:ind w:left="720" w:hanging="720"/>
        <w:jc w:val="both"/>
      </w:pPr>
      <w:r>
        <w:t xml:space="preserve">Creswell, J. W. (2014). </w:t>
      </w:r>
      <w:r>
        <w:rPr>
          <w:i/>
          <w:iCs/>
        </w:rPr>
        <w:t xml:space="preserve">Research </w:t>
      </w:r>
      <w:proofErr w:type="spellStart"/>
      <w:r>
        <w:rPr>
          <w:i/>
          <w:iCs/>
        </w:rPr>
        <w:t>desing</w:t>
      </w:r>
      <w:proofErr w:type="spellEnd"/>
      <w:r>
        <w:rPr>
          <w:i/>
          <w:iCs/>
        </w:rPr>
        <w:t>: qualitative, quantitative and mixed methods approaches</w:t>
      </w:r>
      <w:r>
        <w:t xml:space="preserve"> (Vol. 54). United State of America: Sage Publications. https://www.researchgate.net/profile/Daliborka-Luketic/publication/320521456_Book_Review_Nacrt_istrazivanja_kvalitativni_kvantitativni_i_mjesoviti_pristupi/links/5a8ad103aca272017e62aa7a/Book-Review-Nacrt-istrazivanja-kvalitativni-kvantitativni-i-mjesoviti-pristupi.pdf</w:t>
      </w:r>
    </w:p>
    <w:p w14:paraId="1D64B8DB" w14:textId="77777777" w:rsidR="00FC778B" w:rsidRDefault="00FC778B" w:rsidP="00FC778B">
      <w:pPr>
        <w:pStyle w:val="NormalWeb"/>
        <w:spacing w:before="0" w:beforeAutospacing="0" w:after="0" w:afterAutospacing="0" w:line="360" w:lineRule="auto"/>
        <w:ind w:left="720" w:hanging="720"/>
        <w:jc w:val="both"/>
      </w:pPr>
      <w:r>
        <w:t xml:space="preserve">Curran, L., Eckhardt, J., &amp; Lee, J. (2021). The trade policy response to COVID-19 and its implications for international business. </w:t>
      </w:r>
      <w:r>
        <w:rPr>
          <w:i/>
          <w:iCs/>
        </w:rPr>
        <w:t>Critical Perspectives on International Business</w:t>
      </w:r>
      <w:r>
        <w:t xml:space="preserve">, </w:t>
      </w:r>
      <w:r>
        <w:rPr>
          <w:i/>
          <w:iCs/>
        </w:rPr>
        <w:t>17</w:t>
      </w:r>
      <w:r>
        <w:t>(2), 252–320. https://doi.org/10.1108/cpoib-05-2020-0041</w:t>
      </w:r>
    </w:p>
    <w:p w14:paraId="3C1458FD" w14:textId="77777777" w:rsidR="00FC778B" w:rsidRDefault="00FC778B" w:rsidP="00FC778B">
      <w:pPr>
        <w:pStyle w:val="NormalWeb"/>
        <w:spacing w:before="0" w:beforeAutospacing="0" w:after="0" w:afterAutospacing="0" w:line="360" w:lineRule="auto"/>
        <w:ind w:left="720" w:hanging="720"/>
        <w:jc w:val="both"/>
      </w:pPr>
      <w:r>
        <w:t xml:space="preserve">Desiderio, D. (2025). </w:t>
      </w:r>
      <w:r>
        <w:rPr>
          <w:i/>
          <w:iCs/>
        </w:rPr>
        <w:t>The Split Personality of Protectionism: A Comparative Analysis of Its Application in Emerging and Industrialized Economies</w:t>
      </w:r>
      <w:r>
        <w:t>. https://doi.org/10.2139/ssrn.5420918</w:t>
      </w:r>
    </w:p>
    <w:p w14:paraId="73A6BAEC" w14:textId="77777777" w:rsidR="00FC778B" w:rsidRDefault="00FC778B" w:rsidP="00FC778B">
      <w:pPr>
        <w:pStyle w:val="NormalWeb"/>
        <w:spacing w:before="0" w:beforeAutospacing="0" w:after="0" w:afterAutospacing="0" w:line="360" w:lineRule="auto"/>
        <w:ind w:left="720" w:hanging="720"/>
        <w:jc w:val="both"/>
      </w:pPr>
      <w:r>
        <w:t xml:space="preserve">Eboh, C. (2023, October 12). Nigeria central bank to intervene in forex market, lifts forex ban on 43 items. </w:t>
      </w:r>
      <w:r>
        <w:rPr>
          <w:i/>
          <w:iCs/>
        </w:rPr>
        <w:t>Reuters</w:t>
      </w:r>
      <w:r>
        <w:t>. https://www.reuters.com/world/africa/nigeria-central-bank-boost-liquidity-forex-market-lifts-ban-43-items-2023-10-12/</w:t>
      </w:r>
    </w:p>
    <w:p w14:paraId="5E5DE7D8" w14:textId="77777777" w:rsidR="00FC778B" w:rsidRDefault="00FC778B" w:rsidP="00FC778B">
      <w:pPr>
        <w:pStyle w:val="NormalWeb"/>
        <w:spacing w:before="0" w:beforeAutospacing="0" w:after="0" w:afterAutospacing="0" w:line="360" w:lineRule="auto"/>
        <w:ind w:left="720" w:hanging="720"/>
        <w:jc w:val="both"/>
      </w:pPr>
      <w:r>
        <w:t xml:space="preserve">Evuti, A. M., Silas, S. S., Amarachukwu, E., &amp; Stephen, Y. (2024). </w:t>
      </w:r>
      <w:r>
        <w:rPr>
          <w:i/>
          <w:iCs/>
        </w:rPr>
        <w:t>A Review of the Operational Challenges in the Cement Industry in Nigeria</w:t>
      </w:r>
      <w:r>
        <w:t xml:space="preserve">. </w:t>
      </w:r>
      <w:r>
        <w:rPr>
          <w:i/>
          <w:iCs/>
        </w:rPr>
        <w:t>8</w:t>
      </w:r>
      <w:r>
        <w:t>(2), 32–52. https://www.researchgate.net/publication/383497785_A_Review_of_the_Operational_Challenges_in_the_Cement_Industry_in_Nigeria</w:t>
      </w:r>
    </w:p>
    <w:p w14:paraId="539429E7" w14:textId="77777777" w:rsidR="00FC778B" w:rsidRDefault="00FC778B" w:rsidP="00FC778B">
      <w:pPr>
        <w:pStyle w:val="NormalWeb"/>
        <w:spacing w:before="0" w:beforeAutospacing="0" w:after="0" w:afterAutospacing="0" w:line="360" w:lineRule="auto"/>
        <w:ind w:left="720" w:hanging="720"/>
        <w:jc w:val="both"/>
      </w:pPr>
      <w:r>
        <w:t xml:space="preserve">Goel, A. (2022). Using Secondary Data in Research on Social Sustainability in Construction Project management: a Transition from “interview Society” to “project-as-practice.” </w:t>
      </w:r>
      <w:r>
        <w:rPr>
          <w:i/>
          <w:iCs/>
        </w:rPr>
        <w:t>Engineering, Construction and Architectural Management</w:t>
      </w:r>
      <w:r>
        <w:t xml:space="preserve">, </w:t>
      </w:r>
      <w:r>
        <w:rPr>
          <w:i/>
          <w:iCs/>
        </w:rPr>
        <w:t>30</w:t>
      </w:r>
      <w:r>
        <w:t>(9). https://doi.org/10.1108/ecam-10-2021-0905</w:t>
      </w:r>
    </w:p>
    <w:p w14:paraId="761853FD" w14:textId="4A30C406" w:rsidR="00FC778B" w:rsidRDefault="00FC778B" w:rsidP="00FC778B">
      <w:pPr>
        <w:pStyle w:val="NormalWeb"/>
        <w:spacing w:before="0" w:beforeAutospacing="0" w:after="0" w:afterAutospacing="0" w:line="360" w:lineRule="auto"/>
        <w:ind w:left="720" w:hanging="720"/>
        <w:jc w:val="both"/>
      </w:pPr>
      <w:r>
        <w:lastRenderedPageBreak/>
        <w:t xml:space="preserve">Hong, I., Yeh, C.-Y., &amp; Nahm, J. (2023). Labour </w:t>
      </w:r>
      <w:r w:rsidR="00D35E09">
        <w:t>Market Policy Reform in East Asia: From Economic Crises to Welfare Politics</w:t>
      </w:r>
      <w:r>
        <w:t xml:space="preserve">. </w:t>
      </w:r>
      <w:r>
        <w:rPr>
          <w:i/>
          <w:iCs/>
        </w:rPr>
        <w:t xml:space="preserve">Edward Elgar Publishing </w:t>
      </w:r>
      <w:proofErr w:type="spellStart"/>
      <w:r>
        <w:rPr>
          <w:i/>
          <w:iCs/>
        </w:rPr>
        <w:t>EBooks</w:t>
      </w:r>
      <w:proofErr w:type="spellEnd"/>
      <w:r>
        <w:t xml:space="preserve">, </w:t>
      </w:r>
      <w:r>
        <w:rPr>
          <w:i/>
          <w:iCs/>
        </w:rPr>
        <w:t>35</w:t>
      </w:r>
      <w:r>
        <w:t>(12), 417–434. https://doi.org/10.4337/9781800880887.00040</w:t>
      </w:r>
    </w:p>
    <w:p w14:paraId="1E5AFF48" w14:textId="77777777" w:rsidR="00FC778B" w:rsidRDefault="00FC778B" w:rsidP="00FC778B">
      <w:pPr>
        <w:pStyle w:val="NormalWeb"/>
        <w:spacing w:before="0" w:beforeAutospacing="0" w:after="0" w:afterAutospacing="0" w:line="360" w:lineRule="auto"/>
        <w:ind w:left="720" w:hanging="720"/>
        <w:jc w:val="both"/>
      </w:pPr>
      <w:r>
        <w:t xml:space="preserve">Ibeh, F. (2024). Assessing the Impact of Trade Policies on Growth and Development of the Manufacturing and Agricultural Sectors in Nigeria. </w:t>
      </w:r>
      <w:r>
        <w:rPr>
          <w:i/>
          <w:iCs/>
        </w:rPr>
        <w:t>Insight on Africa</w:t>
      </w:r>
      <w:r>
        <w:t xml:space="preserve">, </w:t>
      </w:r>
      <w:r>
        <w:rPr>
          <w:i/>
          <w:iCs/>
        </w:rPr>
        <w:t>33</w:t>
      </w:r>
      <w:r>
        <w:t>(23). https://doi.org/10.1177/09750878231217956</w:t>
      </w:r>
    </w:p>
    <w:p w14:paraId="24003610" w14:textId="77777777" w:rsidR="00FC778B" w:rsidRDefault="00FC778B" w:rsidP="00FC778B">
      <w:pPr>
        <w:pStyle w:val="NormalWeb"/>
        <w:spacing w:before="0" w:beforeAutospacing="0" w:after="0" w:afterAutospacing="0" w:line="360" w:lineRule="auto"/>
        <w:ind w:left="720" w:hanging="720"/>
        <w:jc w:val="both"/>
      </w:pPr>
      <w:r>
        <w:t xml:space="preserve">Jamieson, M. K., Govaart, G. H., &amp; Pownall, M. (2023). Reflexivity in Quantitative research: a Rationale and beginner’s Guide. </w:t>
      </w:r>
      <w:r>
        <w:rPr>
          <w:i/>
          <w:iCs/>
        </w:rPr>
        <w:t>Social and Personality Psychology Compass</w:t>
      </w:r>
      <w:r>
        <w:t xml:space="preserve">, </w:t>
      </w:r>
      <w:r>
        <w:rPr>
          <w:i/>
          <w:iCs/>
        </w:rPr>
        <w:t>17</w:t>
      </w:r>
      <w:r>
        <w:t>(4), 1–15. https://doi.org/10.1111/spc3.12735</w:t>
      </w:r>
    </w:p>
    <w:p w14:paraId="3726D389" w14:textId="77777777" w:rsidR="00FC778B" w:rsidRDefault="00FC778B" w:rsidP="00FC778B">
      <w:pPr>
        <w:pStyle w:val="NormalWeb"/>
        <w:spacing w:before="0" w:beforeAutospacing="0" w:after="0" w:afterAutospacing="0" w:line="360" w:lineRule="auto"/>
        <w:ind w:left="720" w:hanging="720"/>
        <w:jc w:val="both"/>
      </w:pPr>
      <w:proofErr w:type="spellStart"/>
      <w:r>
        <w:t>Kilumelume</w:t>
      </w:r>
      <w:proofErr w:type="spellEnd"/>
      <w:r>
        <w:t xml:space="preserve">, M., Morando, B., Newman, C., &amp; Rand, J. (2025). Tariffs, Productivity and Resource Misallocation. </w:t>
      </w:r>
      <w:r>
        <w:rPr>
          <w:i/>
          <w:iCs/>
        </w:rPr>
        <w:t>The World Bank Economic Review</w:t>
      </w:r>
      <w:r>
        <w:t xml:space="preserve">, </w:t>
      </w:r>
      <w:r>
        <w:rPr>
          <w:i/>
          <w:iCs/>
        </w:rPr>
        <w:t>14</w:t>
      </w:r>
      <w:r>
        <w:t>(25). https://doi.org/10.1093/wber/lhaf010</w:t>
      </w:r>
    </w:p>
    <w:p w14:paraId="678E12CC" w14:textId="77777777" w:rsidR="00FC778B" w:rsidRDefault="00FC778B" w:rsidP="00FC778B">
      <w:pPr>
        <w:pStyle w:val="NormalWeb"/>
        <w:spacing w:before="0" w:beforeAutospacing="0" w:after="0" w:afterAutospacing="0" w:line="360" w:lineRule="auto"/>
        <w:ind w:left="720" w:hanging="720"/>
        <w:jc w:val="both"/>
      </w:pPr>
      <w:r>
        <w:t xml:space="preserve">Kumara, A. S. (2022, April 1). </w:t>
      </w:r>
      <w:r>
        <w:rPr>
          <w:i/>
          <w:iCs/>
        </w:rPr>
        <w:t>Researching with Secondary Data: A brief overview of possibilities and limitations from the viewpoint of social research</w:t>
      </w:r>
      <w:r>
        <w:t>. Mpra.ub.uni-Muenchen.de. https://mpra.ub.uni-muenchen.de/id/eprint/112639</w:t>
      </w:r>
    </w:p>
    <w:p w14:paraId="507408C1" w14:textId="77777777" w:rsidR="00FC778B" w:rsidRDefault="00FC778B" w:rsidP="00FC778B">
      <w:pPr>
        <w:pStyle w:val="NormalWeb"/>
        <w:spacing w:before="0" w:beforeAutospacing="0" w:after="0" w:afterAutospacing="0" w:line="360" w:lineRule="auto"/>
        <w:ind w:left="720" w:hanging="720"/>
        <w:jc w:val="both"/>
      </w:pPr>
      <w:r>
        <w:t xml:space="preserve">Li, X., Zhang, H., Zhou, X., &amp; Zhong, W. (2022). Research on the evolution of the global import and export competition network of chromium resources from the perspective of the whole industrial chain. </w:t>
      </w:r>
      <w:r>
        <w:rPr>
          <w:i/>
          <w:iCs/>
        </w:rPr>
        <w:t>Resources Policy</w:t>
      </w:r>
      <w:r>
        <w:t xml:space="preserve">, </w:t>
      </w:r>
      <w:r>
        <w:rPr>
          <w:i/>
          <w:iCs/>
        </w:rPr>
        <w:t>79</w:t>
      </w:r>
      <w:r>
        <w:t>(12), 102987. https://doi.org/10.1016/j.resourpol.2022.102987</w:t>
      </w:r>
    </w:p>
    <w:p w14:paraId="0E80BC7E" w14:textId="77777777" w:rsidR="00FC778B" w:rsidRDefault="00FC778B" w:rsidP="00FC778B">
      <w:pPr>
        <w:pStyle w:val="NormalWeb"/>
        <w:spacing w:before="0" w:beforeAutospacing="0" w:after="0" w:afterAutospacing="0" w:line="360" w:lineRule="auto"/>
        <w:ind w:left="720" w:hanging="720"/>
        <w:jc w:val="both"/>
      </w:pPr>
      <w:r>
        <w:t xml:space="preserve">McCulloch, N., Balchin, N., </w:t>
      </w:r>
      <w:proofErr w:type="spellStart"/>
      <w:r>
        <w:t>MendezParra</w:t>
      </w:r>
      <w:proofErr w:type="spellEnd"/>
      <w:r>
        <w:t xml:space="preserve">, M., &amp; Onyeka, K. (2017). Local content policies and backward integration in Nigeria. </w:t>
      </w:r>
      <w:r>
        <w:rPr>
          <w:i/>
          <w:iCs/>
        </w:rPr>
        <w:t>SET Report. London: ODI</w:t>
      </w:r>
      <w:r>
        <w:t>. https://www.academia.edu/download/76960824/SET-Nigeria_Backward-Integration_Final-report.pdf</w:t>
      </w:r>
    </w:p>
    <w:p w14:paraId="7BCBE238" w14:textId="77777777" w:rsidR="00FC778B" w:rsidRDefault="00FC778B" w:rsidP="00FC778B">
      <w:pPr>
        <w:pStyle w:val="NormalWeb"/>
        <w:spacing w:before="0" w:beforeAutospacing="0" w:after="0" w:afterAutospacing="0" w:line="360" w:lineRule="auto"/>
        <w:ind w:left="720" w:hanging="720"/>
        <w:jc w:val="both"/>
      </w:pPr>
      <w:r>
        <w:t xml:space="preserve">Movahed, M. (2020). Industrializing an Oil‐Based Economy: Evidence from Iran’s Auto Industry. </w:t>
      </w:r>
      <w:r>
        <w:rPr>
          <w:i/>
          <w:iCs/>
        </w:rPr>
        <w:t>Journal of International Development</w:t>
      </w:r>
      <w:r>
        <w:t xml:space="preserve">, </w:t>
      </w:r>
      <w:r>
        <w:rPr>
          <w:i/>
          <w:iCs/>
        </w:rPr>
        <w:t>32</w:t>
      </w:r>
      <w:r>
        <w:t>(7), 1148–1170. https://doi.org/10.1002/jid.3499</w:t>
      </w:r>
    </w:p>
    <w:p w14:paraId="57B2843D" w14:textId="77777777" w:rsidR="00FC778B" w:rsidRDefault="00FC778B" w:rsidP="00FC778B">
      <w:pPr>
        <w:pStyle w:val="NormalWeb"/>
        <w:spacing w:before="0" w:beforeAutospacing="0" w:after="0" w:afterAutospacing="0" w:line="360" w:lineRule="auto"/>
        <w:ind w:left="720" w:hanging="720"/>
        <w:jc w:val="both"/>
      </w:pPr>
      <w:r>
        <w:t xml:space="preserve">Myrdal, G. (1956). </w:t>
      </w:r>
      <w:r>
        <w:rPr>
          <w:i/>
          <w:iCs/>
        </w:rPr>
        <w:t>An International Economy, Problems and Prospects</w:t>
      </w:r>
      <w:r>
        <w:t>. Harper. https://books.google.com.ng/books?id=gswsAAAAMAAJ</w:t>
      </w:r>
    </w:p>
    <w:p w14:paraId="768808C6" w14:textId="77777777" w:rsidR="00FC778B" w:rsidRDefault="00FC778B" w:rsidP="00FC778B">
      <w:pPr>
        <w:pStyle w:val="NormalWeb"/>
        <w:spacing w:before="0" w:beforeAutospacing="0" w:after="0" w:afterAutospacing="0" w:line="360" w:lineRule="auto"/>
        <w:ind w:left="720" w:hanging="720"/>
        <w:jc w:val="both"/>
      </w:pPr>
      <w:r>
        <w:t xml:space="preserve">Nkwor, N., Ezeoha, A., Uche, C., Akinyoade, A., &amp; </w:t>
      </w:r>
      <w:proofErr w:type="spellStart"/>
      <w:r>
        <w:t>Ujunwa</w:t>
      </w:r>
      <w:proofErr w:type="spellEnd"/>
      <w:r>
        <w:t xml:space="preserve">, A. (2024). Multinational companies and climate change and sustainable development debate: evidence from cement production in Nigeria. </w:t>
      </w:r>
      <w:r>
        <w:rPr>
          <w:i/>
          <w:iCs/>
        </w:rPr>
        <w:t>Climate and Development</w:t>
      </w:r>
      <w:r>
        <w:t xml:space="preserve">, </w:t>
      </w:r>
      <w:r>
        <w:rPr>
          <w:i/>
          <w:iCs/>
        </w:rPr>
        <w:t>17</w:t>
      </w:r>
      <w:r>
        <w:t>(2), 1–17. https://doi.org/10.1080/17565529.2024.2342683</w:t>
      </w:r>
    </w:p>
    <w:p w14:paraId="5BC5945B" w14:textId="77777777" w:rsidR="00FC778B" w:rsidRDefault="00FC778B" w:rsidP="00FC778B">
      <w:pPr>
        <w:pStyle w:val="NormalWeb"/>
        <w:spacing w:before="0" w:beforeAutospacing="0" w:after="0" w:afterAutospacing="0" w:line="360" w:lineRule="auto"/>
        <w:ind w:left="720" w:hanging="720"/>
        <w:jc w:val="both"/>
      </w:pPr>
      <w:r>
        <w:lastRenderedPageBreak/>
        <w:t xml:space="preserve">Odijie, M. E. (2019). Is traditional industrial policy defunct? Evidence from the Nigerian cement industry. </w:t>
      </w:r>
      <w:r>
        <w:rPr>
          <w:i/>
          <w:iCs/>
        </w:rPr>
        <w:t>Review of International Political Economy</w:t>
      </w:r>
      <w:r>
        <w:t xml:space="preserve">, </w:t>
      </w:r>
      <w:r>
        <w:rPr>
          <w:i/>
          <w:iCs/>
        </w:rPr>
        <w:t>27</w:t>
      </w:r>
      <w:r>
        <w:t>(3), 686–708. https://doi.org/10.1080/09692290.2019.1657480</w:t>
      </w:r>
    </w:p>
    <w:p w14:paraId="45D94DC9" w14:textId="74987D30" w:rsidR="00FC778B" w:rsidRDefault="00FC778B" w:rsidP="00FC778B">
      <w:pPr>
        <w:pStyle w:val="NormalWeb"/>
        <w:spacing w:before="0" w:beforeAutospacing="0" w:after="0" w:afterAutospacing="0" w:line="360" w:lineRule="auto"/>
        <w:ind w:left="720" w:hanging="720"/>
        <w:jc w:val="both"/>
      </w:pPr>
      <w:r>
        <w:t xml:space="preserve">Okogwu, C., Egbokhaebho, B. A., Raji, A., </w:t>
      </w:r>
      <w:proofErr w:type="spellStart"/>
      <w:r>
        <w:t>Daraojimba</w:t>
      </w:r>
      <w:proofErr w:type="spellEnd"/>
      <w:r>
        <w:t xml:space="preserve">, C., Alade, E. Y., &amp; Olalere, B. I. (2023). </w:t>
      </w:r>
      <w:r w:rsidR="00D35E09">
        <w:t>Navigating trade protectionism: its implications on global procurement activities and the Nigeria and U.S. economy</w:t>
      </w:r>
      <w:r>
        <w:t xml:space="preserve">. </w:t>
      </w:r>
      <w:r>
        <w:rPr>
          <w:i/>
          <w:iCs/>
        </w:rPr>
        <w:t>Agribusiness Management in Developing Nations</w:t>
      </w:r>
      <w:r>
        <w:t xml:space="preserve">, </w:t>
      </w:r>
      <w:r>
        <w:rPr>
          <w:i/>
          <w:iCs/>
        </w:rPr>
        <w:t>1</w:t>
      </w:r>
      <w:r>
        <w:t>(1), 27–35. https://doi.org/10.26480/amdn.01.2023.27.35</w:t>
      </w:r>
    </w:p>
    <w:p w14:paraId="3C89F2FC" w14:textId="77777777" w:rsidR="00FC778B" w:rsidRDefault="00FC778B" w:rsidP="00FC778B">
      <w:pPr>
        <w:pStyle w:val="NormalWeb"/>
        <w:spacing w:before="0" w:beforeAutospacing="0" w:after="0" w:afterAutospacing="0" w:line="360" w:lineRule="auto"/>
        <w:ind w:left="720" w:hanging="720"/>
        <w:jc w:val="both"/>
      </w:pPr>
      <w:r>
        <w:t xml:space="preserve">Olayiwola, A. S. (2019). Asymmetric Effect of Monetary Policy Shocks on Output and Prices in Nigeria. </w:t>
      </w:r>
      <w:r>
        <w:rPr>
          <w:i/>
          <w:iCs/>
        </w:rPr>
        <w:t>African Journal of Economic Review</w:t>
      </w:r>
      <w:r>
        <w:t xml:space="preserve">, </w:t>
      </w:r>
      <w:r>
        <w:rPr>
          <w:i/>
          <w:iCs/>
        </w:rPr>
        <w:t>7</w:t>
      </w:r>
      <w:r>
        <w:t>(1), 238–248. https://www.ajol.info/index.php/ajer/article/view/182560</w:t>
      </w:r>
    </w:p>
    <w:p w14:paraId="133B74A8" w14:textId="77777777" w:rsidR="00FC778B" w:rsidRDefault="00FC778B" w:rsidP="00FC778B">
      <w:pPr>
        <w:pStyle w:val="NormalWeb"/>
        <w:spacing w:before="0" w:beforeAutospacing="0" w:after="0" w:afterAutospacing="0" w:line="360" w:lineRule="auto"/>
        <w:ind w:left="720" w:hanging="720"/>
        <w:jc w:val="both"/>
      </w:pPr>
      <w:r>
        <w:t xml:space="preserve">Oluikpe, P. (2020). Leveraging import substitution for economic expansion: the case of Nigeria. </w:t>
      </w:r>
      <w:r>
        <w:rPr>
          <w:i/>
          <w:iCs/>
        </w:rPr>
        <w:t>Bullion</w:t>
      </w:r>
      <w:r>
        <w:t xml:space="preserve">, </w:t>
      </w:r>
      <w:r>
        <w:rPr>
          <w:i/>
          <w:iCs/>
        </w:rPr>
        <w:t>44</w:t>
      </w:r>
      <w:r>
        <w:t>(3). https://dc.cbn.gov.ng/bullion/vol44/iss3/1/</w:t>
      </w:r>
    </w:p>
    <w:p w14:paraId="6AF712F7" w14:textId="77777777" w:rsidR="00FC778B" w:rsidRDefault="00FC778B" w:rsidP="00FC778B">
      <w:pPr>
        <w:pStyle w:val="NormalWeb"/>
        <w:spacing w:before="0" w:beforeAutospacing="0" w:after="0" w:afterAutospacing="0" w:line="360" w:lineRule="auto"/>
        <w:ind w:left="720" w:hanging="720"/>
        <w:jc w:val="both"/>
      </w:pPr>
      <w:r>
        <w:t xml:space="preserve">Omeiza, M., Ibrahim, H., &amp; </w:t>
      </w:r>
      <w:proofErr w:type="spellStart"/>
      <w:r>
        <w:t>Maishanu</w:t>
      </w:r>
      <w:proofErr w:type="spellEnd"/>
      <w:r>
        <w:t xml:space="preserve">, M. (2021). </w:t>
      </w:r>
      <w:r>
        <w:rPr>
          <w:i/>
          <w:iCs/>
        </w:rPr>
        <w:t xml:space="preserve">Empirical Assessment of Performance of Dangote Cement Plc: An </w:t>
      </w:r>
      <w:proofErr w:type="spellStart"/>
      <w:r>
        <w:rPr>
          <w:i/>
          <w:iCs/>
        </w:rPr>
        <w:t>EndUsers</w:t>
      </w:r>
      <w:proofErr w:type="spellEnd"/>
      <w:r>
        <w:rPr>
          <w:i/>
          <w:iCs/>
        </w:rPr>
        <w:t>’ Perspective</w:t>
      </w:r>
      <w:r>
        <w:t>. https://www.academia.edu/download/67491899/Empirical_End_Users_with_Mudi.pdf</w:t>
      </w:r>
    </w:p>
    <w:p w14:paraId="239F87F1" w14:textId="77777777" w:rsidR="00FC778B" w:rsidRDefault="00FC778B" w:rsidP="00FC778B">
      <w:pPr>
        <w:pStyle w:val="NormalWeb"/>
        <w:spacing w:before="0" w:beforeAutospacing="0" w:after="0" w:afterAutospacing="0" w:line="360" w:lineRule="auto"/>
        <w:ind w:left="720" w:hanging="720"/>
        <w:jc w:val="both"/>
      </w:pPr>
      <w:r>
        <w:t xml:space="preserve">Oshodi, A. F. (2022). Backward Integration Policy and Manufacturing Firms Value Added in Nigeria. </w:t>
      </w:r>
      <w:r>
        <w:rPr>
          <w:i/>
          <w:iCs/>
        </w:rPr>
        <w:t>Economics and Culture</w:t>
      </w:r>
      <w:r>
        <w:t xml:space="preserve">, </w:t>
      </w:r>
      <w:r>
        <w:rPr>
          <w:i/>
          <w:iCs/>
        </w:rPr>
        <w:t>19</w:t>
      </w:r>
      <w:r>
        <w:t>(1), 5–16. https://doi.org/10.2478/jec-2022-0001</w:t>
      </w:r>
    </w:p>
    <w:p w14:paraId="3A2EE5EB" w14:textId="77777777" w:rsidR="00FC778B" w:rsidRDefault="00FC778B" w:rsidP="00FC778B">
      <w:pPr>
        <w:pStyle w:val="NormalWeb"/>
        <w:spacing w:before="0" w:beforeAutospacing="0" w:after="0" w:afterAutospacing="0" w:line="360" w:lineRule="auto"/>
        <w:ind w:left="720" w:hanging="720"/>
        <w:jc w:val="both"/>
      </w:pPr>
      <w:r>
        <w:t xml:space="preserve">Petricevic, O., &amp; Teece, D. J. (2019). The structural reshaping of globalization: Implications for strategic sectors, profiting from innovation, and the multinational enterprise. </w:t>
      </w:r>
      <w:r>
        <w:rPr>
          <w:i/>
          <w:iCs/>
        </w:rPr>
        <w:t>Journal of International Business Studies</w:t>
      </w:r>
      <w:r>
        <w:t xml:space="preserve">, </w:t>
      </w:r>
      <w:r>
        <w:rPr>
          <w:i/>
          <w:iCs/>
        </w:rPr>
        <w:t>50</w:t>
      </w:r>
      <w:r>
        <w:t>(1), 1487–1512. Springer. https://doi.org/10.1057/s41267-019-00269-x</w:t>
      </w:r>
    </w:p>
    <w:p w14:paraId="34373925" w14:textId="77777777" w:rsidR="00FC778B" w:rsidRDefault="00FC778B" w:rsidP="00FC778B">
      <w:pPr>
        <w:pStyle w:val="NormalWeb"/>
        <w:spacing w:before="0" w:beforeAutospacing="0" w:after="0" w:afterAutospacing="0" w:line="360" w:lineRule="auto"/>
        <w:ind w:left="720" w:hanging="720"/>
        <w:jc w:val="both"/>
      </w:pPr>
      <w:r>
        <w:t xml:space="preserve">Roche, M. Y. (2023). Built for net-zero: analysis of long-term greenhouse gas emission pathways for the Nigerian cement sector. </w:t>
      </w:r>
      <w:r>
        <w:rPr>
          <w:i/>
          <w:iCs/>
        </w:rPr>
        <w:t>Journal of Cleaner Production</w:t>
      </w:r>
      <w:r>
        <w:t xml:space="preserve">, </w:t>
      </w:r>
      <w:r>
        <w:rPr>
          <w:i/>
          <w:iCs/>
        </w:rPr>
        <w:t>383</w:t>
      </w:r>
      <w:r>
        <w:t>(13), 135446. https://doi.org/10.1016/j.jclepro.2022.135446</w:t>
      </w:r>
    </w:p>
    <w:p w14:paraId="459812F0" w14:textId="77777777" w:rsidR="00FC778B" w:rsidRDefault="00FC778B" w:rsidP="00FC778B">
      <w:pPr>
        <w:pStyle w:val="NormalWeb"/>
        <w:spacing w:before="0" w:beforeAutospacing="0" w:after="0" w:afterAutospacing="0" w:line="360" w:lineRule="auto"/>
        <w:ind w:left="720" w:hanging="720"/>
        <w:jc w:val="both"/>
      </w:pPr>
      <w:r>
        <w:t xml:space="preserve">Rowlands, B. H. (2005). Grounded in Practice: Using Interpretive Research to Build Theory. </w:t>
      </w:r>
      <w:r>
        <w:rPr>
          <w:i/>
          <w:iCs/>
        </w:rPr>
        <w:t>Electronic Journal of Business Research Methods</w:t>
      </w:r>
      <w:r>
        <w:t xml:space="preserve">, </w:t>
      </w:r>
      <w:r>
        <w:rPr>
          <w:i/>
          <w:iCs/>
        </w:rPr>
        <w:t>3</w:t>
      </w:r>
      <w:r>
        <w:t>(1), pp81</w:t>
      </w:r>
      <w:r>
        <w:noBreakHyphen/>
        <w:t>92–pp81</w:t>
      </w:r>
      <w:r>
        <w:noBreakHyphen/>
        <w:t>92. https://academic-publishing.org/index.php/ejbrm/article/view/1181</w:t>
      </w:r>
    </w:p>
    <w:p w14:paraId="761B5A80" w14:textId="77777777" w:rsidR="00FC778B" w:rsidRDefault="00FC778B" w:rsidP="00FC778B">
      <w:pPr>
        <w:pStyle w:val="NormalWeb"/>
        <w:spacing w:before="0" w:beforeAutospacing="0" w:after="0" w:afterAutospacing="0" w:line="360" w:lineRule="auto"/>
        <w:ind w:left="720" w:hanging="720"/>
        <w:jc w:val="both"/>
      </w:pPr>
      <w:r>
        <w:t xml:space="preserve">Sahu, M. (2021). Import Substitution Industrialization (ISI) and Economic Growth. </w:t>
      </w:r>
      <w:r>
        <w:rPr>
          <w:i/>
          <w:iCs/>
        </w:rPr>
        <w:t>The Management Accountant Journal</w:t>
      </w:r>
      <w:r>
        <w:t xml:space="preserve">, </w:t>
      </w:r>
      <w:r>
        <w:rPr>
          <w:i/>
          <w:iCs/>
        </w:rPr>
        <w:t>56</w:t>
      </w:r>
      <w:r>
        <w:t>(1), 76–82. https://nirdprojms.in/index.php/maj/article/view/157437/108956</w:t>
      </w:r>
    </w:p>
    <w:p w14:paraId="126BCE20" w14:textId="77777777" w:rsidR="00FC778B" w:rsidRDefault="00FC778B" w:rsidP="00FC778B">
      <w:pPr>
        <w:pStyle w:val="NormalWeb"/>
        <w:spacing w:before="0" w:beforeAutospacing="0" w:after="0" w:afterAutospacing="0" w:line="360" w:lineRule="auto"/>
        <w:ind w:left="720" w:hanging="720"/>
        <w:jc w:val="both"/>
      </w:pPr>
      <w:r>
        <w:lastRenderedPageBreak/>
        <w:t xml:space="preserve">Saunders, M., Lewis, P., &amp; Thornhill, A. (2019, May). </w:t>
      </w:r>
      <w:r>
        <w:rPr>
          <w:i/>
          <w:iCs/>
        </w:rPr>
        <w:t>Saunders, Research Methods for Business Students, 8/E</w:t>
      </w:r>
      <w:r>
        <w:t>. Www.pearson.com. https://www.pearson.com/se/Nordics-Higher-Education/subject-catalogue/business-and-management/Research-methods-for-business-students-8e-saunders.html</w:t>
      </w:r>
    </w:p>
    <w:p w14:paraId="4CCF4B36" w14:textId="77777777" w:rsidR="00FC778B" w:rsidRDefault="00FC778B" w:rsidP="00FC778B">
      <w:pPr>
        <w:pStyle w:val="NormalWeb"/>
        <w:spacing w:before="0" w:beforeAutospacing="0" w:after="0" w:afterAutospacing="0" w:line="360" w:lineRule="auto"/>
        <w:ind w:left="720" w:hanging="720"/>
        <w:jc w:val="both"/>
      </w:pPr>
      <w:r>
        <w:t xml:space="preserve">Schöfer, T., &amp; Weinhardt, C. (2022). Developing-country status at the WTO: the divergent strategies of Brazil, India and China. </w:t>
      </w:r>
      <w:r>
        <w:rPr>
          <w:i/>
          <w:iCs/>
        </w:rPr>
        <w:t>International Affairs</w:t>
      </w:r>
      <w:r>
        <w:t xml:space="preserve">, </w:t>
      </w:r>
      <w:r>
        <w:rPr>
          <w:i/>
          <w:iCs/>
        </w:rPr>
        <w:t>98</w:t>
      </w:r>
      <w:r>
        <w:t>(6), 1937–1957. https://doi.org/10.1093/ia/iiac227</w:t>
      </w:r>
    </w:p>
    <w:p w14:paraId="47852930" w14:textId="77777777" w:rsidR="00FC778B" w:rsidRDefault="00FC778B" w:rsidP="00FC778B">
      <w:pPr>
        <w:pStyle w:val="NormalWeb"/>
        <w:spacing w:before="0" w:beforeAutospacing="0" w:after="0" w:afterAutospacing="0" w:line="360" w:lineRule="auto"/>
        <w:ind w:left="720" w:hanging="720"/>
        <w:jc w:val="both"/>
      </w:pPr>
      <w:r>
        <w:t xml:space="preserve">Shankar, V., &amp; Narang, U. (2019). Emerging Market innovations: Unique and Differential drivers, Practitioner implications, and Research Agenda. </w:t>
      </w:r>
      <w:r>
        <w:rPr>
          <w:i/>
          <w:iCs/>
        </w:rPr>
        <w:t>Journal of the Academy of Marketing Science</w:t>
      </w:r>
      <w:r>
        <w:t xml:space="preserve">, </w:t>
      </w:r>
      <w:r>
        <w:rPr>
          <w:i/>
          <w:iCs/>
        </w:rPr>
        <w:t>48</w:t>
      </w:r>
      <w:r>
        <w:t>(34). https://doi.org/10.1007/s11747-019-00685-3</w:t>
      </w:r>
    </w:p>
    <w:p w14:paraId="5A89F6B8" w14:textId="77777777" w:rsidR="00FC778B" w:rsidRDefault="00FC778B" w:rsidP="00FC778B">
      <w:pPr>
        <w:pStyle w:val="NormalWeb"/>
        <w:spacing w:before="0" w:beforeAutospacing="0" w:after="0" w:afterAutospacing="0" w:line="360" w:lineRule="auto"/>
        <w:ind w:left="720" w:hanging="720"/>
        <w:jc w:val="both"/>
      </w:pPr>
      <w:r>
        <w:t xml:space="preserve">Thomas, J., &amp; Harden, A. (2008). Methods for the Thematic Synthesis of Qualitative Research in Systematic Reviews. </w:t>
      </w:r>
      <w:r>
        <w:rPr>
          <w:i/>
          <w:iCs/>
        </w:rPr>
        <w:t>BMC Medical Research Methodology</w:t>
      </w:r>
      <w:r>
        <w:t xml:space="preserve">, </w:t>
      </w:r>
      <w:r>
        <w:rPr>
          <w:i/>
          <w:iCs/>
        </w:rPr>
        <w:t>8</w:t>
      </w:r>
      <w:r>
        <w:t xml:space="preserve">(1), 1–10. </w:t>
      </w:r>
      <w:proofErr w:type="spellStart"/>
      <w:r>
        <w:t>Biomedcentral</w:t>
      </w:r>
      <w:proofErr w:type="spellEnd"/>
      <w:r>
        <w:t>. https://doi.org/10.1186/1471-2288-8-45</w:t>
      </w:r>
    </w:p>
    <w:p w14:paraId="79CADA57" w14:textId="77777777" w:rsidR="00FC778B" w:rsidRDefault="00FC778B" w:rsidP="00FC778B">
      <w:pPr>
        <w:pStyle w:val="NormalWeb"/>
        <w:spacing w:before="0" w:beforeAutospacing="0" w:after="0" w:afterAutospacing="0" w:line="360" w:lineRule="auto"/>
        <w:ind w:left="720" w:hanging="720"/>
        <w:jc w:val="both"/>
      </w:pPr>
      <w:r>
        <w:t xml:space="preserve">Trangbæk, A., &amp; Cecchini, M. (2023, May 26). </w:t>
      </w:r>
      <w:r>
        <w:rPr>
          <w:i/>
          <w:iCs/>
        </w:rPr>
        <w:t>Using the interpretivist methodology</w:t>
      </w:r>
      <w:r>
        <w:t>. Www.elgaronline.com; Edward Elgar Publishing. https://www.elgaronline.com/edcollchap/book/9781800886582/book-part-9781800886582-18.xml</w:t>
      </w:r>
    </w:p>
    <w:p w14:paraId="76273237" w14:textId="43147BD4" w:rsidR="00FC778B" w:rsidRDefault="00FC778B" w:rsidP="00FC778B">
      <w:pPr>
        <w:pStyle w:val="NormalWeb"/>
        <w:spacing w:before="0" w:beforeAutospacing="0" w:after="0" w:afterAutospacing="0" w:line="360" w:lineRule="auto"/>
        <w:ind w:left="720" w:hanging="720"/>
        <w:jc w:val="both"/>
      </w:pPr>
      <w:r>
        <w:t xml:space="preserve">Unum, G., Terna, &amp; </w:t>
      </w:r>
      <w:proofErr w:type="spellStart"/>
      <w:r>
        <w:t>Ikyume</w:t>
      </w:r>
      <w:proofErr w:type="spellEnd"/>
      <w:r>
        <w:t xml:space="preserve">. (2025). </w:t>
      </w:r>
      <w:r w:rsidR="00D35E09">
        <w:t xml:space="preserve">The Socioeconomic Effects of Dangote Cement Company on Housing Development and Livelihoods in </w:t>
      </w:r>
      <w:proofErr w:type="spellStart"/>
      <w:r w:rsidR="00D35E09">
        <w:t>Mbayion</w:t>
      </w:r>
      <w:proofErr w:type="spellEnd"/>
      <w:r w:rsidR="00D35E09">
        <w:t>, Gboko Local Government Area, Benue State</w:t>
      </w:r>
      <w:r>
        <w:t xml:space="preserve">. </w:t>
      </w:r>
      <w:proofErr w:type="spellStart"/>
      <w:r w:rsidR="00D35E09">
        <w:rPr>
          <w:i/>
          <w:iCs/>
        </w:rPr>
        <w:t>Plasu</w:t>
      </w:r>
      <w:proofErr w:type="spellEnd"/>
      <w:r w:rsidR="00D35E09">
        <w:rPr>
          <w:i/>
          <w:iCs/>
        </w:rPr>
        <w:t xml:space="preserve"> Journal of Environmental Sciences</w:t>
      </w:r>
      <w:r>
        <w:t xml:space="preserve">, </w:t>
      </w:r>
      <w:r>
        <w:rPr>
          <w:i/>
          <w:iCs/>
        </w:rPr>
        <w:t>1</w:t>
      </w:r>
      <w:r>
        <w:t>(1), 107–116. https://doi.org/10.5281/zenodo.14705265</w:t>
      </w:r>
    </w:p>
    <w:p w14:paraId="58BE5680" w14:textId="77777777" w:rsidR="00FC778B" w:rsidRDefault="00FC778B" w:rsidP="00FC778B">
      <w:pPr>
        <w:pStyle w:val="NormalWeb"/>
        <w:spacing w:before="0" w:beforeAutospacing="0" w:after="0" w:afterAutospacing="0" w:line="360" w:lineRule="auto"/>
        <w:ind w:left="720" w:hanging="720"/>
        <w:jc w:val="both"/>
      </w:pPr>
      <w:r>
        <w:t xml:space="preserve">Victor, A. O., Sylvester, A. O., &amp; Gregory, A. A. (2021). Strategic Competitiveness and Corporate Performance of Paints Manufacturing Companies Quoted in Nigerian Stock Exchange. </w:t>
      </w:r>
      <w:proofErr w:type="spellStart"/>
      <w:r>
        <w:rPr>
          <w:i/>
          <w:iCs/>
        </w:rPr>
        <w:t>Sumerianz</w:t>
      </w:r>
      <w:proofErr w:type="spellEnd"/>
      <w:r>
        <w:rPr>
          <w:i/>
          <w:iCs/>
        </w:rPr>
        <w:t xml:space="preserve"> Journal of Business Management and Marketing</w:t>
      </w:r>
      <w:r>
        <w:t xml:space="preserve">, </w:t>
      </w:r>
      <w:r>
        <w:rPr>
          <w:i/>
          <w:iCs/>
        </w:rPr>
        <w:t>4</w:t>
      </w:r>
      <w:r>
        <w:t>(1), 17–26. https://www.researchgate.net/profile/Alaba-Victor-Oyakhire/publication/352217391_Strategic_Competitiveness_and_Corporate_Performance_of_Paints_Manufacturing_Companies_Quoted_in_Nigerian_Stock_Exchange/links/6144f27e519a1a381f690095/Strategic-Competitiveness-and-Corporate-Performance-of-Paints-Manufacturing-Companies-Quoted-in-Nigerian-Stock-Exchange.pdf</w:t>
      </w:r>
    </w:p>
    <w:p w14:paraId="7AE09CC5" w14:textId="77777777" w:rsidR="00373EC1" w:rsidRPr="00373EC1" w:rsidRDefault="00373EC1" w:rsidP="00373EC1"/>
    <w:sectPr w:rsidR="00373EC1" w:rsidRPr="00373EC1" w:rsidSect="00333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zs7AwMjY1NwWyzJV0lIJTi4sz8/NACgxrAYGyg90sAAAA"/>
  </w:docVars>
  <w:rsids>
    <w:rsidRoot w:val="001673EA"/>
    <w:rsid w:val="0001056C"/>
    <w:rsid w:val="000367CB"/>
    <w:rsid w:val="00045FD9"/>
    <w:rsid w:val="000671BC"/>
    <w:rsid w:val="00073977"/>
    <w:rsid w:val="000B257C"/>
    <w:rsid w:val="000F11FB"/>
    <w:rsid w:val="001673EA"/>
    <w:rsid w:val="001B46FA"/>
    <w:rsid w:val="001B71F4"/>
    <w:rsid w:val="00221EA4"/>
    <w:rsid w:val="00225864"/>
    <w:rsid w:val="0026488A"/>
    <w:rsid w:val="002A6D9B"/>
    <w:rsid w:val="00327F44"/>
    <w:rsid w:val="00333CAE"/>
    <w:rsid w:val="00373EC1"/>
    <w:rsid w:val="003C02BF"/>
    <w:rsid w:val="003E3E1B"/>
    <w:rsid w:val="004B74E8"/>
    <w:rsid w:val="005A3FF3"/>
    <w:rsid w:val="005B6259"/>
    <w:rsid w:val="005C467D"/>
    <w:rsid w:val="00610ECA"/>
    <w:rsid w:val="00631E6C"/>
    <w:rsid w:val="006450B7"/>
    <w:rsid w:val="006E3855"/>
    <w:rsid w:val="006F1839"/>
    <w:rsid w:val="0070302F"/>
    <w:rsid w:val="00712611"/>
    <w:rsid w:val="0071660F"/>
    <w:rsid w:val="007329BA"/>
    <w:rsid w:val="00752149"/>
    <w:rsid w:val="007B0CD4"/>
    <w:rsid w:val="007E3EB5"/>
    <w:rsid w:val="007F6EF8"/>
    <w:rsid w:val="00803E35"/>
    <w:rsid w:val="00884545"/>
    <w:rsid w:val="008C2564"/>
    <w:rsid w:val="008D2F68"/>
    <w:rsid w:val="00902C63"/>
    <w:rsid w:val="0097212F"/>
    <w:rsid w:val="00982461"/>
    <w:rsid w:val="00A11648"/>
    <w:rsid w:val="00A1179B"/>
    <w:rsid w:val="00A34330"/>
    <w:rsid w:val="00B04510"/>
    <w:rsid w:val="00B4668F"/>
    <w:rsid w:val="00BE62F7"/>
    <w:rsid w:val="00C245D0"/>
    <w:rsid w:val="00C25D6A"/>
    <w:rsid w:val="00C442FD"/>
    <w:rsid w:val="00C565C4"/>
    <w:rsid w:val="00C637D7"/>
    <w:rsid w:val="00C64AEE"/>
    <w:rsid w:val="00CF7130"/>
    <w:rsid w:val="00D003E7"/>
    <w:rsid w:val="00D35E09"/>
    <w:rsid w:val="00DB6B20"/>
    <w:rsid w:val="00E91F61"/>
    <w:rsid w:val="00EE2906"/>
    <w:rsid w:val="00EF0174"/>
    <w:rsid w:val="00F13A21"/>
    <w:rsid w:val="00F325FC"/>
    <w:rsid w:val="00F50A05"/>
    <w:rsid w:val="00FA002B"/>
    <w:rsid w:val="00FC77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03F23"/>
  <w15:chartTrackingRefBased/>
  <w15:docId w15:val="{9C4F0D4F-EB98-4409-9FED-F0B530D88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461"/>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CF7130"/>
    <w:pPr>
      <w:keepNext/>
      <w:keepLines/>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6F1839"/>
    <w:pPr>
      <w:keepNext/>
      <w:keepLines/>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04510"/>
    <w:pPr>
      <w:keepNext/>
      <w:keepLines/>
      <w:spacing w:before="160" w:after="80"/>
      <w:jc w:val="left"/>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167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130"/>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6F1839"/>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B04510"/>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semiHidden/>
    <w:rsid w:val="00167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3EA"/>
    <w:rPr>
      <w:rFonts w:eastAsiaTheme="majorEastAsia" w:cstheme="majorBidi"/>
      <w:color w:val="272727" w:themeColor="text1" w:themeTint="D8"/>
    </w:rPr>
  </w:style>
  <w:style w:type="paragraph" w:styleId="Title">
    <w:name w:val="Title"/>
    <w:basedOn w:val="Normal"/>
    <w:next w:val="Normal"/>
    <w:link w:val="TitleChar"/>
    <w:uiPriority w:val="10"/>
    <w:qFormat/>
    <w:rsid w:val="008C2564"/>
    <w:pPr>
      <w:spacing w:after="8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8C2564"/>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167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3EA"/>
    <w:pPr>
      <w:spacing w:before="160"/>
      <w:jc w:val="center"/>
    </w:pPr>
    <w:rPr>
      <w:i/>
      <w:iCs/>
      <w:color w:val="404040" w:themeColor="text1" w:themeTint="BF"/>
    </w:rPr>
  </w:style>
  <w:style w:type="character" w:customStyle="1" w:styleId="QuoteChar">
    <w:name w:val="Quote Char"/>
    <w:basedOn w:val="DefaultParagraphFont"/>
    <w:link w:val="Quote"/>
    <w:uiPriority w:val="29"/>
    <w:rsid w:val="001673EA"/>
    <w:rPr>
      <w:i/>
      <w:iCs/>
      <w:color w:val="404040" w:themeColor="text1" w:themeTint="BF"/>
    </w:rPr>
  </w:style>
  <w:style w:type="paragraph" w:styleId="ListParagraph">
    <w:name w:val="List Paragraph"/>
    <w:basedOn w:val="Normal"/>
    <w:uiPriority w:val="34"/>
    <w:qFormat/>
    <w:rsid w:val="001673EA"/>
    <w:pPr>
      <w:ind w:left="720"/>
      <w:contextualSpacing/>
    </w:pPr>
  </w:style>
  <w:style w:type="character" w:styleId="IntenseEmphasis">
    <w:name w:val="Intense Emphasis"/>
    <w:basedOn w:val="DefaultParagraphFont"/>
    <w:uiPriority w:val="21"/>
    <w:qFormat/>
    <w:rsid w:val="001673EA"/>
    <w:rPr>
      <w:i/>
      <w:iCs/>
      <w:color w:val="0F4761" w:themeColor="accent1" w:themeShade="BF"/>
    </w:rPr>
  </w:style>
  <w:style w:type="paragraph" w:styleId="IntenseQuote">
    <w:name w:val="Intense Quote"/>
    <w:basedOn w:val="Normal"/>
    <w:next w:val="Normal"/>
    <w:link w:val="IntenseQuoteChar"/>
    <w:uiPriority w:val="30"/>
    <w:qFormat/>
    <w:rsid w:val="00167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3EA"/>
    <w:rPr>
      <w:i/>
      <w:iCs/>
      <w:color w:val="0F4761" w:themeColor="accent1" w:themeShade="BF"/>
    </w:rPr>
  </w:style>
  <w:style w:type="character" w:styleId="IntenseReference">
    <w:name w:val="Intense Reference"/>
    <w:basedOn w:val="DefaultParagraphFont"/>
    <w:uiPriority w:val="32"/>
    <w:qFormat/>
    <w:rsid w:val="001673EA"/>
    <w:rPr>
      <w:b/>
      <w:bCs/>
      <w:smallCaps/>
      <w:color w:val="0F4761" w:themeColor="accent1" w:themeShade="BF"/>
      <w:spacing w:val="5"/>
    </w:rPr>
  </w:style>
  <w:style w:type="paragraph" w:styleId="NormalWeb">
    <w:name w:val="Normal (Web)"/>
    <w:basedOn w:val="Normal"/>
    <w:uiPriority w:val="99"/>
    <w:semiHidden/>
    <w:unhideWhenUsed/>
    <w:rsid w:val="00FC778B"/>
    <w:pPr>
      <w:spacing w:before="100" w:beforeAutospacing="1" w:after="100" w:afterAutospacing="1" w:line="240" w:lineRule="auto"/>
      <w:jc w:val="left"/>
    </w:pPr>
    <w:rPr>
      <w:rFonts w:eastAsia="Times New Roman" w:cs="Times New Roman"/>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602</TotalTime>
  <Pages>15</Pages>
  <Words>4308</Words>
  <Characters>25075</Characters>
  <Application>Microsoft Office Word</Application>
  <DocSecurity>0</DocSecurity>
  <Lines>363</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51</cp:revision>
  <dcterms:created xsi:type="dcterms:W3CDTF">2025-11-15T08:27:00Z</dcterms:created>
  <dcterms:modified xsi:type="dcterms:W3CDTF">2025-11-15T21:20:00Z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017c54f3-e37d-4f11-b16f-83d38a0201ec</vt:lpwstr>
  </property>
</Properties>
</file>