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6FF6F1" w14:textId="1C91B2C5" w:rsidR="007503A8" w:rsidRPr="00CB2157" w:rsidRDefault="007503A8" w:rsidP="00760477">
      <w:pPr>
        <w:jc w:val="center"/>
        <w:rPr>
          <w:b/>
          <w:bCs/>
        </w:rPr>
      </w:pPr>
      <w:r w:rsidRPr="00CB2157">
        <w:rPr>
          <w:b/>
          <w:bCs/>
        </w:rPr>
        <w:t>How an Individual’s Wellbeing May Affect Their Behaviours and Relationships in a Care Setting</w:t>
      </w:r>
    </w:p>
    <w:p w14:paraId="5DB1025A" w14:textId="1DC4F193" w:rsidR="001A06BA" w:rsidRDefault="001A06BA" w:rsidP="00115FE6">
      <w:pPr>
        <w:jc w:val="both"/>
      </w:pPr>
      <w:r w:rsidRPr="001A06BA">
        <w:t xml:space="preserve">To improve the quality of lifestyles in any care environments, towards improving residents’ or patients’ wellbeing, one </w:t>
      </w:r>
      <w:r w:rsidRPr="001A06BA">
        <w:t>must</w:t>
      </w:r>
      <w:r w:rsidRPr="001A06BA">
        <w:t xml:space="preserve"> consider factors that influence physical, emotional, mental and the social wellbeing of residents or patients. The following suggestions can contribute to the overall quality of care, improving the wellbeing of individuals and the environment in which they reside:</w:t>
      </w:r>
    </w:p>
    <w:p w14:paraId="26D3C754" w14:textId="61D90566" w:rsidR="007503A8" w:rsidRPr="00CB2157" w:rsidRDefault="007503A8" w:rsidP="00115FE6">
      <w:pPr>
        <w:jc w:val="both"/>
        <w:rPr>
          <w:b/>
          <w:bCs/>
        </w:rPr>
      </w:pPr>
      <w:r w:rsidRPr="00CB2157">
        <w:rPr>
          <w:b/>
          <w:bCs/>
        </w:rPr>
        <w:t>1. Impact of Wellbeing on Behaviour</w:t>
      </w:r>
    </w:p>
    <w:p w14:paraId="079AD5B6" w14:textId="72F73C37" w:rsidR="007503A8" w:rsidRPr="00CB2157" w:rsidRDefault="007503A8" w:rsidP="00115FE6">
      <w:pPr>
        <w:jc w:val="both"/>
        <w:rPr>
          <w:b/>
          <w:bCs/>
        </w:rPr>
      </w:pPr>
      <w:r w:rsidRPr="00CB2157">
        <w:rPr>
          <w:b/>
          <w:bCs/>
        </w:rPr>
        <w:t>1.1 Positive Wellbeing and Positive Behaviours</w:t>
      </w:r>
    </w:p>
    <w:p w14:paraId="5A055785" w14:textId="77777777" w:rsidR="007503A8" w:rsidRDefault="007503A8" w:rsidP="00115FE6">
      <w:pPr>
        <w:jc w:val="both"/>
      </w:pPr>
      <w:r>
        <w:t xml:space="preserve">When individuals experience high levels of wellbeing, they are more likely to demonstrate positive behaviours:  </w:t>
      </w:r>
    </w:p>
    <w:p w14:paraId="19FB7032" w14:textId="5F2F8B2D" w:rsidR="007503A8" w:rsidRDefault="007503A8" w:rsidP="00115FE6">
      <w:pPr>
        <w:pStyle w:val="ListParagraph"/>
        <w:numPr>
          <w:ilvl w:val="0"/>
          <w:numId w:val="1"/>
        </w:numPr>
        <w:jc w:val="both"/>
      </w:pPr>
      <w:r w:rsidRPr="00CB2157">
        <w:rPr>
          <w:b/>
          <w:bCs/>
        </w:rPr>
        <w:t>Cooperation and Engagement</w:t>
      </w:r>
      <w:r>
        <w:t xml:space="preserve">: </w:t>
      </w:r>
      <w:r w:rsidR="001A06BA" w:rsidRPr="001A06BA">
        <w:t xml:space="preserve">The care givers observe that people with sound mind and emotions would rather participate in care procedures and physical exercises. It might mean that children with ASD show more trust and acceptance toward caregivers than other children (McCormack &amp; McCance, 2017).  </w:t>
      </w:r>
    </w:p>
    <w:p w14:paraId="5E0BF0B3" w14:textId="3794B611" w:rsidR="007503A8" w:rsidRDefault="007503A8" w:rsidP="00115FE6">
      <w:pPr>
        <w:pStyle w:val="ListParagraph"/>
        <w:numPr>
          <w:ilvl w:val="0"/>
          <w:numId w:val="1"/>
        </w:numPr>
        <w:jc w:val="both"/>
      </w:pPr>
      <w:r w:rsidRPr="00CB2157">
        <w:rPr>
          <w:b/>
          <w:bCs/>
        </w:rPr>
        <w:t>Emotional Stability</w:t>
      </w:r>
      <w:r>
        <w:t xml:space="preserve">: </w:t>
      </w:r>
      <w:r w:rsidR="001A06BA" w:rsidRPr="001A06BA">
        <w:t xml:space="preserve">Optimality of physical conditions and personal safety eliminates the propensity for aggression and defence while encouraging a peaceful attitude to alterations or thriving demands in the delivery of care (Ryan &amp; Deci, 2000).  </w:t>
      </w:r>
    </w:p>
    <w:p w14:paraId="1563EEAA" w14:textId="26365937" w:rsidR="007503A8" w:rsidRDefault="007503A8" w:rsidP="00115FE6">
      <w:pPr>
        <w:pStyle w:val="ListParagraph"/>
        <w:numPr>
          <w:ilvl w:val="0"/>
          <w:numId w:val="1"/>
        </w:numPr>
        <w:jc w:val="both"/>
      </w:pPr>
      <w:r w:rsidRPr="00CB2157">
        <w:rPr>
          <w:b/>
          <w:bCs/>
        </w:rPr>
        <w:t>Proactive Self-Care</w:t>
      </w:r>
      <w:r>
        <w:t xml:space="preserve">: </w:t>
      </w:r>
      <w:r w:rsidR="001A06BA" w:rsidRPr="001A06BA">
        <w:t xml:space="preserve">Feelings of positive health are also likely to encourage engagement in health enhancing </w:t>
      </w:r>
      <w:r w:rsidR="001A06BA" w:rsidRPr="001A06BA">
        <w:t>behaviours</w:t>
      </w:r>
      <w:r w:rsidR="001A06BA" w:rsidRPr="001A06BA">
        <w:t xml:space="preserve"> such as washing, cooking, or taking one’s medication.  </w:t>
      </w:r>
    </w:p>
    <w:p w14:paraId="35C7BC8F" w14:textId="39E02E45" w:rsidR="007503A8" w:rsidRPr="00CB2157" w:rsidRDefault="007503A8" w:rsidP="00115FE6">
      <w:pPr>
        <w:jc w:val="both"/>
        <w:rPr>
          <w:b/>
          <w:bCs/>
        </w:rPr>
      </w:pPr>
      <w:r w:rsidRPr="00CB2157">
        <w:rPr>
          <w:b/>
          <w:bCs/>
        </w:rPr>
        <w:t xml:space="preserve">1.2 Poor Wellbeing and Negative Behaviours  </w:t>
      </w:r>
    </w:p>
    <w:p w14:paraId="4A999AC2" w14:textId="77777777" w:rsidR="007503A8" w:rsidRDefault="007503A8" w:rsidP="00115FE6">
      <w:pPr>
        <w:jc w:val="both"/>
      </w:pPr>
      <w:r>
        <w:t xml:space="preserve">Conversely, when individuals experience poor wellbeing, their behaviours can become challenging or withdrawn:  </w:t>
      </w:r>
    </w:p>
    <w:p w14:paraId="6B9329E3" w14:textId="77777777" w:rsidR="003069D8" w:rsidRDefault="007503A8" w:rsidP="00115FE6">
      <w:pPr>
        <w:pStyle w:val="ListParagraph"/>
        <w:numPr>
          <w:ilvl w:val="0"/>
          <w:numId w:val="2"/>
        </w:numPr>
        <w:jc w:val="both"/>
      </w:pPr>
      <w:r w:rsidRPr="003069D8">
        <w:rPr>
          <w:b/>
          <w:bCs/>
        </w:rPr>
        <w:t>Agitation and Aggression</w:t>
      </w:r>
      <w:r>
        <w:t xml:space="preserve">: </w:t>
      </w:r>
      <w:r w:rsidR="003069D8" w:rsidRPr="003069D8">
        <w:t xml:space="preserve">Pain that is longstanding, depression or behoof which are unfulfilled may cause such symptoms as agitation, irritability, aggression especially where the patient has dementia or other cognitive disorders (NICE 2018).  </w:t>
      </w:r>
    </w:p>
    <w:p w14:paraId="0FD0304F" w14:textId="66A17D44" w:rsidR="007503A8" w:rsidRDefault="007503A8" w:rsidP="00115FE6">
      <w:pPr>
        <w:pStyle w:val="ListParagraph"/>
        <w:numPr>
          <w:ilvl w:val="0"/>
          <w:numId w:val="2"/>
        </w:numPr>
        <w:jc w:val="both"/>
      </w:pPr>
      <w:r w:rsidRPr="003069D8">
        <w:rPr>
          <w:b/>
          <w:bCs/>
        </w:rPr>
        <w:t>Social Withdrawal</w:t>
      </w:r>
      <w:r>
        <w:t xml:space="preserve">: </w:t>
      </w:r>
      <w:r w:rsidR="003069D8" w:rsidRPr="003069D8">
        <w:t xml:space="preserve">Mental diseases including depression or anxiety make a child reject to be around other people or had difficulty in speaking to caregivers and peers (Holt-Lunstad et al., 2015).  </w:t>
      </w:r>
    </w:p>
    <w:p w14:paraId="0CC6608E" w14:textId="331FD60D" w:rsidR="00CB2157" w:rsidRDefault="007503A8" w:rsidP="00115FE6">
      <w:pPr>
        <w:pStyle w:val="ListParagraph"/>
        <w:numPr>
          <w:ilvl w:val="0"/>
          <w:numId w:val="2"/>
        </w:numPr>
        <w:jc w:val="both"/>
      </w:pPr>
      <w:r w:rsidRPr="00CB2157">
        <w:rPr>
          <w:b/>
          <w:bCs/>
        </w:rPr>
        <w:t>Resistance to Care</w:t>
      </w:r>
      <w:r>
        <w:t xml:space="preserve">: </w:t>
      </w:r>
      <w:r w:rsidR="003069D8" w:rsidRPr="003069D8">
        <w:t xml:space="preserve">Poor well-being turns people into passive recipients of care interventions due to what feels like lack of power they possess. For instance, people with low career trust can withdraw themselves from it.  </w:t>
      </w:r>
    </w:p>
    <w:p w14:paraId="7A4BC51A" w14:textId="77777777" w:rsidR="00115FE6" w:rsidRPr="00115FE6" w:rsidRDefault="00115FE6" w:rsidP="00115FE6">
      <w:pPr>
        <w:pStyle w:val="ListParagraph"/>
        <w:jc w:val="both"/>
      </w:pPr>
    </w:p>
    <w:p w14:paraId="112EE7F2" w14:textId="3172F045" w:rsidR="007503A8" w:rsidRPr="00CB2157" w:rsidRDefault="007503A8" w:rsidP="00115FE6">
      <w:pPr>
        <w:jc w:val="both"/>
        <w:rPr>
          <w:b/>
          <w:bCs/>
        </w:rPr>
      </w:pPr>
      <w:r w:rsidRPr="00CB2157">
        <w:rPr>
          <w:b/>
          <w:bCs/>
        </w:rPr>
        <w:t>2. Impact of Wellbeing on Relationships</w:t>
      </w:r>
    </w:p>
    <w:p w14:paraId="4F84F2CC" w14:textId="475A95AB" w:rsidR="007503A8" w:rsidRPr="00CB2157" w:rsidRDefault="007503A8" w:rsidP="00115FE6">
      <w:pPr>
        <w:jc w:val="both"/>
        <w:rPr>
          <w:b/>
          <w:bCs/>
        </w:rPr>
      </w:pPr>
      <w:r w:rsidRPr="00CB2157">
        <w:rPr>
          <w:b/>
          <w:bCs/>
        </w:rPr>
        <w:t>2.1 Positive Wellbeing and Healthy Relationships</w:t>
      </w:r>
    </w:p>
    <w:p w14:paraId="3A636BAE" w14:textId="04D18F63" w:rsidR="007503A8" w:rsidRDefault="007503A8" w:rsidP="00115FE6">
      <w:pPr>
        <w:pStyle w:val="ListParagraph"/>
        <w:numPr>
          <w:ilvl w:val="0"/>
          <w:numId w:val="3"/>
        </w:numPr>
        <w:jc w:val="both"/>
      </w:pPr>
      <w:r w:rsidRPr="00CB2157">
        <w:rPr>
          <w:b/>
          <w:bCs/>
        </w:rPr>
        <w:t>Trust and Respect</w:t>
      </w:r>
      <w:r>
        <w:t xml:space="preserve">: </w:t>
      </w:r>
      <w:r w:rsidR="00675E9F" w:rsidRPr="00675E9F">
        <w:t xml:space="preserve">Positive wellbeing hence means likely positive effective and mutual respect relationships between individual and caregivers as well as peers. At times respect leads to improved quality of care for clients and more effective communication between professionals (Baumeister &amp; Leary, 1995).  </w:t>
      </w:r>
    </w:p>
    <w:p w14:paraId="1326B773" w14:textId="3740FBD6" w:rsidR="007503A8" w:rsidRDefault="007503A8" w:rsidP="00115FE6">
      <w:pPr>
        <w:pStyle w:val="ListParagraph"/>
        <w:numPr>
          <w:ilvl w:val="0"/>
          <w:numId w:val="3"/>
        </w:numPr>
        <w:jc w:val="both"/>
      </w:pPr>
      <w:r w:rsidRPr="00CB2157">
        <w:rPr>
          <w:b/>
          <w:bCs/>
        </w:rPr>
        <w:lastRenderedPageBreak/>
        <w:t>Active Participation in Social Networks</w:t>
      </w:r>
      <w:r>
        <w:t xml:space="preserve">: </w:t>
      </w:r>
      <w:r w:rsidR="00675E9F" w:rsidRPr="00675E9F">
        <w:t xml:space="preserve">Psychological and physiological health motivates people to engage in activities of togetherness leading to formation of groups leading to feelings of togetherness.  </w:t>
      </w:r>
    </w:p>
    <w:p w14:paraId="4F5863F5" w14:textId="77777777" w:rsidR="007503A8" w:rsidRDefault="007503A8" w:rsidP="007503A8"/>
    <w:p w14:paraId="0CFF9C27" w14:textId="6E12EF56" w:rsidR="007503A8" w:rsidRDefault="007503A8" w:rsidP="00115FE6">
      <w:pPr>
        <w:jc w:val="both"/>
      </w:pPr>
      <w:r w:rsidRPr="00CB2157">
        <w:rPr>
          <w:b/>
          <w:bCs/>
        </w:rPr>
        <w:t>2.2 Poor Wellbeing and Strained Relationships</w:t>
      </w:r>
    </w:p>
    <w:p w14:paraId="67D92921" w14:textId="68EB3CFC" w:rsidR="00675E9F" w:rsidRPr="00675E9F" w:rsidRDefault="00675E9F" w:rsidP="00675E9F">
      <w:pPr>
        <w:pStyle w:val="ListParagraph"/>
        <w:numPr>
          <w:ilvl w:val="0"/>
          <w:numId w:val="9"/>
        </w:numPr>
        <w:ind w:left="709" w:hanging="283"/>
        <w:jc w:val="both"/>
        <w:rPr>
          <w:b/>
          <w:bCs/>
        </w:rPr>
      </w:pPr>
      <w:r w:rsidRPr="00675E9F">
        <w:rPr>
          <w:b/>
          <w:bCs/>
        </w:rPr>
        <w:t xml:space="preserve">Breakdown of Communication: </w:t>
      </w:r>
      <w:r>
        <w:t>S</w:t>
      </w:r>
      <w:r w:rsidRPr="00675E9F">
        <w:t>tudies revealed that mental</w:t>
      </w:r>
      <w:r w:rsidRPr="00675E9F">
        <w:t xml:space="preserve"> </w:t>
      </w:r>
      <w:r w:rsidRPr="00675E9F">
        <w:t>or emotional instability that includes anxiety or force can worsen communication between users and their carers because of misunderstandings or conflicts.</w:t>
      </w:r>
      <w:r w:rsidRPr="00675E9F">
        <w:rPr>
          <w:b/>
          <w:bCs/>
        </w:rPr>
        <w:t xml:space="preserve">  </w:t>
      </w:r>
    </w:p>
    <w:p w14:paraId="110BD28C" w14:textId="6D8DC042" w:rsidR="00675E9F" w:rsidRPr="00675E9F" w:rsidRDefault="00675E9F" w:rsidP="00675E9F">
      <w:pPr>
        <w:pStyle w:val="ListParagraph"/>
        <w:numPr>
          <w:ilvl w:val="0"/>
          <w:numId w:val="9"/>
        </w:numPr>
        <w:ind w:left="709" w:hanging="283"/>
        <w:jc w:val="both"/>
        <w:rPr>
          <w:b/>
          <w:bCs/>
        </w:rPr>
      </w:pPr>
      <w:r w:rsidRPr="00675E9F">
        <w:rPr>
          <w:b/>
          <w:bCs/>
        </w:rPr>
        <w:t xml:space="preserve">Dependence or Co-dependence: </w:t>
      </w:r>
      <w:r w:rsidRPr="00675E9F">
        <w:t>When physical or emotional health is low, relationships may turn into dependency that in turn may be frustrating for both the caregiver and the dependents</w:t>
      </w:r>
      <w:r w:rsidRPr="00675E9F">
        <w:rPr>
          <w:b/>
          <w:bCs/>
        </w:rPr>
        <w:t xml:space="preserve">.  </w:t>
      </w:r>
    </w:p>
    <w:p w14:paraId="5190C5BC" w14:textId="740D2D0D" w:rsidR="00115FE6" w:rsidRDefault="00675E9F" w:rsidP="00675E9F">
      <w:pPr>
        <w:pStyle w:val="ListParagraph"/>
        <w:numPr>
          <w:ilvl w:val="0"/>
          <w:numId w:val="9"/>
        </w:numPr>
        <w:ind w:left="709" w:hanging="283"/>
        <w:jc w:val="both"/>
      </w:pPr>
      <w:r w:rsidRPr="00675E9F">
        <w:rPr>
          <w:b/>
          <w:bCs/>
        </w:rPr>
        <w:t xml:space="preserve">Isolation and Loneliness: </w:t>
      </w:r>
      <w:r w:rsidRPr="00675E9F">
        <w:t xml:space="preserve">Inability to maintain good wellbeing make individuals pull out from social related activities, this erodes bonding with family members, caregivers, as well as peers. What we see is that it has the potential to drive more ill mental health from individuals continuing their isolation, which in turn weakens those social connections even further (Holt-Lunstad et al., 2015).  </w:t>
      </w:r>
    </w:p>
    <w:p w14:paraId="277F518F" w14:textId="22474A3C" w:rsidR="007503A8" w:rsidRPr="00115FE6" w:rsidRDefault="007503A8" w:rsidP="00115FE6">
      <w:pPr>
        <w:jc w:val="both"/>
        <w:rPr>
          <w:b/>
          <w:bCs/>
        </w:rPr>
      </w:pPr>
      <w:r w:rsidRPr="00115FE6">
        <w:rPr>
          <w:b/>
          <w:bCs/>
        </w:rPr>
        <w:t>3. Considerations for Caregivers</w:t>
      </w:r>
    </w:p>
    <w:p w14:paraId="7BA2156F" w14:textId="6646D00A" w:rsidR="007503A8" w:rsidRPr="00115FE6" w:rsidRDefault="007503A8" w:rsidP="00115FE6">
      <w:pPr>
        <w:jc w:val="both"/>
        <w:rPr>
          <w:b/>
          <w:bCs/>
        </w:rPr>
      </w:pPr>
      <w:r w:rsidRPr="00115FE6">
        <w:rPr>
          <w:b/>
          <w:bCs/>
        </w:rPr>
        <w:t>3.1 Promoting Positive Wellbeing</w:t>
      </w:r>
    </w:p>
    <w:p w14:paraId="141D3FC8" w14:textId="77777777" w:rsidR="007503A8" w:rsidRDefault="007503A8" w:rsidP="00115FE6">
      <w:pPr>
        <w:jc w:val="both"/>
      </w:pPr>
      <w:r>
        <w:t xml:space="preserve">Caregivers play a critical role in enhancing wellbeing and preventing behaviours that can strain relationships:  </w:t>
      </w:r>
    </w:p>
    <w:p w14:paraId="4124AA42" w14:textId="2A45DCE3" w:rsidR="007503A8" w:rsidRDefault="007503A8" w:rsidP="00115FE6">
      <w:pPr>
        <w:pStyle w:val="ListParagraph"/>
        <w:numPr>
          <w:ilvl w:val="1"/>
          <w:numId w:val="5"/>
        </w:numPr>
        <w:ind w:left="709" w:hanging="283"/>
        <w:jc w:val="both"/>
      </w:pPr>
      <w:r w:rsidRPr="00115FE6">
        <w:rPr>
          <w:b/>
          <w:bCs/>
        </w:rPr>
        <w:t>Holistic Care</w:t>
      </w:r>
      <w:r>
        <w:t xml:space="preserve">: </w:t>
      </w:r>
      <w:r w:rsidR="00675E9F" w:rsidRPr="00675E9F">
        <w:t>Catering for physical, emotional and social wellbeing lets a person know that he or she is not alone in stages of illness (McCormack &amp; McCance, 2017).</w:t>
      </w:r>
    </w:p>
    <w:p w14:paraId="36A46E35" w14:textId="5FD9B88E" w:rsidR="007503A8" w:rsidRDefault="007503A8" w:rsidP="00115FE6">
      <w:pPr>
        <w:pStyle w:val="ListParagraph"/>
        <w:numPr>
          <w:ilvl w:val="1"/>
          <w:numId w:val="5"/>
        </w:numPr>
        <w:ind w:left="709" w:hanging="283"/>
        <w:jc w:val="both"/>
      </w:pPr>
      <w:r w:rsidRPr="00115FE6">
        <w:rPr>
          <w:b/>
          <w:bCs/>
        </w:rPr>
        <w:t>Effective Communication</w:t>
      </w:r>
      <w:r>
        <w:t xml:space="preserve">: </w:t>
      </w:r>
      <w:r w:rsidR="00675E9F" w:rsidRPr="00675E9F">
        <w:t>Positive communication also reduces negativity, so clarity and compassion ensure that everyone can be trusted.</w:t>
      </w:r>
    </w:p>
    <w:p w14:paraId="66A600AA" w14:textId="60B358D2" w:rsidR="007503A8" w:rsidRPr="00115FE6" w:rsidRDefault="007503A8" w:rsidP="00115FE6">
      <w:pPr>
        <w:jc w:val="both"/>
        <w:rPr>
          <w:b/>
          <w:bCs/>
        </w:rPr>
      </w:pPr>
      <w:r w:rsidRPr="00115FE6">
        <w:rPr>
          <w:b/>
          <w:bCs/>
        </w:rPr>
        <w:t>3.2 Responding to Negative Behaviours</w:t>
      </w:r>
    </w:p>
    <w:p w14:paraId="09746309" w14:textId="41C85FB8" w:rsidR="007503A8" w:rsidRDefault="007503A8" w:rsidP="00115FE6">
      <w:pPr>
        <w:pStyle w:val="ListParagraph"/>
        <w:numPr>
          <w:ilvl w:val="0"/>
          <w:numId w:val="7"/>
        </w:numPr>
        <w:jc w:val="both"/>
      </w:pPr>
      <w:r w:rsidRPr="00115FE6">
        <w:rPr>
          <w:b/>
          <w:bCs/>
        </w:rPr>
        <w:t>Understanding Underlying Causes</w:t>
      </w:r>
      <w:r>
        <w:t xml:space="preserve">: </w:t>
      </w:r>
      <w:r w:rsidR="005F0160" w:rsidRPr="005F0160">
        <w:t xml:space="preserve">Carers </w:t>
      </w:r>
      <w:r w:rsidR="005F0160" w:rsidRPr="005F0160">
        <w:t>must</w:t>
      </w:r>
      <w:r w:rsidR="005F0160" w:rsidRPr="005F0160">
        <w:t xml:space="preserve"> recognize stimuli including pain, need’s unsatisfaction, or fear that causes aggressive </w:t>
      </w:r>
      <w:r w:rsidR="005F0160" w:rsidRPr="005F0160">
        <w:t>behaviours</w:t>
      </w:r>
      <w:r w:rsidR="005F0160" w:rsidRPr="005F0160">
        <w:t>.</w:t>
      </w:r>
    </w:p>
    <w:p w14:paraId="51080B9D" w14:textId="4683474B" w:rsidR="007503A8" w:rsidRDefault="007503A8" w:rsidP="00115FE6">
      <w:pPr>
        <w:pStyle w:val="ListParagraph"/>
        <w:numPr>
          <w:ilvl w:val="0"/>
          <w:numId w:val="7"/>
        </w:numPr>
        <w:jc w:val="both"/>
      </w:pPr>
      <w:r w:rsidRPr="00115FE6">
        <w:rPr>
          <w:b/>
          <w:bCs/>
        </w:rPr>
        <w:t>De-escalation Strategies</w:t>
      </w:r>
      <w:r>
        <w:t xml:space="preserve">: </w:t>
      </w:r>
      <w:r w:rsidR="005F0160" w:rsidRPr="005F0160">
        <w:t>Sweet talking or avoiding was also helpful in keeping people calm especially when they are prone to getting into confrontations.</w:t>
      </w:r>
    </w:p>
    <w:p w14:paraId="12FC6BA0" w14:textId="77777777" w:rsidR="007503A8" w:rsidRDefault="007503A8" w:rsidP="007503A8"/>
    <w:p w14:paraId="78B98C5F" w14:textId="46595A9B" w:rsidR="007503A8" w:rsidRPr="00115FE6" w:rsidRDefault="007503A8" w:rsidP="007503A8">
      <w:pPr>
        <w:rPr>
          <w:b/>
          <w:bCs/>
        </w:rPr>
      </w:pPr>
      <w:r w:rsidRPr="00115FE6">
        <w:rPr>
          <w:b/>
          <w:bCs/>
        </w:rPr>
        <w:t>Conclusion</w:t>
      </w:r>
    </w:p>
    <w:p w14:paraId="3A646631" w14:textId="1743D4A2" w:rsidR="007503A8" w:rsidRDefault="005F0160" w:rsidP="007503A8">
      <w:r w:rsidRPr="005F0160">
        <w:t xml:space="preserve">Essentially, the quality of an individual reflects the behaviours as well as interpersonal interactions in a care context. Optimal levels of positive wellbeing encourage workers to promote friendly </w:t>
      </w:r>
      <w:r w:rsidRPr="005F0160">
        <w:t>relationship and</w:t>
      </w:r>
      <w:r w:rsidRPr="005F0160">
        <w:t xml:space="preserve"> maintain cooperative behaviours more often than negative behaviours while poor wellbeing leads to strained interaction, negative behaviours and social isolation. One </w:t>
      </w:r>
      <w:proofErr w:type="gramStart"/>
      <w:r w:rsidRPr="005F0160">
        <w:t>has to</w:t>
      </w:r>
      <w:proofErr w:type="gramEnd"/>
      <w:r w:rsidRPr="005F0160">
        <w:t xml:space="preserve"> agree with the notion that to meet human’s needs, the caregivers have to take an individual approach to develop the </w:t>
      </w:r>
      <w:r w:rsidRPr="005F0160">
        <w:t>favourable</w:t>
      </w:r>
      <w:r w:rsidRPr="005F0160">
        <w:t xml:space="preserve"> cooperation.</w:t>
      </w:r>
    </w:p>
    <w:p w14:paraId="38B139DF" w14:textId="77777777" w:rsidR="007503A8" w:rsidRDefault="007503A8" w:rsidP="007503A8"/>
    <w:p w14:paraId="15DED872" w14:textId="2570AF28" w:rsidR="007503A8" w:rsidRPr="0042041F" w:rsidRDefault="007503A8" w:rsidP="00760477">
      <w:pPr>
        <w:jc w:val="center"/>
        <w:rPr>
          <w:b/>
          <w:bCs/>
        </w:rPr>
      </w:pPr>
      <w:r w:rsidRPr="0042041F">
        <w:rPr>
          <w:b/>
          <w:bCs/>
        </w:rPr>
        <w:lastRenderedPageBreak/>
        <w:t>Engaging and Involving Individuals in Monitoring Their Health and Well-being in a Care Setting</w:t>
      </w:r>
    </w:p>
    <w:p w14:paraId="6616E82F" w14:textId="0FC21075" w:rsidR="0096043B" w:rsidRDefault="0096043B" w:rsidP="0042041F">
      <w:pPr>
        <w:jc w:val="both"/>
      </w:pPr>
      <w:r w:rsidRPr="0096043B">
        <w:t xml:space="preserve">Informing and employing people in the observation of their state of health and general body system brings out the aspect of </w:t>
      </w:r>
      <w:r w:rsidRPr="0096043B">
        <w:t>self-care</w:t>
      </w:r>
      <w:r w:rsidRPr="0096043B">
        <w:t xml:space="preserve"> in them. It empowers patients, increases compliance with the established treatment plans, as well as outcomes. However, it helps to look more deeply into specification, information transfer, the application of the right tools, support and education in a specific care setting.  </w:t>
      </w:r>
    </w:p>
    <w:p w14:paraId="418135AE" w14:textId="373ACEA9" w:rsidR="007503A8" w:rsidRPr="0042041F" w:rsidRDefault="007503A8" w:rsidP="0042041F">
      <w:pPr>
        <w:jc w:val="both"/>
        <w:rPr>
          <w:b/>
          <w:bCs/>
        </w:rPr>
      </w:pPr>
      <w:r w:rsidRPr="0042041F">
        <w:rPr>
          <w:b/>
          <w:bCs/>
        </w:rPr>
        <w:t xml:space="preserve">1. Encouraging Active Participation  </w:t>
      </w:r>
    </w:p>
    <w:p w14:paraId="14F52E94" w14:textId="7D7F3201" w:rsidR="007503A8" w:rsidRPr="0042041F" w:rsidRDefault="007503A8" w:rsidP="0042041F">
      <w:pPr>
        <w:jc w:val="both"/>
        <w:rPr>
          <w:b/>
          <w:bCs/>
        </w:rPr>
      </w:pPr>
      <w:r w:rsidRPr="0042041F">
        <w:rPr>
          <w:b/>
          <w:bCs/>
        </w:rPr>
        <w:t xml:space="preserve">1.1 Educating Individuals about Their Health  </w:t>
      </w:r>
    </w:p>
    <w:p w14:paraId="1D08997E" w14:textId="77777777" w:rsidR="007503A8" w:rsidRDefault="007503A8" w:rsidP="0042041F">
      <w:pPr>
        <w:jc w:val="both"/>
      </w:pPr>
      <w:r>
        <w:t xml:space="preserve">Providing information about their condition, treatment options, and potential outcomes empowers individuals to make informed decisions:  </w:t>
      </w:r>
    </w:p>
    <w:p w14:paraId="4B46ADCA" w14:textId="3AE41DFF" w:rsidR="0042041F" w:rsidRDefault="007503A8" w:rsidP="0042041F">
      <w:pPr>
        <w:pStyle w:val="ListParagraph"/>
        <w:numPr>
          <w:ilvl w:val="0"/>
          <w:numId w:val="10"/>
        </w:numPr>
        <w:ind w:left="851" w:hanging="425"/>
        <w:jc w:val="both"/>
      </w:pPr>
      <w:r w:rsidRPr="0042041F">
        <w:rPr>
          <w:b/>
          <w:bCs/>
        </w:rPr>
        <w:t>Health Education</w:t>
      </w:r>
      <w:r>
        <w:t xml:space="preserve">: </w:t>
      </w:r>
      <w:r w:rsidR="000A062D" w:rsidRPr="000A062D">
        <w:t>Health care professionals should explain an individual state of health in words they will understand by using illustrations or simple language in cases where required (NICE, 2016).</w:t>
      </w:r>
    </w:p>
    <w:p w14:paraId="108C05F9" w14:textId="575449E2" w:rsidR="007503A8" w:rsidRDefault="007503A8" w:rsidP="007503A8">
      <w:pPr>
        <w:pStyle w:val="ListParagraph"/>
        <w:numPr>
          <w:ilvl w:val="0"/>
          <w:numId w:val="10"/>
        </w:numPr>
        <w:ind w:left="851" w:hanging="425"/>
        <w:jc w:val="both"/>
      </w:pPr>
      <w:r w:rsidRPr="0042041F">
        <w:rPr>
          <w:b/>
          <w:bCs/>
        </w:rPr>
        <w:t>Awareness Programs</w:t>
      </w:r>
      <w:r>
        <w:t xml:space="preserve">: </w:t>
      </w:r>
      <w:r w:rsidR="000A062D" w:rsidRPr="000A062D">
        <w:t>Among the benefits of health education are that structured programme may enhance understanding of health, ownership of health status and vacations from diseases due to lifestyles, (World Health Organization, 2021).</w:t>
      </w:r>
    </w:p>
    <w:p w14:paraId="66CDD754" w14:textId="389F65B9" w:rsidR="007503A8" w:rsidRPr="0042041F" w:rsidRDefault="007503A8" w:rsidP="007503A8">
      <w:pPr>
        <w:rPr>
          <w:b/>
          <w:bCs/>
        </w:rPr>
      </w:pPr>
      <w:r w:rsidRPr="0042041F">
        <w:rPr>
          <w:b/>
          <w:bCs/>
        </w:rPr>
        <w:t>1.2 Involving Individuals in Goal Setting</w:t>
      </w:r>
    </w:p>
    <w:p w14:paraId="01CAA25D" w14:textId="77777777" w:rsidR="007503A8" w:rsidRDefault="007503A8" w:rsidP="007503A8">
      <w:r>
        <w:t xml:space="preserve">Collaborating with individuals to set achievable health goals promotes engagement:  </w:t>
      </w:r>
    </w:p>
    <w:p w14:paraId="55C36C07" w14:textId="26FD162E" w:rsidR="007503A8" w:rsidRDefault="007503A8" w:rsidP="0042041F">
      <w:pPr>
        <w:pStyle w:val="ListParagraph"/>
        <w:numPr>
          <w:ilvl w:val="0"/>
          <w:numId w:val="12"/>
        </w:numPr>
        <w:jc w:val="both"/>
      </w:pPr>
      <w:r w:rsidRPr="0042041F">
        <w:rPr>
          <w:b/>
          <w:bCs/>
        </w:rPr>
        <w:t>Personalized Care Plans</w:t>
      </w:r>
      <w:r>
        <w:t xml:space="preserve">: </w:t>
      </w:r>
      <w:r w:rsidR="000A062D" w:rsidRPr="000A062D">
        <w:t>Collaboratively setting goals and nursing care documents that reflected their personal desire and belief system increased the patients’ commitment to their care (McCormack &amp; McCance, 2017).</w:t>
      </w:r>
    </w:p>
    <w:p w14:paraId="308651A2" w14:textId="53A95AAC" w:rsidR="007503A8" w:rsidRDefault="007503A8" w:rsidP="007503A8">
      <w:pPr>
        <w:pStyle w:val="ListParagraph"/>
        <w:numPr>
          <w:ilvl w:val="0"/>
          <w:numId w:val="12"/>
        </w:numPr>
        <w:jc w:val="both"/>
      </w:pPr>
      <w:r w:rsidRPr="0042041F">
        <w:rPr>
          <w:b/>
          <w:bCs/>
        </w:rPr>
        <w:t>Short- and Long-term Goals</w:t>
      </w:r>
      <w:r>
        <w:t xml:space="preserve">: </w:t>
      </w:r>
      <w:r w:rsidR="000A062D" w:rsidRPr="000A062D">
        <w:t>Subscribing goals into specific objectives assists one in tracking one’s progress and remain determined.</w:t>
      </w:r>
    </w:p>
    <w:p w14:paraId="2BF66F92" w14:textId="1E853BE8" w:rsidR="007503A8" w:rsidRPr="00390799" w:rsidRDefault="007503A8" w:rsidP="007503A8">
      <w:pPr>
        <w:rPr>
          <w:b/>
          <w:bCs/>
        </w:rPr>
      </w:pPr>
      <w:r w:rsidRPr="00390799">
        <w:rPr>
          <w:b/>
          <w:bCs/>
        </w:rPr>
        <w:t>1.3 Promoting Self-Monitoring</w:t>
      </w:r>
    </w:p>
    <w:p w14:paraId="282304F7" w14:textId="77777777" w:rsidR="007503A8" w:rsidRDefault="007503A8" w:rsidP="00390799">
      <w:pPr>
        <w:jc w:val="both"/>
      </w:pPr>
      <w:r>
        <w:t xml:space="preserve">Providing tools and techniques for self-monitoring encourages individuals to take responsibility for their health:  </w:t>
      </w:r>
    </w:p>
    <w:p w14:paraId="5D6E2089" w14:textId="4571BE3C" w:rsidR="00390799" w:rsidRDefault="007503A8" w:rsidP="00390799">
      <w:pPr>
        <w:pStyle w:val="ListParagraph"/>
        <w:numPr>
          <w:ilvl w:val="0"/>
          <w:numId w:val="14"/>
        </w:numPr>
        <w:jc w:val="both"/>
      </w:pPr>
      <w:r w:rsidRPr="00390799">
        <w:rPr>
          <w:b/>
          <w:bCs/>
        </w:rPr>
        <w:t>Health Journals</w:t>
      </w:r>
      <w:r>
        <w:t xml:space="preserve">: </w:t>
      </w:r>
      <w:r w:rsidR="000A062D" w:rsidRPr="000A062D">
        <w:t>Asking people to keep a record of the symptoms, medicines, or their mood will help to establish connection and, therefore, progression.</w:t>
      </w:r>
    </w:p>
    <w:p w14:paraId="2C65F071" w14:textId="7716B267" w:rsidR="007503A8" w:rsidRDefault="007503A8" w:rsidP="00390799">
      <w:pPr>
        <w:pStyle w:val="ListParagraph"/>
        <w:numPr>
          <w:ilvl w:val="0"/>
          <w:numId w:val="14"/>
        </w:numPr>
        <w:jc w:val="both"/>
      </w:pPr>
      <w:r w:rsidRPr="00390799">
        <w:rPr>
          <w:b/>
          <w:bCs/>
        </w:rPr>
        <w:t>Wearable Technology</w:t>
      </w:r>
      <w:r>
        <w:t xml:space="preserve">: </w:t>
      </w:r>
      <w:r w:rsidR="000A062D" w:rsidRPr="000A062D">
        <w:t>Health technologies – exercise, blood pressure, or glucose monitor – allow for the continuous surveillance of health markers (Lupton, 2018).</w:t>
      </w:r>
    </w:p>
    <w:p w14:paraId="40C6D0B0" w14:textId="77777777" w:rsidR="00390799" w:rsidRDefault="00390799" w:rsidP="007503A8"/>
    <w:p w14:paraId="0B4F5E04" w14:textId="52CD49DF" w:rsidR="007503A8" w:rsidRPr="00390799" w:rsidRDefault="007503A8" w:rsidP="007503A8">
      <w:pPr>
        <w:rPr>
          <w:b/>
          <w:bCs/>
        </w:rPr>
      </w:pPr>
      <w:r w:rsidRPr="00390799">
        <w:rPr>
          <w:b/>
          <w:bCs/>
        </w:rPr>
        <w:t xml:space="preserve">2. Enhancing Communication and Collaboration  </w:t>
      </w:r>
    </w:p>
    <w:p w14:paraId="7ED684FC" w14:textId="6E419A35" w:rsidR="007503A8" w:rsidRPr="00390799" w:rsidRDefault="007503A8" w:rsidP="007503A8">
      <w:pPr>
        <w:rPr>
          <w:b/>
          <w:bCs/>
        </w:rPr>
      </w:pPr>
      <w:r w:rsidRPr="00390799">
        <w:rPr>
          <w:b/>
          <w:bCs/>
        </w:rPr>
        <w:t>2.1 Building Trust and Rapport</w:t>
      </w:r>
    </w:p>
    <w:p w14:paraId="06B8A6F8" w14:textId="77777777" w:rsidR="007503A8" w:rsidRDefault="007503A8" w:rsidP="0096043B">
      <w:pPr>
        <w:jc w:val="both"/>
      </w:pPr>
      <w:r>
        <w:t xml:space="preserve">Establishing a strong relationship between care providers and individuals creates an environment where individuals feel valued and supported:  </w:t>
      </w:r>
    </w:p>
    <w:p w14:paraId="74EA2F76" w14:textId="0ED81D72" w:rsidR="007503A8" w:rsidRDefault="007503A8" w:rsidP="0096043B">
      <w:pPr>
        <w:pStyle w:val="ListParagraph"/>
        <w:numPr>
          <w:ilvl w:val="1"/>
          <w:numId w:val="16"/>
        </w:numPr>
        <w:jc w:val="both"/>
      </w:pPr>
      <w:r w:rsidRPr="00390799">
        <w:rPr>
          <w:b/>
          <w:bCs/>
        </w:rPr>
        <w:lastRenderedPageBreak/>
        <w:t>Active Listening</w:t>
      </w:r>
      <w:r>
        <w:t xml:space="preserve">: </w:t>
      </w:r>
      <w:r w:rsidR="000A062D" w:rsidRPr="000A062D">
        <w:t xml:space="preserve">To ensure the patients disclose some of these aspects it is prudent to show compass when addressing health care issues(McCabe </w:t>
      </w:r>
      <w:r w:rsidR="000A062D">
        <w:t>&amp;</w:t>
      </w:r>
      <w:r w:rsidR="000A062D" w:rsidRPr="000A062D">
        <w:t xml:space="preserve"> Timmins, 2013).</w:t>
      </w:r>
    </w:p>
    <w:p w14:paraId="572BCAFC" w14:textId="3E20D811" w:rsidR="007503A8" w:rsidRDefault="007503A8" w:rsidP="0096043B">
      <w:pPr>
        <w:pStyle w:val="ListParagraph"/>
        <w:numPr>
          <w:ilvl w:val="1"/>
          <w:numId w:val="16"/>
        </w:numPr>
        <w:jc w:val="both"/>
      </w:pPr>
      <w:r w:rsidRPr="00390799">
        <w:rPr>
          <w:b/>
          <w:bCs/>
        </w:rPr>
        <w:t>Shared Decision-Making</w:t>
      </w:r>
      <w:r>
        <w:t xml:space="preserve">: </w:t>
      </w:r>
      <w:r w:rsidR="000A062D" w:rsidRPr="000A062D">
        <w:t>Self-assertiveness means that a person has his or her say in choices concerning his or her care.</w:t>
      </w:r>
    </w:p>
    <w:p w14:paraId="7DA62FBC" w14:textId="1DA84726" w:rsidR="007503A8" w:rsidRDefault="007503A8" w:rsidP="0096043B">
      <w:pPr>
        <w:jc w:val="both"/>
      </w:pPr>
      <w:r w:rsidRPr="00390799">
        <w:rPr>
          <w:b/>
          <w:bCs/>
        </w:rPr>
        <w:t>2.2 Providing Feedback and Encouragement</w:t>
      </w:r>
    </w:p>
    <w:p w14:paraId="6B8231DC" w14:textId="77777777" w:rsidR="007503A8" w:rsidRDefault="007503A8" w:rsidP="0096043B">
      <w:pPr>
        <w:jc w:val="both"/>
      </w:pPr>
      <w:r>
        <w:t xml:space="preserve">Regular feedback on progress reinforces positive behaviours and motivates individuals to stay engaged:  </w:t>
      </w:r>
    </w:p>
    <w:p w14:paraId="7CBFBAC8" w14:textId="2E4278F7" w:rsidR="007503A8" w:rsidRDefault="007503A8" w:rsidP="0096043B">
      <w:pPr>
        <w:pStyle w:val="ListParagraph"/>
        <w:numPr>
          <w:ilvl w:val="0"/>
          <w:numId w:val="17"/>
        </w:numPr>
        <w:jc w:val="both"/>
      </w:pPr>
      <w:r w:rsidRPr="00390799">
        <w:rPr>
          <w:b/>
          <w:bCs/>
        </w:rPr>
        <w:t>Celebrating Successes</w:t>
      </w:r>
      <w:r>
        <w:t>:</w:t>
      </w:r>
      <w:r w:rsidR="000A062D">
        <w:t xml:space="preserve"> </w:t>
      </w:r>
      <w:r w:rsidR="000A062D" w:rsidRPr="000A062D">
        <w:t>This way, it is easier to work on the positive reinforcement, including better grades on tests or shedding some pounds.</w:t>
      </w:r>
    </w:p>
    <w:p w14:paraId="626D8038" w14:textId="4EB0B5DC" w:rsidR="007503A8" w:rsidRDefault="007503A8" w:rsidP="0096043B">
      <w:pPr>
        <w:pStyle w:val="ListParagraph"/>
        <w:numPr>
          <w:ilvl w:val="0"/>
          <w:numId w:val="17"/>
        </w:numPr>
        <w:jc w:val="both"/>
      </w:pPr>
      <w:r w:rsidRPr="00390799">
        <w:rPr>
          <w:b/>
          <w:bCs/>
        </w:rPr>
        <w:t>Constructive Feedback</w:t>
      </w:r>
      <w:r>
        <w:t xml:space="preserve">: </w:t>
      </w:r>
      <w:r w:rsidR="000A062D" w:rsidRPr="000A062D">
        <w:t>Employers should provide guidance and recommendation to patients where one develops health complications that may need constant supervision.</w:t>
      </w:r>
    </w:p>
    <w:p w14:paraId="3412BEFF" w14:textId="77777777" w:rsidR="007503A8" w:rsidRDefault="007503A8" w:rsidP="007503A8"/>
    <w:p w14:paraId="0A2ECD56" w14:textId="21FDF64A" w:rsidR="007503A8" w:rsidRDefault="007503A8" w:rsidP="007503A8">
      <w:r w:rsidRPr="0096043B">
        <w:rPr>
          <w:b/>
          <w:bCs/>
        </w:rPr>
        <w:t>3. Utilizing Technology to Support Engagement</w:t>
      </w:r>
      <w:r>
        <w:t xml:space="preserve">  </w:t>
      </w:r>
    </w:p>
    <w:p w14:paraId="408804B4" w14:textId="45D85D5C" w:rsidR="007503A8" w:rsidRPr="0096043B" w:rsidRDefault="007503A8" w:rsidP="0096043B">
      <w:pPr>
        <w:jc w:val="both"/>
        <w:rPr>
          <w:b/>
          <w:bCs/>
        </w:rPr>
      </w:pPr>
      <w:r w:rsidRPr="0096043B">
        <w:rPr>
          <w:b/>
          <w:bCs/>
        </w:rPr>
        <w:t xml:space="preserve">3.1 Health Monitoring Apps </w:t>
      </w:r>
    </w:p>
    <w:p w14:paraId="3D294A87" w14:textId="77777777" w:rsidR="007503A8" w:rsidRDefault="007503A8" w:rsidP="0096043B">
      <w:pPr>
        <w:jc w:val="both"/>
      </w:pPr>
      <w:r>
        <w:t xml:space="preserve">Digital platforms and apps facilitate engagement by offering reminders, educational materials, and progress tracking:  </w:t>
      </w:r>
    </w:p>
    <w:p w14:paraId="741CEE6A" w14:textId="1CB1490E" w:rsidR="007503A8" w:rsidRDefault="007503A8" w:rsidP="0096043B">
      <w:pPr>
        <w:jc w:val="both"/>
      </w:pPr>
      <w:r w:rsidRPr="0096043B">
        <w:rPr>
          <w:b/>
          <w:bCs/>
        </w:rPr>
        <w:t>Examples</w:t>
      </w:r>
      <w:r>
        <w:t xml:space="preserve">: </w:t>
      </w:r>
      <w:r w:rsidR="000A062D" w:rsidRPr="000A062D">
        <w:t>There are platforms such as MyFitnessPal or NHS Weight Loss Plan that help people track their intake of food and their exercise (NHS, 2023).</w:t>
      </w:r>
    </w:p>
    <w:p w14:paraId="526080C0" w14:textId="1869B689" w:rsidR="007503A8" w:rsidRDefault="007503A8" w:rsidP="0096043B">
      <w:pPr>
        <w:jc w:val="both"/>
      </w:pPr>
      <w:r w:rsidRPr="0096043B">
        <w:rPr>
          <w:b/>
          <w:bCs/>
        </w:rPr>
        <w:t>3.2 Telehealth Services</w:t>
      </w:r>
    </w:p>
    <w:p w14:paraId="45E1BF33" w14:textId="77777777" w:rsidR="000A062D" w:rsidRDefault="000A062D" w:rsidP="0096043B">
      <w:pPr>
        <w:jc w:val="both"/>
      </w:pPr>
      <w:r w:rsidRPr="000A062D">
        <w:t xml:space="preserve">Telehealth applications allow a person to contact a doctor or healthcare provider from a distance, talk about advances and make changes if necessary. </w:t>
      </w:r>
    </w:p>
    <w:p w14:paraId="5F3F4401" w14:textId="2792CD7B" w:rsidR="007503A8" w:rsidRPr="0096043B" w:rsidRDefault="007503A8" w:rsidP="0096043B">
      <w:pPr>
        <w:jc w:val="both"/>
        <w:rPr>
          <w:b/>
          <w:bCs/>
        </w:rPr>
      </w:pPr>
      <w:r w:rsidRPr="0096043B">
        <w:rPr>
          <w:b/>
          <w:bCs/>
        </w:rPr>
        <w:t>3.3 Assistive Technologies</w:t>
      </w:r>
    </w:p>
    <w:p w14:paraId="21197C3B" w14:textId="6C88FDCF" w:rsidR="007503A8" w:rsidRDefault="000A062D" w:rsidP="0096043B">
      <w:pPr>
        <w:jc w:val="both"/>
      </w:pPr>
      <w:r w:rsidRPr="000A062D">
        <w:t>Technological devices like talking thermometers or blood pressure cuff means that people with disabilities can take own records of their health (Vermeulen et al., 2018).</w:t>
      </w:r>
    </w:p>
    <w:p w14:paraId="7CB3F8F3" w14:textId="77777777" w:rsidR="000A062D" w:rsidRDefault="000A062D" w:rsidP="0096043B">
      <w:pPr>
        <w:jc w:val="both"/>
      </w:pPr>
    </w:p>
    <w:p w14:paraId="69BFAFA2" w14:textId="0C4112C4" w:rsidR="007503A8" w:rsidRPr="0096043B" w:rsidRDefault="007503A8" w:rsidP="0096043B">
      <w:pPr>
        <w:jc w:val="both"/>
        <w:rPr>
          <w:b/>
          <w:bCs/>
        </w:rPr>
      </w:pPr>
      <w:r w:rsidRPr="0096043B">
        <w:rPr>
          <w:b/>
          <w:bCs/>
        </w:rPr>
        <w:t xml:space="preserve">4. Supporting Emotional and Social Well-being </w:t>
      </w:r>
    </w:p>
    <w:p w14:paraId="1B478EBD" w14:textId="7A397720" w:rsidR="007503A8" w:rsidRPr="0096043B" w:rsidRDefault="007503A8" w:rsidP="0096043B">
      <w:pPr>
        <w:jc w:val="both"/>
        <w:rPr>
          <w:b/>
          <w:bCs/>
        </w:rPr>
      </w:pPr>
      <w:r w:rsidRPr="0096043B">
        <w:rPr>
          <w:b/>
          <w:bCs/>
        </w:rPr>
        <w:t xml:space="preserve">4.1 Encouraging Peer Support </w:t>
      </w:r>
    </w:p>
    <w:p w14:paraId="40B0AED8" w14:textId="77777777" w:rsidR="000A062D" w:rsidRDefault="000A062D" w:rsidP="0096043B">
      <w:pPr>
        <w:jc w:val="both"/>
      </w:pPr>
      <w:r w:rsidRPr="000A062D">
        <w:t xml:space="preserve">Another intervention method entails group work whereby an individual forms association with other people in similar situations through organizing collective working, support or even Sharing Experiences Together (Holt-Lunstad et al., 2015). </w:t>
      </w:r>
    </w:p>
    <w:p w14:paraId="74046FBA" w14:textId="222A028D" w:rsidR="007503A8" w:rsidRPr="0096043B" w:rsidRDefault="007503A8" w:rsidP="0096043B">
      <w:pPr>
        <w:jc w:val="both"/>
        <w:rPr>
          <w:b/>
          <w:bCs/>
        </w:rPr>
      </w:pPr>
      <w:r w:rsidRPr="0096043B">
        <w:rPr>
          <w:b/>
          <w:bCs/>
        </w:rPr>
        <w:t xml:space="preserve">4.2 Psychological Support  </w:t>
      </w:r>
    </w:p>
    <w:p w14:paraId="51013848" w14:textId="77777777" w:rsidR="000A062D" w:rsidRDefault="000A062D" w:rsidP="007503A8">
      <w:r w:rsidRPr="000A062D">
        <w:t xml:space="preserve">Counselling entails that people overcome anxiety or depression, which would otherwise affect their ability to keep tabs on their health. </w:t>
      </w:r>
    </w:p>
    <w:p w14:paraId="150FC46E" w14:textId="36BECE68" w:rsidR="007503A8" w:rsidRPr="0096043B" w:rsidRDefault="007503A8" w:rsidP="007503A8">
      <w:pPr>
        <w:rPr>
          <w:b/>
          <w:bCs/>
        </w:rPr>
      </w:pPr>
      <w:r w:rsidRPr="0096043B">
        <w:rPr>
          <w:b/>
          <w:bCs/>
        </w:rPr>
        <w:t>5. Regular Review and Reassessment</w:t>
      </w:r>
    </w:p>
    <w:p w14:paraId="18EF7665" w14:textId="77777777" w:rsidR="007503A8" w:rsidRDefault="007503A8" w:rsidP="0096043B">
      <w:pPr>
        <w:jc w:val="both"/>
      </w:pPr>
      <w:r>
        <w:lastRenderedPageBreak/>
        <w:t xml:space="preserve">Engagement is not static and must be reviewed regularly to ensure individuals remain motivated:  </w:t>
      </w:r>
    </w:p>
    <w:p w14:paraId="359DD0A4" w14:textId="019EF321" w:rsidR="007503A8" w:rsidRDefault="007503A8" w:rsidP="0096043B">
      <w:pPr>
        <w:pStyle w:val="ListParagraph"/>
        <w:numPr>
          <w:ilvl w:val="1"/>
          <w:numId w:val="19"/>
        </w:numPr>
        <w:jc w:val="both"/>
      </w:pPr>
      <w:r w:rsidRPr="0096043B">
        <w:rPr>
          <w:b/>
          <w:bCs/>
        </w:rPr>
        <w:t>Periodic Assessments</w:t>
      </w:r>
      <w:r>
        <w:t xml:space="preserve">: </w:t>
      </w:r>
      <w:r w:rsidR="000A062D" w:rsidRPr="000A062D">
        <w:t xml:space="preserve">Health goals and progress need to be discussed </w:t>
      </w:r>
      <w:proofErr w:type="gramStart"/>
      <w:r w:rsidR="000A062D" w:rsidRPr="000A062D">
        <w:t>in order to</w:t>
      </w:r>
      <w:proofErr w:type="gramEnd"/>
      <w:r w:rsidR="000A062D" w:rsidRPr="000A062D">
        <w:t xml:space="preserve"> make data-driven changes to the overall care plan of the patient.</w:t>
      </w:r>
    </w:p>
    <w:p w14:paraId="53317A06" w14:textId="0761E809" w:rsidR="007503A8" w:rsidRDefault="007503A8" w:rsidP="0096043B">
      <w:pPr>
        <w:pStyle w:val="ListParagraph"/>
        <w:numPr>
          <w:ilvl w:val="1"/>
          <w:numId w:val="19"/>
        </w:numPr>
        <w:jc w:val="both"/>
      </w:pPr>
      <w:r w:rsidRPr="0096043B">
        <w:rPr>
          <w:b/>
          <w:bCs/>
        </w:rPr>
        <w:t>Feedback Loops</w:t>
      </w:r>
      <w:r>
        <w:t xml:space="preserve">: </w:t>
      </w:r>
      <w:r w:rsidR="000A062D">
        <w:t>This</w:t>
      </w:r>
      <w:r w:rsidR="000A062D" w:rsidRPr="000A062D">
        <w:t xml:space="preserve"> means everyone is followed up on and they are always aware that someone is looking out for them </w:t>
      </w:r>
      <w:r w:rsidR="000A062D" w:rsidRPr="000A062D">
        <w:t>and</w:t>
      </w:r>
      <w:r w:rsidR="000A062D" w:rsidRPr="000A062D">
        <w:t xml:space="preserve"> those issues preventing one from engaging can be solved as soon as possible.</w:t>
      </w:r>
    </w:p>
    <w:p w14:paraId="2C231DB6" w14:textId="7EB64743" w:rsidR="007503A8" w:rsidRPr="0096043B" w:rsidRDefault="007503A8" w:rsidP="0096043B">
      <w:pPr>
        <w:jc w:val="both"/>
        <w:rPr>
          <w:b/>
          <w:bCs/>
        </w:rPr>
      </w:pPr>
      <w:r w:rsidRPr="0096043B">
        <w:rPr>
          <w:b/>
          <w:bCs/>
        </w:rPr>
        <w:t xml:space="preserve">Conclusion  </w:t>
      </w:r>
    </w:p>
    <w:p w14:paraId="1F4EEABF" w14:textId="2813ABFB" w:rsidR="007503A8" w:rsidRDefault="000A062D" w:rsidP="007503A8">
      <w:r w:rsidRPr="000A062D">
        <w:t xml:space="preserve">Closely observing the extent of patients’ implementation of the care regimes proposed by the project and their general health within a care setting promotes clients’ independence and encourages them to take personal responsibility for their care. Mentor led teaching, goal setting, self-monitoring tools and strategies, communication skills can be used in enhancing meaningful engagement. The fourth feature of the self-organizing system helps to complement using technologies and support with emotional comfort to be an active participant in achieving a healthy status.  </w:t>
      </w:r>
    </w:p>
    <w:p w14:paraId="31905D55" w14:textId="77777777" w:rsidR="007503A8" w:rsidRDefault="007503A8" w:rsidP="007503A8"/>
    <w:p w14:paraId="0A594559" w14:textId="77777777" w:rsidR="007503A8" w:rsidRDefault="007503A8" w:rsidP="007503A8"/>
    <w:p w14:paraId="1DC6150A" w14:textId="77777777" w:rsidR="007503A8" w:rsidRDefault="007503A8" w:rsidP="007503A8"/>
    <w:p w14:paraId="5321F2D4" w14:textId="77777777" w:rsidR="007503A8" w:rsidRDefault="007503A8" w:rsidP="007503A8"/>
    <w:p w14:paraId="586D92D2" w14:textId="77777777" w:rsidR="007503A8" w:rsidRDefault="007503A8" w:rsidP="007503A8"/>
    <w:p w14:paraId="4ED8B348" w14:textId="0865A97F" w:rsidR="007503A8" w:rsidRDefault="0096043B" w:rsidP="007503A8">
      <w:r>
        <w:br w:type="page"/>
      </w:r>
    </w:p>
    <w:p w14:paraId="6A62AAFE" w14:textId="4AEA9C08" w:rsidR="007503A8" w:rsidRPr="00760477" w:rsidRDefault="007503A8" w:rsidP="00760477">
      <w:pPr>
        <w:jc w:val="center"/>
        <w:rPr>
          <w:b/>
          <w:bCs/>
        </w:rPr>
      </w:pPr>
      <w:r w:rsidRPr="00760477">
        <w:rPr>
          <w:b/>
          <w:bCs/>
        </w:rPr>
        <w:lastRenderedPageBreak/>
        <w:t>Early Indicators of Physical and Mental Health Deterioration within a Care Setting</w:t>
      </w:r>
    </w:p>
    <w:p w14:paraId="7E4A63E6" w14:textId="762C6A42" w:rsidR="00E77FB2" w:rsidRDefault="00E77FB2" w:rsidP="007503A8">
      <w:r w:rsidRPr="00E77FB2">
        <w:t xml:space="preserve">Prompt recognition of physical and mental changes for the worse is critical within care environments </w:t>
      </w:r>
      <w:r w:rsidRPr="00E77FB2">
        <w:t>to</w:t>
      </w:r>
      <w:r w:rsidRPr="00E77FB2">
        <w:t xml:space="preserve"> protect clients from becoming more unwell </w:t>
      </w:r>
      <w:proofErr w:type="gramStart"/>
      <w:r w:rsidRPr="00E77FB2">
        <w:t>and also</w:t>
      </w:r>
      <w:proofErr w:type="gramEnd"/>
      <w:r w:rsidRPr="00E77FB2">
        <w:t xml:space="preserve"> to safeguard positive results. In essence, initial signs/ symptoms of health decline are developmental, meaning that they are presented as slight changes in physical performance and emotional/ psychological well-being Therefore, it is important for caregivers to identify these symptoms. </w:t>
      </w:r>
    </w:p>
    <w:p w14:paraId="44DFEB4C" w14:textId="6F85E260" w:rsidR="007503A8" w:rsidRPr="004E13CF" w:rsidRDefault="007503A8" w:rsidP="007503A8">
      <w:pPr>
        <w:rPr>
          <w:b/>
          <w:bCs/>
        </w:rPr>
      </w:pPr>
      <w:r w:rsidRPr="004E13CF">
        <w:rPr>
          <w:b/>
          <w:bCs/>
        </w:rPr>
        <w:t xml:space="preserve">1. Physical Health Deterioration </w:t>
      </w:r>
    </w:p>
    <w:p w14:paraId="46934A94" w14:textId="283FA297" w:rsidR="007503A8" w:rsidRPr="004E13CF" w:rsidRDefault="007503A8" w:rsidP="004E13CF">
      <w:pPr>
        <w:jc w:val="both"/>
        <w:rPr>
          <w:b/>
          <w:bCs/>
        </w:rPr>
      </w:pPr>
      <w:r w:rsidRPr="004E13CF">
        <w:rPr>
          <w:b/>
          <w:bCs/>
        </w:rPr>
        <w:t xml:space="preserve">1.1 Changes in Vital Signs  </w:t>
      </w:r>
    </w:p>
    <w:p w14:paraId="12F96593" w14:textId="36F9FCDF" w:rsidR="00E77FB2" w:rsidRDefault="00E77FB2" w:rsidP="00E77FB2">
      <w:pPr>
        <w:pStyle w:val="ListParagraph"/>
        <w:numPr>
          <w:ilvl w:val="0"/>
          <w:numId w:val="47"/>
        </w:numPr>
        <w:jc w:val="both"/>
      </w:pPr>
      <w:r w:rsidRPr="00E77FB2">
        <w:t xml:space="preserve">A general decline in health is also detected by change physical appearances, altered modes of breathing, discomfort in movement, change in regular heart rate, blood pressure, or oxygen level. For instance, tachycardia may be due to dehydrated or infection (Royal College of Physicians, 2017). </w:t>
      </w:r>
    </w:p>
    <w:p w14:paraId="14B3E0CC" w14:textId="527F8C1E" w:rsidR="00E77FB2" w:rsidRDefault="00E77FB2" w:rsidP="00E77FB2">
      <w:pPr>
        <w:pStyle w:val="ListParagraph"/>
        <w:numPr>
          <w:ilvl w:val="0"/>
          <w:numId w:val="47"/>
        </w:numPr>
        <w:jc w:val="both"/>
      </w:pPr>
      <w:r w:rsidRPr="00E77FB2">
        <w:t xml:space="preserve">Tachypnoea and other dyspnoea that is beyond normal range, mild or moderate sternal, are among the early signs of infection especially in pneumonia or COVID-19 (NICE, 2021). </w:t>
      </w:r>
    </w:p>
    <w:p w14:paraId="7CD54DB5" w14:textId="6183B497" w:rsidR="007503A8" w:rsidRPr="004E13CF" w:rsidRDefault="007503A8" w:rsidP="004E13CF">
      <w:pPr>
        <w:jc w:val="both"/>
        <w:rPr>
          <w:b/>
          <w:bCs/>
        </w:rPr>
      </w:pPr>
      <w:r w:rsidRPr="004E13CF">
        <w:rPr>
          <w:b/>
          <w:bCs/>
        </w:rPr>
        <w:t xml:space="preserve">1.2 Pain or Discomfort </w:t>
      </w:r>
    </w:p>
    <w:p w14:paraId="2F4100AE" w14:textId="29982D87" w:rsidR="00E77FB2" w:rsidRDefault="00E77FB2" w:rsidP="00E77FB2">
      <w:pPr>
        <w:pStyle w:val="ListParagraph"/>
        <w:numPr>
          <w:ilvl w:val="0"/>
          <w:numId w:val="49"/>
        </w:numPr>
        <w:jc w:val="both"/>
      </w:pPr>
      <w:r w:rsidRPr="00E77FB2">
        <w:t xml:space="preserve">It is always possible for patients to present pain complaints which may be of a sudden nature or chronic and these should be taken seriously as they define additional or progressive diseases such as injury, inflammation or advancement of an existing disease. </w:t>
      </w:r>
    </w:p>
    <w:p w14:paraId="528DE434" w14:textId="65CCE4BC" w:rsidR="00E77FB2" w:rsidRDefault="00E77FB2" w:rsidP="00E77FB2">
      <w:pPr>
        <w:pStyle w:val="ListParagraph"/>
        <w:numPr>
          <w:ilvl w:val="0"/>
          <w:numId w:val="49"/>
        </w:numPr>
        <w:jc w:val="both"/>
      </w:pPr>
      <w:r w:rsidRPr="00E77FB2">
        <w:t xml:space="preserve">Facial expression or tensing up when touching a region of the body is highly relevant for those who have no ability to express what they feel (Herr et al., 2011). </w:t>
      </w:r>
    </w:p>
    <w:p w14:paraId="1246DB81" w14:textId="7B3F9D99" w:rsidR="007503A8" w:rsidRPr="00E77FB2" w:rsidRDefault="00E77FB2" w:rsidP="00E77FB2">
      <w:pPr>
        <w:jc w:val="both"/>
        <w:rPr>
          <w:b/>
          <w:bCs/>
        </w:rPr>
      </w:pPr>
      <w:r>
        <w:rPr>
          <w:b/>
          <w:bCs/>
        </w:rPr>
        <w:t xml:space="preserve">1.3 </w:t>
      </w:r>
      <w:r w:rsidR="007503A8" w:rsidRPr="00E77FB2">
        <w:rPr>
          <w:b/>
          <w:bCs/>
        </w:rPr>
        <w:t>Reduced Mobility and Fatigue</w:t>
      </w:r>
    </w:p>
    <w:p w14:paraId="7B1CDFF6" w14:textId="53C00813" w:rsidR="00E77FB2" w:rsidRDefault="00E77FB2" w:rsidP="00E77FB2">
      <w:pPr>
        <w:pStyle w:val="ListParagraph"/>
        <w:numPr>
          <w:ilvl w:val="0"/>
          <w:numId w:val="50"/>
        </w:numPr>
        <w:jc w:val="both"/>
      </w:pPr>
      <w:r w:rsidRPr="00E77FB2">
        <w:t xml:space="preserve">Reduced physical activity, increased lethargy, or reduced mobility can often herald musculoskeletal problems, neurological disorders or systems disease such as sepsis (Clegg et al., 2013). </w:t>
      </w:r>
    </w:p>
    <w:p w14:paraId="4C90BF33" w14:textId="5DA907D9" w:rsidR="00E77FB2" w:rsidRDefault="00E77FB2" w:rsidP="00E77FB2">
      <w:pPr>
        <w:pStyle w:val="ListParagraph"/>
        <w:numPr>
          <w:ilvl w:val="0"/>
          <w:numId w:val="50"/>
        </w:numPr>
        <w:jc w:val="both"/>
      </w:pPr>
      <w:r w:rsidRPr="00E77FB2">
        <w:t xml:space="preserve">Lack of strength or coordination may be the first symptom of a stroke or worsening of other diseases such as Parkinson’s disease. </w:t>
      </w:r>
    </w:p>
    <w:p w14:paraId="3A66416D" w14:textId="48A3BCD9" w:rsidR="007503A8" w:rsidRPr="004E13CF" w:rsidRDefault="007503A8" w:rsidP="004E13CF">
      <w:pPr>
        <w:jc w:val="both"/>
        <w:rPr>
          <w:b/>
          <w:bCs/>
        </w:rPr>
      </w:pPr>
      <w:r w:rsidRPr="004E13CF">
        <w:rPr>
          <w:b/>
          <w:bCs/>
        </w:rPr>
        <w:t xml:space="preserve">1.4 Appetite and Weight Changes  </w:t>
      </w:r>
    </w:p>
    <w:p w14:paraId="2496F50B" w14:textId="67F159E6" w:rsidR="00E77FB2" w:rsidRDefault="00E77FB2" w:rsidP="00E77FB2">
      <w:pPr>
        <w:pStyle w:val="ListParagraph"/>
        <w:numPr>
          <w:ilvl w:val="0"/>
          <w:numId w:val="53"/>
        </w:numPr>
      </w:pPr>
      <w:r w:rsidRPr="00E77FB2">
        <w:t xml:space="preserve">Apastry in the elderly could be due to gastrointestinal causes such as ulcers, gastrointestinal cancer, or infections, malnutrition or depression (Lacey and Pritchett 2003). </w:t>
      </w:r>
    </w:p>
    <w:p w14:paraId="66576172" w14:textId="2EFA7478" w:rsidR="00E77FB2" w:rsidRDefault="00E77FB2" w:rsidP="00E77FB2">
      <w:pPr>
        <w:pStyle w:val="ListParagraph"/>
        <w:numPr>
          <w:ilvl w:val="0"/>
          <w:numId w:val="53"/>
        </w:numPr>
      </w:pPr>
      <w:r w:rsidRPr="00E77FB2">
        <w:t xml:space="preserve">Increase in weight or development of swelling may be an indication of this condition attributed to the failure of the heart or the kidneys. </w:t>
      </w:r>
    </w:p>
    <w:p w14:paraId="2CBFB5F4" w14:textId="6EA90CA7" w:rsidR="007503A8" w:rsidRPr="004E13CF" w:rsidRDefault="007503A8" w:rsidP="007503A8">
      <w:pPr>
        <w:rPr>
          <w:b/>
          <w:bCs/>
        </w:rPr>
      </w:pPr>
      <w:r w:rsidRPr="004E13CF">
        <w:rPr>
          <w:b/>
          <w:bCs/>
        </w:rPr>
        <w:t>1.5 Skin and Wound Changes</w:t>
      </w:r>
    </w:p>
    <w:p w14:paraId="72958056" w14:textId="749C4B6E" w:rsidR="00E77FB2" w:rsidRDefault="00E77FB2" w:rsidP="00E77FB2">
      <w:pPr>
        <w:pStyle w:val="ListParagraph"/>
        <w:numPr>
          <w:ilvl w:val="0"/>
          <w:numId w:val="54"/>
        </w:numPr>
      </w:pPr>
      <w:r w:rsidRPr="00E77FB2">
        <w:t xml:space="preserve">Monitoring skin characteristics is crucial because pale, bruised or pressure damaged skin suggests poor blood circulation, lack of mobility or malnutrition (Coleman et al., 2014). </w:t>
      </w:r>
    </w:p>
    <w:p w14:paraId="1D7EC0F5" w14:textId="2B60CAE4" w:rsidR="004E13CF" w:rsidRDefault="00E77FB2" w:rsidP="00E77FB2">
      <w:pPr>
        <w:pStyle w:val="ListParagraph"/>
        <w:numPr>
          <w:ilvl w:val="0"/>
          <w:numId w:val="54"/>
        </w:numPr>
      </w:pPr>
      <w:r w:rsidRPr="00E77FB2">
        <w:t>Failure of a wound to heal may be due to infection or diabetes.</w:t>
      </w:r>
    </w:p>
    <w:p w14:paraId="6EFDED56" w14:textId="41E354B3" w:rsidR="007503A8" w:rsidRPr="004E13CF" w:rsidRDefault="007503A8" w:rsidP="007503A8">
      <w:pPr>
        <w:rPr>
          <w:b/>
          <w:bCs/>
        </w:rPr>
      </w:pPr>
      <w:r w:rsidRPr="004E13CF">
        <w:rPr>
          <w:b/>
          <w:bCs/>
        </w:rPr>
        <w:t>2. Mental Health Deterioration</w:t>
      </w:r>
    </w:p>
    <w:p w14:paraId="15B07D35" w14:textId="77777777" w:rsidR="004E13CF" w:rsidRDefault="007503A8" w:rsidP="007503A8">
      <w:pPr>
        <w:rPr>
          <w:b/>
          <w:bCs/>
        </w:rPr>
      </w:pPr>
      <w:r w:rsidRPr="004E13CF">
        <w:rPr>
          <w:b/>
          <w:bCs/>
        </w:rPr>
        <w:t>2.1 Mood Changes</w:t>
      </w:r>
    </w:p>
    <w:p w14:paraId="5139F1AA" w14:textId="31AE70F8" w:rsidR="0063047A" w:rsidRDefault="0063047A" w:rsidP="0063047A">
      <w:pPr>
        <w:pStyle w:val="ListParagraph"/>
        <w:numPr>
          <w:ilvl w:val="0"/>
          <w:numId w:val="57"/>
        </w:numPr>
        <w:jc w:val="both"/>
      </w:pPr>
      <w:r w:rsidRPr="0063047A">
        <w:lastRenderedPageBreak/>
        <w:t xml:space="preserve">Fluctuations in the activity level, a shift in tone for no identifiable reason from happy to irritable, sad or apathetic could signal depression, anxiety, an early sign of cognitive disorders (National Institutes of Mental Health, 2020). </w:t>
      </w:r>
    </w:p>
    <w:p w14:paraId="242EDCEE" w14:textId="1330475D" w:rsidR="0063047A" w:rsidRDefault="0063047A" w:rsidP="0063047A">
      <w:pPr>
        <w:pStyle w:val="ListParagraph"/>
        <w:numPr>
          <w:ilvl w:val="0"/>
          <w:numId w:val="57"/>
        </w:numPr>
        <w:jc w:val="both"/>
      </w:pPr>
      <w:r w:rsidRPr="0063047A">
        <w:t xml:space="preserve">Reactivity or motor restlessness may be attributed to bipolar disorder, acute delirium or other illness. </w:t>
      </w:r>
    </w:p>
    <w:p w14:paraId="62F5ABF6" w14:textId="5D1FB350" w:rsidR="007503A8" w:rsidRPr="004E13CF" w:rsidRDefault="007503A8" w:rsidP="00E77FB2">
      <w:pPr>
        <w:jc w:val="both"/>
        <w:rPr>
          <w:b/>
          <w:bCs/>
        </w:rPr>
      </w:pPr>
      <w:r w:rsidRPr="004E13CF">
        <w:rPr>
          <w:b/>
          <w:bCs/>
        </w:rPr>
        <w:t>2.2 Cognitive Declin</w:t>
      </w:r>
      <w:r w:rsidR="004E13CF" w:rsidRPr="004E13CF">
        <w:rPr>
          <w:b/>
          <w:bCs/>
        </w:rPr>
        <w:t>e</w:t>
      </w:r>
    </w:p>
    <w:p w14:paraId="7FE83370" w14:textId="7FFE5938" w:rsidR="0063047A" w:rsidRDefault="0063047A" w:rsidP="0063047A">
      <w:pPr>
        <w:pStyle w:val="ListParagraph"/>
        <w:numPr>
          <w:ilvl w:val="0"/>
          <w:numId w:val="59"/>
        </w:numPr>
        <w:jc w:val="both"/>
      </w:pPr>
      <w:r w:rsidRPr="0063047A">
        <w:t xml:space="preserve">Symptoms such as problems with focus, memory, and orientation could signal a problem such as dementia, delirium, infections including urinary tract infections that cause a temporary drop in cognition in the elderly (Alagiakrishnan &amp; Wiens, 2004). </w:t>
      </w:r>
    </w:p>
    <w:p w14:paraId="2974A8B9" w14:textId="1716E829" w:rsidR="0063047A" w:rsidRDefault="0063047A" w:rsidP="0063047A">
      <w:pPr>
        <w:pStyle w:val="ListParagraph"/>
        <w:numPr>
          <w:ilvl w:val="0"/>
          <w:numId w:val="59"/>
        </w:numPr>
        <w:jc w:val="both"/>
      </w:pPr>
      <w:r w:rsidRPr="0063047A">
        <w:t xml:space="preserve">Memory loss or the inability to find personal documents or car keys, inability to find </w:t>
      </w:r>
      <w:r w:rsidRPr="0063047A">
        <w:t>oneself</w:t>
      </w:r>
      <w:r w:rsidRPr="0063047A">
        <w:t xml:space="preserve"> on getting out of a building may also indicate neurological decline. </w:t>
      </w:r>
    </w:p>
    <w:p w14:paraId="07116E4A" w14:textId="2EC728CA" w:rsidR="007503A8" w:rsidRPr="004E13CF" w:rsidRDefault="007503A8" w:rsidP="00E77FB2">
      <w:pPr>
        <w:jc w:val="both"/>
        <w:rPr>
          <w:b/>
          <w:bCs/>
        </w:rPr>
      </w:pPr>
      <w:r w:rsidRPr="004E13CF">
        <w:rPr>
          <w:b/>
          <w:bCs/>
        </w:rPr>
        <w:t xml:space="preserve">2.3 Sleep Disturbances </w:t>
      </w:r>
    </w:p>
    <w:p w14:paraId="5E47B537" w14:textId="3D1A1DEF" w:rsidR="0063047A" w:rsidRDefault="0063047A" w:rsidP="0063047A">
      <w:pPr>
        <w:pStyle w:val="ListParagraph"/>
        <w:numPr>
          <w:ilvl w:val="0"/>
          <w:numId w:val="60"/>
        </w:numPr>
        <w:jc w:val="both"/>
      </w:pPr>
      <w:r w:rsidRPr="0063047A">
        <w:t>Any variation in sleep, including poor sleep, excessive sleep or insomnia can show underlying signs of mental health issues including depression, anxiety or chronic pain (Baglioni et al., 2016)</w:t>
      </w:r>
      <w:r>
        <w:t>.</w:t>
      </w:r>
    </w:p>
    <w:p w14:paraId="61A1493C" w14:textId="38CAFC8E" w:rsidR="007503A8" w:rsidRPr="004E13CF" w:rsidRDefault="007503A8" w:rsidP="00E77FB2">
      <w:pPr>
        <w:jc w:val="both"/>
        <w:rPr>
          <w:b/>
          <w:bCs/>
        </w:rPr>
      </w:pPr>
      <w:r w:rsidRPr="004E13CF">
        <w:rPr>
          <w:b/>
          <w:bCs/>
        </w:rPr>
        <w:t>2.4 Social Withdrawal</w:t>
      </w:r>
    </w:p>
    <w:p w14:paraId="42CD3556" w14:textId="784DEC60" w:rsidR="0063047A" w:rsidRDefault="0063047A" w:rsidP="0063047A">
      <w:pPr>
        <w:pStyle w:val="ListParagraph"/>
        <w:numPr>
          <w:ilvl w:val="0"/>
          <w:numId w:val="61"/>
        </w:numPr>
        <w:jc w:val="both"/>
      </w:pPr>
      <w:r w:rsidRPr="0063047A">
        <w:t xml:space="preserve">Social withdrawal, which could include either rejection of social contacts or a diminishing of them, may be initial symptoms of a depressive episodes, </w:t>
      </w:r>
      <w:r w:rsidRPr="0063047A">
        <w:t>post-traumatic</w:t>
      </w:r>
      <w:r w:rsidRPr="0063047A">
        <w:t xml:space="preserve"> stress disorder or psychosis (Cornwell and Waite, 2009). </w:t>
      </w:r>
    </w:p>
    <w:p w14:paraId="1CA2D555" w14:textId="5FCC7C66" w:rsidR="007503A8" w:rsidRPr="004E13CF" w:rsidRDefault="007503A8" w:rsidP="00E77FB2">
      <w:pPr>
        <w:jc w:val="both"/>
        <w:rPr>
          <w:b/>
          <w:bCs/>
        </w:rPr>
      </w:pPr>
      <w:r w:rsidRPr="004E13CF">
        <w:rPr>
          <w:b/>
          <w:bCs/>
        </w:rPr>
        <w:t xml:space="preserve">2.5 Behavioral Changes  </w:t>
      </w:r>
    </w:p>
    <w:p w14:paraId="4E4D23FB" w14:textId="36E1C940" w:rsidR="007503A8" w:rsidRDefault="0063047A" w:rsidP="0063047A">
      <w:pPr>
        <w:pStyle w:val="ListParagraph"/>
        <w:numPr>
          <w:ilvl w:val="0"/>
          <w:numId w:val="62"/>
        </w:numPr>
        <w:jc w:val="both"/>
      </w:pPr>
      <w:r w:rsidRPr="0063047A">
        <w:t>They apprehend that signs of aggression, restlessness or patients’ resistance to care may be rooted in clinical depression, dementia or other forms of mental illness, hearing or sight loss, or pain for which the patient has no other way of communicating.</w:t>
      </w:r>
    </w:p>
    <w:p w14:paraId="7C7D37FC" w14:textId="77777777" w:rsidR="0063047A" w:rsidRDefault="0063047A" w:rsidP="007503A8"/>
    <w:p w14:paraId="006A39F1" w14:textId="7BA73552" w:rsidR="007503A8" w:rsidRPr="004E13CF" w:rsidRDefault="007503A8" w:rsidP="008108AC">
      <w:pPr>
        <w:jc w:val="both"/>
        <w:rPr>
          <w:b/>
          <w:bCs/>
        </w:rPr>
      </w:pPr>
      <w:r w:rsidRPr="004E13CF">
        <w:rPr>
          <w:b/>
          <w:bCs/>
        </w:rPr>
        <w:t xml:space="preserve">3. Combined Indicators of Deterioration  </w:t>
      </w:r>
    </w:p>
    <w:p w14:paraId="7F62E233" w14:textId="44BC6563" w:rsidR="007503A8" w:rsidRPr="004E13CF" w:rsidRDefault="007503A8" w:rsidP="008108AC">
      <w:pPr>
        <w:jc w:val="both"/>
        <w:rPr>
          <w:b/>
          <w:bCs/>
        </w:rPr>
      </w:pPr>
      <w:r w:rsidRPr="004E13CF">
        <w:rPr>
          <w:b/>
          <w:bCs/>
        </w:rPr>
        <w:t xml:space="preserve">3.1 Dehydration and Infections  </w:t>
      </w:r>
    </w:p>
    <w:p w14:paraId="00BF736C" w14:textId="1231D4EA" w:rsidR="0063047A" w:rsidRDefault="0063047A" w:rsidP="008108AC">
      <w:pPr>
        <w:pStyle w:val="ListParagraph"/>
        <w:numPr>
          <w:ilvl w:val="0"/>
          <w:numId w:val="63"/>
        </w:numPr>
        <w:jc w:val="both"/>
      </w:pPr>
      <w:r w:rsidRPr="0063047A">
        <w:t xml:space="preserve">Symptoms like skin dryness, less frequent urination or high temperature swelling with confusion could mean dehydration or infection, two frequent </w:t>
      </w:r>
      <w:r w:rsidRPr="0063047A">
        <w:t>aetiologies</w:t>
      </w:r>
      <w:r w:rsidRPr="0063047A">
        <w:t xml:space="preserve"> of acute decline in older patients (El-Sharkawy et al., 2015). </w:t>
      </w:r>
    </w:p>
    <w:p w14:paraId="1764641D" w14:textId="5214BDBA" w:rsidR="007503A8" w:rsidRPr="004E13CF" w:rsidRDefault="007503A8" w:rsidP="008108AC">
      <w:pPr>
        <w:jc w:val="both"/>
        <w:rPr>
          <w:b/>
          <w:bCs/>
        </w:rPr>
      </w:pPr>
      <w:r w:rsidRPr="004E13CF">
        <w:rPr>
          <w:b/>
          <w:bCs/>
        </w:rPr>
        <w:t xml:space="preserve">3.2 Falls and Mobility Issues  </w:t>
      </w:r>
    </w:p>
    <w:p w14:paraId="01617C7D" w14:textId="7FD91958" w:rsidR="007503A8" w:rsidRDefault="0063047A" w:rsidP="008108AC">
      <w:pPr>
        <w:pStyle w:val="ListParagraph"/>
        <w:numPr>
          <w:ilvl w:val="0"/>
          <w:numId w:val="43"/>
        </w:numPr>
        <w:jc w:val="both"/>
      </w:pPr>
      <w:r w:rsidRPr="0063047A">
        <w:t>It can be correctly expected that a sharp rise in falls is linked with the deterioration of somatic and psychological states of a patient with dementia</w:t>
      </w:r>
      <w:r w:rsidR="007503A8">
        <w:t xml:space="preserve">.  </w:t>
      </w:r>
    </w:p>
    <w:p w14:paraId="1BD68C37" w14:textId="77777777" w:rsidR="007503A8" w:rsidRDefault="007503A8" w:rsidP="008108AC">
      <w:pPr>
        <w:jc w:val="both"/>
      </w:pPr>
    </w:p>
    <w:p w14:paraId="10CDD284" w14:textId="29D37355" w:rsidR="007503A8" w:rsidRPr="004E13CF" w:rsidRDefault="007503A8" w:rsidP="008108AC">
      <w:pPr>
        <w:jc w:val="both"/>
        <w:rPr>
          <w:b/>
          <w:bCs/>
        </w:rPr>
      </w:pPr>
      <w:r w:rsidRPr="004E13CF">
        <w:rPr>
          <w:b/>
          <w:bCs/>
        </w:rPr>
        <w:t xml:space="preserve">4. The Role of Early Intervention  </w:t>
      </w:r>
    </w:p>
    <w:p w14:paraId="4311DA72" w14:textId="77777777" w:rsidR="007503A8" w:rsidRDefault="007503A8" w:rsidP="008108AC">
      <w:pPr>
        <w:jc w:val="both"/>
      </w:pPr>
      <w:r>
        <w:t xml:space="preserve">Recognizing early signs of deterioration allows caregivers to implement timely interventions such as:  </w:t>
      </w:r>
    </w:p>
    <w:p w14:paraId="1EF62A5C" w14:textId="1ACCAE2B" w:rsidR="007503A8" w:rsidRDefault="007503A8" w:rsidP="008108AC">
      <w:pPr>
        <w:jc w:val="both"/>
      </w:pPr>
      <w:r>
        <w:lastRenderedPageBreak/>
        <w:t xml:space="preserve"> </w:t>
      </w:r>
      <w:r w:rsidR="004E13CF">
        <w:t xml:space="preserve">1. </w:t>
      </w:r>
      <w:r>
        <w:t xml:space="preserve">Conducting regular observations of vital signs and physical assessments.  </w:t>
      </w:r>
    </w:p>
    <w:p w14:paraId="6112B997" w14:textId="77777777" w:rsidR="0063047A" w:rsidRDefault="0063047A" w:rsidP="008108AC">
      <w:pPr>
        <w:pStyle w:val="ListParagraph"/>
        <w:numPr>
          <w:ilvl w:val="1"/>
          <w:numId w:val="45"/>
        </w:numPr>
        <w:jc w:val="both"/>
      </w:pPr>
      <w:r w:rsidRPr="0063047A">
        <w:t xml:space="preserve">For clinical risks, we can recognize using assessment tools like NEWS2 and other standard clinical risk assessment ; for care escalation, we can recognize using NEWS2 and other standard methods of care escalation as outlined in the Royal College of Physicians (2017). </w:t>
      </w:r>
    </w:p>
    <w:p w14:paraId="3764EF74" w14:textId="3BC0C6C7" w:rsidR="007503A8" w:rsidRDefault="0063047A" w:rsidP="008108AC">
      <w:pPr>
        <w:pStyle w:val="ListParagraph"/>
        <w:numPr>
          <w:ilvl w:val="0"/>
          <w:numId w:val="45"/>
        </w:numPr>
        <w:jc w:val="both"/>
      </w:pPr>
      <w:r>
        <w:t>E</w:t>
      </w:r>
      <w:r w:rsidRPr="0063047A">
        <w:t>ncouragement of chronically ill and disabled people to tell their caregivers about some changes in mood, pain, or body state.</w:t>
      </w:r>
    </w:p>
    <w:p w14:paraId="4E326BD0" w14:textId="1B64696B" w:rsidR="007503A8" w:rsidRPr="004E13CF" w:rsidRDefault="007503A8" w:rsidP="007503A8">
      <w:pPr>
        <w:rPr>
          <w:b/>
          <w:bCs/>
        </w:rPr>
      </w:pPr>
      <w:r w:rsidRPr="004E13CF">
        <w:rPr>
          <w:b/>
          <w:bCs/>
        </w:rPr>
        <w:t xml:space="preserve">Conclusion </w:t>
      </w:r>
    </w:p>
    <w:p w14:paraId="771C6D33" w14:textId="26054D92" w:rsidR="007503A8" w:rsidRDefault="008108AC" w:rsidP="008108AC">
      <w:pPr>
        <w:jc w:val="both"/>
      </w:pPr>
      <w:r w:rsidRPr="008108AC">
        <w:t xml:space="preserve">Knowledge of early signs of physical and mental health deterioration is important in a care setting because clients’ health status must be stabilized as soon as possible. The organisation shows that caregivers need to be attentive and active listeners </w:t>
      </w:r>
      <w:r w:rsidRPr="008108AC">
        <w:t>to</w:t>
      </w:r>
      <w:r w:rsidRPr="008108AC">
        <w:t xml:space="preserve"> pick cues both spoken and unspoken and in addition they </w:t>
      </w:r>
      <w:r w:rsidRPr="008108AC">
        <w:t>must</w:t>
      </w:r>
      <w:r w:rsidRPr="008108AC">
        <w:t xml:space="preserve"> use mostly formulated assessment tools </w:t>
      </w:r>
      <w:r w:rsidRPr="008108AC">
        <w:t>to</w:t>
      </w:r>
      <w:r w:rsidRPr="008108AC">
        <w:t xml:space="preserve"> evaluate changes in health. This means that if these signs are detected early, then care outcomes for the people will be </w:t>
      </w:r>
      <w:r w:rsidRPr="008108AC">
        <w:t>improved,</w:t>
      </w:r>
      <w:r w:rsidRPr="008108AC">
        <w:t xml:space="preserve"> hence improving their wellbeing.  </w:t>
      </w:r>
    </w:p>
    <w:p w14:paraId="18962827" w14:textId="77777777" w:rsidR="007503A8" w:rsidRDefault="007503A8" w:rsidP="007503A8"/>
    <w:p w14:paraId="538F25ED" w14:textId="77777777" w:rsidR="007503A8" w:rsidRDefault="007503A8" w:rsidP="007503A8"/>
    <w:p w14:paraId="35AED30F" w14:textId="77777777" w:rsidR="007503A8" w:rsidRDefault="007503A8" w:rsidP="007503A8"/>
    <w:p w14:paraId="0EE3B7C0" w14:textId="77777777" w:rsidR="007503A8" w:rsidRDefault="007503A8" w:rsidP="007503A8"/>
    <w:p w14:paraId="510CF74C" w14:textId="77777777" w:rsidR="007503A8" w:rsidRDefault="007503A8" w:rsidP="007503A8"/>
    <w:p w14:paraId="79780170" w14:textId="77777777" w:rsidR="007503A8" w:rsidRDefault="007503A8" w:rsidP="007503A8"/>
    <w:p w14:paraId="0BDC15EF" w14:textId="77777777" w:rsidR="007503A8" w:rsidRDefault="007503A8" w:rsidP="007503A8"/>
    <w:p w14:paraId="15422933" w14:textId="77777777" w:rsidR="007503A8" w:rsidRDefault="007503A8" w:rsidP="007503A8"/>
    <w:p w14:paraId="263345EC" w14:textId="77777777" w:rsidR="007503A8" w:rsidRDefault="007503A8" w:rsidP="007503A8"/>
    <w:p w14:paraId="180E31A6" w14:textId="77777777" w:rsidR="007503A8" w:rsidRDefault="007503A8" w:rsidP="007503A8"/>
    <w:p w14:paraId="739368A5" w14:textId="77777777" w:rsidR="007503A8" w:rsidRDefault="007503A8" w:rsidP="007503A8"/>
    <w:p w14:paraId="79227CBF" w14:textId="77777777" w:rsidR="007503A8" w:rsidRDefault="007503A8" w:rsidP="007503A8"/>
    <w:p w14:paraId="3B18A080" w14:textId="77777777" w:rsidR="007503A8" w:rsidRDefault="007503A8" w:rsidP="007503A8"/>
    <w:p w14:paraId="3AD224BE" w14:textId="77777777" w:rsidR="007503A8" w:rsidRDefault="007503A8" w:rsidP="007503A8"/>
    <w:p w14:paraId="2AD8697D" w14:textId="77777777" w:rsidR="007503A8" w:rsidRDefault="007503A8" w:rsidP="007503A8"/>
    <w:p w14:paraId="4B53996E" w14:textId="77777777" w:rsidR="007503A8" w:rsidRDefault="007503A8" w:rsidP="007503A8"/>
    <w:p w14:paraId="101A24B3" w14:textId="77777777" w:rsidR="00750003" w:rsidRDefault="00750003" w:rsidP="007503A8"/>
    <w:p w14:paraId="22C390C0" w14:textId="77777777" w:rsidR="00750003" w:rsidRDefault="00750003" w:rsidP="007503A8"/>
    <w:p w14:paraId="3FC1932E" w14:textId="77777777" w:rsidR="00750003" w:rsidRDefault="00750003" w:rsidP="007503A8"/>
    <w:p w14:paraId="4BF25FB4" w14:textId="77777777" w:rsidR="00D35D6D" w:rsidRDefault="00D35D6D" w:rsidP="007503A8"/>
    <w:p w14:paraId="5459DD03" w14:textId="1FFC43F8" w:rsidR="007503A8" w:rsidRPr="00D35D6D" w:rsidRDefault="007503A8" w:rsidP="00D35D6D">
      <w:pPr>
        <w:jc w:val="center"/>
        <w:rPr>
          <w:b/>
          <w:bCs/>
        </w:rPr>
      </w:pPr>
      <w:r w:rsidRPr="00D35D6D">
        <w:rPr>
          <w:b/>
          <w:bCs/>
        </w:rPr>
        <w:lastRenderedPageBreak/>
        <w:t>How to Escalate Concerns About an Individual’s Health Deterioration in a Care Setting</w:t>
      </w:r>
    </w:p>
    <w:p w14:paraId="11BB6A5B" w14:textId="7EE85751" w:rsidR="004F2974" w:rsidRDefault="004F2974" w:rsidP="004F2974">
      <w:pPr>
        <w:jc w:val="both"/>
      </w:pPr>
      <w:r w:rsidRPr="004F2974">
        <w:t xml:space="preserve">Concern that is raised </w:t>
      </w:r>
      <w:proofErr w:type="spellStart"/>
      <w:r w:rsidRPr="004F2974">
        <w:t>ons</w:t>
      </w:r>
      <w:proofErr w:type="spellEnd"/>
      <w:r w:rsidRPr="004F2974">
        <w:t xml:space="preserve"> an individual’s decline in health is one of the core duties in care environment as this enables proper response to the changes. It is about identifying indicators and </w:t>
      </w:r>
      <w:r w:rsidRPr="004F2974">
        <w:t>behaviours</w:t>
      </w:r>
      <w:r w:rsidRPr="004F2974">
        <w:t xml:space="preserve"> which show that a situation is becoming acrimonious or </w:t>
      </w:r>
      <w:r w:rsidRPr="004F2974">
        <w:t>unfavourable</w:t>
      </w:r>
      <w:r w:rsidRPr="004F2974">
        <w:t xml:space="preserve"> and conforming to organizational standards and reporting the concerned issues to the concerned authorities.  </w:t>
      </w:r>
    </w:p>
    <w:p w14:paraId="51765856" w14:textId="09836B63" w:rsidR="007503A8" w:rsidRPr="00D35D6D" w:rsidRDefault="007503A8" w:rsidP="007503A8">
      <w:pPr>
        <w:rPr>
          <w:b/>
          <w:bCs/>
        </w:rPr>
      </w:pPr>
      <w:r w:rsidRPr="00D35D6D">
        <w:rPr>
          <w:b/>
          <w:bCs/>
        </w:rPr>
        <w:t xml:space="preserve">1. Recognizing the Need to Escalate  </w:t>
      </w:r>
    </w:p>
    <w:p w14:paraId="43466DB2" w14:textId="3E2B29FC" w:rsidR="007503A8" w:rsidRPr="00D35D6D" w:rsidRDefault="007503A8" w:rsidP="007503A8">
      <w:pPr>
        <w:rPr>
          <w:b/>
          <w:bCs/>
        </w:rPr>
      </w:pPr>
      <w:r w:rsidRPr="00D35D6D">
        <w:rPr>
          <w:b/>
          <w:bCs/>
        </w:rPr>
        <w:t xml:space="preserve">1.1 Identifying Signs of Deterioration  </w:t>
      </w:r>
    </w:p>
    <w:p w14:paraId="7FEB2665" w14:textId="5E912D69" w:rsidR="007503A8" w:rsidRDefault="004F2974" w:rsidP="00D35D6D">
      <w:pPr>
        <w:jc w:val="both"/>
      </w:pPr>
      <w:r w:rsidRPr="004F2974">
        <w:t xml:space="preserve">Attention should be paid to physical, mental, and emotional status changes for the persons being cared. </w:t>
      </w:r>
      <w:r w:rsidR="007503A8">
        <w:t xml:space="preserve">These may include:  </w:t>
      </w:r>
    </w:p>
    <w:p w14:paraId="103F06BE" w14:textId="3068D08E" w:rsidR="004F2974" w:rsidRDefault="004F2974" w:rsidP="004F2974">
      <w:pPr>
        <w:pStyle w:val="ListParagraph"/>
        <w:numPr>
          <w:ilvl w:val="0"/>
          <w:numId w:val="74"/>
        </w:numPr>
        <w:jc w:val="both"/>
      </w:pPr>
      <w:r w:rsidRPr="004F2974">
        <w:t xml:space="preserve">Variations in any of the critical and sensitive parameters which include blood pressure, and temperature. </w:t>
      </w:r>
    </w:p>
    <w:p w14:paraId="5A2A5F4A" w14:textId="1C155CB4" w:rsidR="004F2974" w:rsidRDefault="004F2974" w:rsidP="004F2974">
      <w:pPr>
        <w:pStyle w:val="ListParagraph"/>
        <w:numPr>
          <w:ilvl w:val="0"/>
          <w:numId w:val="74"/>
        </w:numPr>
        <w:jc w:val="both"/>
      </w:pPr>
      <w:r w:rsidRPr="004F2974">
        <w:t xml:space="preserve">Behavioural, for instance, patients may be confused, agitated and even develop anxiety and depression (Royal College of Physicians, 2017). </w:t>
      </w:r>
    </w:p>
    <w:p w14:paraId="1D2AA97B" w14:textId="04B08A46" w:rsidR="004F2974" w:rsidRDefault="004F2974" w:rsidP="004F2974">
      <w:pPr>
        <w:pStyle w:val="ListParagraph"/>
        <w:numPr>
          <w:ilvl w:val="0"/>
          <w:numId w:val="74"/>
        </w:numPr>
        <w:jc w:val="both"/>
      </w:pPr>
      <w:r w:rsidRPr="004F2974">
        <w:t>Pain or discomfort, visibly red or hardened areas, difficulty breathing and other nausea.</w:t>
      </w:r>
    </w:p>
    <w:p w14:paraId="19780820" w14:textId="14585E69" w:rsidR="007503A8" w:rsidRPr="00D35D6D" w:rsidRDefault="007503A8" w:rsidP="00D35D6D">
      <w:pPr>
        <w:jc w:val="both"/>
        <w:rPr>
          <w:b/>
          <w:bCs/>
        </w:rPr>
      </w:pPr>
      <w:r w:rsidRPr="00D35D6D">
        <w:rPr>
          <w:b/>
          <w:bCs/>
        </w:rPr>
        <w:t xml:space="preserve">1.2 Importance of Timely Escalation </w:t>
      </w:r>
    </w:p>
    <w:p w14:paraId="7F1EFF0B" w14:textId="01FB76F9" w:rsidR="00D35D6D" w:rsidRDefault="004F2974" w:rsidP="004F2974">
      <w:pPr>
        <w:jc w:val="both"/>
      </w:pPr>
      <w:r>
        <w:t>Lack of prompt attention</w:t>
      </w:r>
      <w:r>
        <w:t xml:space="preserve"> threatens to deteriorate condition further, increases the probability of admission to hospital or contributes to mortality. Phrases like ambulance alert, general early warning signs, or National Early Warning Score (NEWS2) are applied to create the obligatory framework in terms of detecting clinical worsening (NICE, 2021).  </w:t>
      </w:r>
    </w:p>
    <w:p w14:paraId="53725B1B" w14:textId="632B3BC9" w:rsidR="007503A8" w:rsidRPr="00D35D6D" w:rsidRDefault="007503A8" w:rsidP="007503A8">
      <w:pPr>
        <w:rPr>
          <w:b/>
          <w:bCs/>
        </w:rPr>
      </w:pPr>
      <w:r w:rsidRPr="00D35D6D">
        <w:rPr>
          <w:b/>
          <w:bCs/>
        </w:rPr>
        <w:t xml:space="preserve">2. Steps for Escalating Concerns  </w:t>
      </w:r>
    </w:p>
    <w:p w14:paraId="4CA64ECA" w14:textId="24107AA7" w:rsidR="007503A8" w:rsidRPr="00D35D6D" w:rsidRDefault="007503A8" w:rsidP="007503A8">
      <w:pPr>
        <w:rPr>
          <w:b/>
          <w:bCs/>
        </w:rPr>
      </w:pPr>
      <w:r w:rsidRPr="00D35D6D">
        <w:rPr>
          <w:b/>
          <w:bCs/>
        </w:rPr>
        <w:t xml:space="preserve">2.1 Documentation of Observations  </w:t>
      </w:r>
    </w:p>
    <w:p w14:paraId="23298615" w14:textId="77777777" w:rsidR="007503A8" w:rsidRDefault="007503A8" w:rsidP="007503A8">
      <w:r>
        <w:t xml:space="preserve">Before escalating, caregivers should document observations clearly and accurately, including:  </w:t>
      </w:r>
    </w:p>
    <w:p w14:paraId="15A4BCEB" w14:textId="7B847986" w:rsidR="004F2974" w:rsidRDefault="004F2974" w:rsidP="004F2974">
      <w:pPr>
        <w:pStyle w:val="ListParagraph"/>
        <w:numPr>
          <w:ilvl w:val="0"/>
          <w:numId w:val="75"/>
        </w:numPr>
      </w:pPr>
      <w:r>
        <w:t xml:space="preserve">Signs, signs, and conduct.  </w:t>
      </w:r>
    </w:p>
    <w:p w14:paraId="6BF0539E" w14:textId="4B75FADC" w:rsidR="004F2974" w:rsidRDefault="004F2974" w:rsidP="004F2974">
      <w:pPr>
        <w:pStyle w:val="ListParagraph"/>
        <w:numPr>
          <w:ilvl w:val="0"/>
          <w:numId w:val="75"/>
        </w:numPr>
      </w:pPr>
      <w:r>
        <w:t xml:space="preserve">The chronology of the changes observed.  </w:t>
      </w:r>
    </w:p>
    <w:p w14:paraId="7010E384" w14:textId="63879F58" w:rsidR="004F2974" w:rsidRDefault="004F2974" w:rsidP="004F2974">
      <w:pPr>
        <w:pStyle w:val="ListParagraph"/>
        <w:numPr>
          <w:ilvl w:val="0"/>
          <w:numId w:val="75"/>
        </w:numPr>
      </w:pPr>
      <w:r>
        <w:t xml:space="preserve">Any steps that have been taken prior to this it includes medication or positioning changes (CQC, 2019).  </w:t>
      </w:r>
    </w:p>
    <w:p w14:paraId="247224BA" w14:textId="0073A86C" w:rsidR="007503A8" w:rsidRPr="00D35D6D" w:rsidRDefault="007503A8" w:rsidP="004F2974">
      <w:pPr>
        <w:rPr>
          <w:b/>
          <w:bCs/>
        </w:rPr>
      </w:pPr>
      <w:r w:rsidRPr="00D35D6D">
        <w:rPr>
          <w:b/>
          <w:bCs/>
        </w:rPr>
        <w:t>2.2 Communicating Concerns</w:t>
      </w:r>
    </w:p>
    <w:p w14:paraId="3DCD3DA7" w14:textId="02A64E54" w:rsidR="007503A8" w:rsidRDefault="007503A8" w:rsidP="00D35D6D">
      <w:pPr>
        <w:jc w:val="both"/>
      </w:pPr>
      <w:r>
        <w:t xml:space="preserve">Using structured communication frameworks like SBAR (Situation, Background, Assessment, Recommendation) helps ensure clarity and efficiency (NHS England, 2018).  </w:t>
      </w:r>
    </w:p>
    <w:p w14:paraId="05C2F7AE" w14:textId="6C8E750F" w:rsidR="007503A8" w:rsidRDefault="007503A8" w:rsidP="00D35D6D">
      <w:pPr>
        <w:pStyle w:val="ListParagraph"/>
        <w:numPr>
          <w:ilvl w:val="1"/>
          <w:numId w:val="69"/>
        </w:numPr>
        <w:jc w:val="both"/>
      </w:pPr>
      <w:r w:rsidRPr="00D35D6D">
        <w:rPr>
          <w:b/>
          <w:bCs/>
        </w:rPr>
        <w:t>Situation</w:t>
      </w:r>
      <w:r>
        <w:t xml:space="preserve">: Clearly state the concern (e.g., "The patient has developed a fever and rapid breathing").  </w:t>
      </w:r>
    </w:p>
    <w:p w14:paraId="23A470AE" w14:textId="65BD7E6B" w:rsidR="007503A8" w:rsidRDefault="007503A8" w:rsidP="00D35D6D">
      <w:pPr>
        <w:pStyle w:val="ListParagraph"/>
        <w:numPr>
          <w:ilvl w:val="1"/>
          <w:numId w:val="69"/>
        </w:numPr>
        <w:jc w:val="both"/>
      </w:pPr>
      <w:r w:rsidRPr="00D35D6D">
        <w:rPr>
          <w:b/>
          <w:bCs/>
        </w:rPr>
        <w:t>Background</w:t>
      </w:r>
      <w:r>
        <w:t xml:space="preserve">: Provide context (e.g., "The individual was recently diagnosed with a chest infection").  </w:t>
      </w:r>
    </w:p>
    <w:p w14:paraId="76838BF7" w14:textId="0836BD56" w:rsidR="007503A8" w:rsidRDefault="007503A8" w:rsidP="00D35D6D">
      <w:pPr>
        <w:pStyle w:val="ListParagraph"/>
        <w:numPr>
          <w:ilvl w:val="1"/>
          <w:numId w:val="69"/>
        </w:numPr>
        <w:jc w:val="both"/>
      </w:pPr>
      <w:r w:rsidRPr="00D35D6D">
        <w:rPr>
          <w:b/>
          <w:bCs/>
        </w:rPr>
        <w:t>Assessment</w:t>
      </w:r>
      <w:r>
        <w:t xml:space="preserve">: Share observations (e.g., "Temperature is 39°C, respiratory rate is 30 breaths per minute").  </w:t>
      </w:r>
    </w:p>
    <w:p w14:paraId="1736C65E" w14:textId="0BB6514F" w:rsidR="007503A8" w:rsidRDefault="007503A8" w:rsidP="007503A8">
      <w:pPr>
        <w:pStyle w:val="ListParagraph"/>
        <w:numPr>
          <w:ilvl w:val="1"/>
          <w:numId w:val="69"/>
        </w:numPr>
        <w:jc w:val="both"/>
      </w:pPr>
      <w:r w:rsidRPr="00D35D6D">
        <w:rPr>
          <w:b/>
          <w:bCs/>
        </w:rPr>
        <w:t>Recommendation</w:t>
      </w:r>
      <w:r>
        <w:t xml:space="preserve">: Suggest next steps (e.g., "Requesting a medical review within the next hour").  </w:t>
      </w:r>
    </w:p>
    <w:p w14:paraId="50C89DE6" w14:textId="77777777" w:rsidR="00D35D6D" w:rsidRDefault="00D35D6D" w:rsidP="00D35D6D">
      <w:pPr>
        <w:pStyle w:val="ListParagraph"/>
        <w:jc w:val="both"/>
      </w:pPr>
    </w:p>
    <w:p w14:paraId="53E4EFC7" w14:textId="5AAE20AF" w:rsidR="007503A8" w:rsidRPr="00D35D6D" w:rsidRDefault="007503A8" w:rsidP="007503A8">
      <w:pPr>
        <w:rPr>
          <w:b/>
          <w:bCs/>
        </w:rPr>
      </w:pPr>
      <w:r w:rsidRPr="00D35D6D">
        <w:rPr>
          <w:b/>
          <w:bCs/>
        </w:rPr>
        <w:lastRenderedPageBreak/>
        <w:t>3. To Whom Should Concerns Be Escalated?</w:t>
      </w:r>
    </w:p>
    <w:p w14:paraId="028995D2" w14:textId="6546DD60" w:rsidR="007503A8" w:rsidRPr="00D35D6D" w:rsidRDefault="007503A8" w:rsidP="007503A8">
      <w:pPr>
        <w:rPr>
          <w:b/>
          <w:bCs/>
        </w:rPr>
      </w:pPr>
      <w:r w:rsidRPr="00D35D6D">
        <w:rPr>
          <w:b/>
          <w:bCs/>
        </w:rPr>
        <w:t xml:space="preserve">3.1 Immediate Line Manager or Supervisor  </w:t>
      </w:r>
    </w:p>
    <w:p w14:paraId="438906A3" w14:textId="77777777" w:rsidR="004F2974" w:rsidRPr="004F2974" w:rsidRDefault="004F2974" w:rsidP="004F2974">
      <w:r w:rsidRPr="004F2974">
        <w:t xml:space="preserve">The first person to report is often the junior staff member where the problem occurred, for instance the immediate, a manager, a nurse or a senior carer and they can attend and parse the situation.  </w:t>
      </w:r>
    </w:p>
    <w:p w14:paraId="3868A971" w14:textId="3C703939" w:rsidR="007503A8" w:rsidRPr="00D35D6D" w:rsidRDefault="007503A8" w:rsidP="004F2974">
      <w:pPr>
        <w:jc w:val="both"/>
        <w:rPr>
          <w:b/>
          <w:bCs/>
        </w:rPr>
      </w:pPr>
      <w:r w:rsidRPr="00D35D6D">
        <w:rPr>
          <w:b/>
          <w:bCs/>
        </w:rPr>
        <w:t xml:space="preserve">3.2 Multidisciplinary Team (MDT)  </w:t>
      </w:r>
    </w:p>
    <w:p w14:paraId="22393203" w14:textId="77777777" w:rsidR="007503A8" w:rsidRDefault="007503A8" w:rsidP="004F2974">
      <w:pPr>
        <w:jc w:val="both"/>
      </w:pPr>
      <w:r>
        <w:t xml:space="preserve">Depending on the severity of the situation, concerns may need to be raised with:  </w:t>
      </w:r>
    </w:p>
    <w:p w14:paraId="07406E64" w14:textId="0F59E146" w:rsidR="007503A8" w:rsidRDefault="007503A8" w:rsidP="004F2974">
      <w:pPr>
        <w:pStyle w:val="ListParagraph"/>
        <w:numPr>
          <w:ilvl w:val="1"/>
          <w:numId w:val="71"/>
        </w:numPr>
        <w:jc w:val="both"/>
      </w:pPr>
      <w:r w:rsidRPr="00D35D6D">
        <w:rPr>
          <w:b/>
          <w:bCs/>
        </w:rPr>
        <w:t>General Practitioners (GPs)</w:t>
      </w:r>
      <w:r>
        <w:t xml:space="preserve">: For medical assessment and treatment plans.  </w:t>
      </w:r>
    </w:p>
    <w:p w14:paraId="4DD7A8E0" w14:textId="29CCC194" w:rsidR="007503A8" w:rsidRDefault="007503A8" w:rsidP="004F2974">
      <w:pPr>
        <w:pStyle w:val="ListParagraph"/>
        <w:numPr>
          <w:ilvl w:val="1"/>
          <w:numId w:val="71"/>
        </w:numPr>
        <w:jc w:val="both"/>
      </w:pPr>
      <w:r w:rsidRPr="00D35D6D">
        <w:rPr>
          <w:b/>
          <w:bCs/>
        </w:rPr>
        <w:t>Specialist Nurses</w:t>
      </w:r>
      <w:r>
        <w:t xml:space="preserve">: For specific conditions, such as diabetes or wound care.  </w:t>
      </w:r>
    </w:p>
    <w:p w14:paraId="65767C34" w14:textId="220903EF" w:rsidR="007503A8" w:rsidRDefault="007503A8" w:rsidP="004F2974">
      <w:pPr>
        <w:pStyle w:val="ListParagraph"/>
        <w:numPr>
          <w:ilvl w:val="1"/>
          <w:numId w:val="71"/>
        </w:numPr>
        <w:jc w:val="both"/>
      </w:pPr>
      <w:r w:rsidRPr="00D35D6D">
        <w:rPr>
          <w:b/>
          <w:bCs/>
        </w:rPr>
        <w:t>Therapists</w:t>
      </w:r>
      <w:r>
        <w:t xml:space="preserve">: Physiotherapists or occupational therapists for mobility or rehabilitation concerns.  </w:t>
      </w:r>
    </w:p>
    <w:p w14:paraId="2CEF40F0" w14:textId="517FF242" w:rsidR="007503A8" w:rsidRPr="00D35D6D" w:rsidRDefault="007503A8" w:rsidP="004F2974">
      <w:pPr>
        <w:jc w:val="both"/>
        <w:rPr>
          <w:b/>
          <w:bCs/>
        </w:rPr>
      </w:pPr>
      <w:r w:rsidRPr="00D35D6D">
        <w:rPr>
          <w:b/>
          <w:bCs/>
        </w:rPr>
        <w:t xml:space="preserve">3.3 Emergency Services  </w:t>
      </w:r>
    </w:p>
    <w:p w14:paraId="38B3E44D" w14:textId="77777777" w:rsidR="00711E6F" w:rsidRDefault="00711E6F" w:rsidP="004F2974">
      <w:pPr>
        <w:jc w:val="both"/>
      </w:pPr>
      <w:r w:rsidRPr="00711E6F">
        <w:t xml:space="preserve">If the decline is critical such as cardio-pulmonary arrest or respiratory problems, escalation to emergency must be done through the 999 (NICE, 2021). </w:t>
      </w:r>
    </w:p>
    <w:p w14:paraId="7EF25FC4" w14:textId="059ED090" w:rsidR="007503A8" w:rsidRPr="00D35D6D" w:rsidRDefault="007503A8" w:rsidP="004F2974">
      <w:pPr>
        <w:jc w:val="both"/>
        <w:rPr>
          <w:b/>
          <w:bCs/>
        </w:rPr>
      </w:pPr>
      <w:r w:rsidRPr="00D35D6D">
        <w:rPr>
          <w:b/>
          <w:bCs/>
        </w:rPr>
        <w:t>3.4 Safeguarding Teams</w:t>
      </w:r>
    </w:p>
    <w:p w14:paraId="3350EB06" w14:textId="0EE14A3C" w:rsidR="007503A8" w:rsidRDefault="007503A8" w:rsidP="004F2974">
      <w:pPr>
        <w:jc w:val="both"/>
      </w:pPr>
      <w:r>
        <w:t xml:space="preserve">If deterioration is </w:t>
      </w:r>
      <w:r w:rsidR="00711E6F" w:rsidRPr="00711E6F">
        <w:t>thought to be due to abuse or neglect, :- Then concerns should also be referred to the Safeguarding Lead or the local authority (CQC, 2019).</w:t>
      </w:r>
    </w:p>
    <w:p w14:paraId="425512BB" w14:textId="77777777" w:rsidR="007503A8" w:rsidRDefault="007503A8" w:rsidP="007503A8"/>
    <w:p w14:paraId="2363AC44" w14:textId="2059C7B5" w:rsidR="007503A8" w:rsidRPr="00D35D6D" w:rsidRDefault="007503A8" w:rsidP="007503A8">
      <w:pPr>
        <w:rPr>
          <w:b/>
          <w:bCs/>
        </w:rPr>
      </w:pPr>
      <w:r w:rsidRPr="00D35D6D">
        <w:rPr>
          <w:b/>
          <w:bCs/>
        </w:rPr>
        <w:t xml:space="preserve">4. Organizational Protocols and Policies  </w:t>
      </w:r>
    </w:p>
    <w:p w14:paraId="41D47BFA" w14:textId="77777777" w:rsidR="007503A8" w:rsidRDefault="007503A8" w:rsidP="007503A8">
      <w:r>
        <w:t xml:space="preserve">Every care setting has established escalation policies that outline:  </w:t>
      </w:r>
    </w:p>
    <w:p w14:paraId="579E6997" w14:textId="432F848F" w:rsidR="00711E6F" w:rsidRDefault="00711E6F" w:rsidP="00711E6F">
      <w:pPr>
        <w:pStyle w:val="ListParagraph"/>
        <w:numPr>
          <w:ilvl w:val="0"/>
          <w:numId w:val="77"/>
        </w:numPr>
      </w:pPr>
      <w:r w:rsidRPr="00711E6F">
        <w:t xml:space="preserve">The reporting hierarchy which is used by members of the institution. </w:t>
      </w:r>
    </w:p>
    <w:p w14:paraId="552E11BE" w14:textId="33C9FB69" w:rsidR="00711E6F" w:rsidRDefault="00711E6F" w:rsidP="00711E6F">
      <w:pPr>
        <w:pStyle w:val="ListParagraph"/>
        <w:numPr>
          <w:ilvl w:val="0"/>
          <w:numId w:val="77"/>
        </w:numPr>
      </w:pPr>
      <w:r w:rsidRPr="00711E6F">
        <w:t xml:space="preserve">How long it takes to come up with response based on the type of emergency. </w:t>
      </w:r>
    </w:p>
    <w:p w14:paraId="74352B34" w14:textId="77A9339B" w:rsidR="00D35D6D" w:rsidRDefault="00711E6F" w:rsidP="00711E6F">
      <w:pPr>
        <w:pStyle w:val="ListParagraph"/>
        <w:numPr>
          <w:ilvl w:val="0"/>
          <w:numId w:val="77"/>
        </w:numPr>
      </w:pPr>
      <w:r w:rsidRPr="00711E6F">
        <w:t>Communication frameworks for raising and monitoring maintained concerns (Health and Safety Executive, 2022).</w:t>
      </w:r>
    </w:p>
    <w:p w14:paraId="56611859" w14:textId="408F6EF0" w:rsidR="007503A8" w:rsidRPr="00D35D6D" w:rsidRDefault="007503A8" w:rsidP="007503A8">
      <w:pPr>
        <w:rPr>
          <w:b/>
          <w:bCs/>
        </w:rPr>
      </w:pPr>
      <w:r w:rsidRPr="00D35D6D">
        <w:rPr>
          <w:b/>
          <w:bCs/>
        </w:rPr>
        <w:t xml:space="preserve">5. The Role of Advocacy in Escalation  </w:t>
      </w:r>
    </w:p>
    <w:p w14:paraId="70B9D854" w14:textId="4EEDC284" w:rsidR="007503A8" w:rsidRDefault="00711E6F" w:rsidP="007503A8">
      <w:r w:rsidRPr="00711E6F">
        <w:t>If people cannot speak for themselves, the care workers often need the help of family related members or an attorney or an independent advocate if the case comes to the escalation process (Care Act, 2014).</w:t>
      </w:r>
    </w:p>
    <w:p w14:paraId="1C03D2A6" w14:textId="78333E58" w:rsidR="007503A8" w:rsidRPr="00D35D6D" w:rsidRDefault="007503A8" w:rsidP="007503A8">
      <w:pPr>
        <w:rPr>
          <w:b/>
          <w:bCs/>
        </w:rPr>
      </w:pPr>
      <w:r w:rsidRPr="00D35D6D">
        <w:rPr>
          <w:b/>
          <w:bCs/>
        </w:rPr>
        <w:t>Conclusion</w:t>
      </w:r>
    </w:p>
    <w:p w14:paraId="1A9D5834" w14:textId="0F8393AC" w:rsidR="0077473A" w:rsidRDefault="00711E6F" w:rsidP="0077473A">
      <w:pPr>
        <w:jc w:val="both"/>
      </w:pPr>
      <w:r w:rsidRPr="00711E6F">
        <w:t>Increasing awareness of health risks as individuals move towards further decline is important because it helps protect their safety and well-being in a care context. It means that in case of noticing signs of deterioration, using protocols, and communicating with the right caregivers, the outcomes can be timely improved. Sbar and other implementation of structure methods for communication are essential for escalating workflow.</w:t>
      </w:r>
    </w:p>
    <w:p w14:paraId="42B4D316" w14:textId="77777777" w:rsidR="00711E6F" w:rsidRDefault="00711E6F" w:rsidP="0077473A">
      <w:pPr>
        <w:jc w:val="both"/>
      </w:pPr>
    </w:p>
    <w:p w14:paraId="20465034" w14:textId="77777777" w:rsidR="00711E6F" w:rsidRDefault="00711E6F" w:rsidP="0077473A">
      <w:pPr>
        <w:jc w:val="both"/>
      </w:pPr>
    </w:p>
    <w:p w14:paraId="2FFF20E5" w14:textId="7EC42BE4" w:rsidR="007503A8" w:rsidRPr="004F2974" w:rsidRDefault="007503A8" w:rsidP="0077473A">
      <w:pPr>
        <w:jc w:val="both"/>
        <w:rPr>
          <w:b/>
          <w:bCs/>
        </w:rPr>
      </w:pPr>
      <w:r w:rsidRPr="004F2974">
        <w:rPr>
          <w:b/>
          <w:bCs/>
        </w:rPr>
        <w:lastRenderedPageBreak/>
        <w:t>References</w:t>
      </w:r>
    </w:p>
    <w:p w14:paraId="64D64B56" w14:textId="77777777" w:rsidR="007503A8" w:rsidRDefault="007503A8" w:rsidP="007503A8">
      <w:r>
        <w:t xml:space="preserve">Care Quality Commission (CQC) (2019). How to raise a concern. Available at: https://www.cqc.org.uk (Accessed: 24 December 2024).  </w:t>
      </w:r>
    </w:p>
    <w:p w14:paraId="1E95A698" w14:textId="77777777" w:rsidR="007503A8" w:rsidRDefault="007503A8" w:rsidP="007503A8">
      <w:r>
        <w:t xml:space="preserve">Health and Safety Executive (HSE) (2022). Health and safety in care settings: Policies and procedures. Available at: https://www.hse.gov.uk (Accessed: 24 December 2024).  </w:t>
      </w:r>
    </w:p>
    <w:p w14:paraId="15031D07" w14:textId="77777777" w:rsidR="007503A8" w:rsidRDefault="007503A8" w:rsidP="007503A8">
      <w:r>
        <w:t xml:space="preserve">National Institute for Health and Care Excellence (NICE) (2021). Managing acute deterioration in care settings. Available at: https://www.nice.org.uk (Accessed: 24 December 2024).  </w:t>
      </w:r>
    </w:p>
    <w:p w14:paraId="69E2856A" w14:textId="77777777" w:rsidR="007503A8" w:rsidRDefault="007503A8" w:rsidP="007503A8">
      <w:r>
        <w:t xml:space="preserve">NHS England (2018). SBAR communication tool – Situation, Background, Assessment, Recommendation. Available at: https://www.england.nhs.uk (Accessed: 24 December 2024).  </w:t>
      </w:r>
    </w:p>
    <w:p w14:paraId="131565E3" w14:textId="46D4D711" w:rsidR="007503A8" w:rsidRDefault="007503A8" w:rsidP="007503A8">
      <w:r>
        <w:t>Royal College of Physicians (2017). National Early Warning Score (NEWS) 2 – Standardizing the assessment of acute illness severity in the NHS. Available at: https://www.rcplondon.ac.uk (Accessed: 24 December 2024).</w:t>
      </w:r>
    </w:p>
    <w:p w14:paraId="36F262DF" w14:textId="77777777" w:rsidR="007503A8" w:rsidRDefault="007503A8" w:rsidP="007503A8">
      <w:r>
        <w:t xml:space="preserve">Alagiakrishnan, K., &amp; Wiens, C. A. (2004). An approach to drug-induced delirium in the elderly. Postgraduate Medical Journal, 80(945), 388-393.  </w:t>
      </w:r>
    </w:p>
    <w:p w14:paraId="0E2A5DF5" w14:textId="77777777" w:rsidR="007503A8" w:rsidRDefault="007503A8" w:rsidP="007503A8">
      <w:r>
        <w:t xml:space="preserve">Baglioni, C., </w:t>
      </w:r>
      <w:proofErr w:type="spellStart"/>
      <w:r>
        <w:t>Battagliese</w:t>
      </w:r>
      <w:proofErr w:type="spellEnd"/>
      <w:r>
        <w:t xml:space="preserve">, G., Feige, B., </w:t>
      </w:r>
      <w:proofErr w:type="spellStart"/>
      <w:r>
        <w:t>Spiegelhalder</w:t>
      </w:r>
      <w:proofErr w:type="spellEnd"/>
      <w:r>
        <w:t xml:space="preserve">, K., Nissen, C., &amp; Riemann, D. (2016). Insomnia as a predictor of depression: A meta-analytic evaluation of longitudinal epidemiological studies. Journal of Affective Disorders, 193, 10-19.  </w:t>
      </w:r>
    </w:p>
    <w:p w14:paraId="1A30CD91" w14:textId="77777777" w:rsidR="007503A8" w:rsidRDefault="007503A8" w:rsidP="007503A8">
      <w:r>
        <w:t xml:space="preserve">Clegg, A., Young, J., Iliffe, S., Rikkert, M. O., &amp; Rockwood, K. (2013). Frailty in elderly people. The Lancet, 381(9868), 752-762.  </w:t>
      </w:r>
    </w:p>
    <w:p w14:paraId="1E674B46" w14:textId="77777777" w:rsidR="007503A8" w:rsidRDefault="007503A8" w:rsidP="007503A8">
      <w:r>
        <w:t xml:space="preserve">Coleman, S., Gorecki, C., Nelson, E. A., Closs, S. J., </w:t>
      </w:r>
      <w:proofErr w:type="spellStart"/>
      <w:r>
        <w:t>Defloor</w:t>
      </w:r>
      <w:proofErr w:type="spellEnd"/>
      <w:r>
        <w:t xml:space="preserve">, T., </w:t>
      </w:r>
      <w:proofErr w:type="spellStart"/>
      <w:r>
        <w:t>Halfens</w:t>
      </w:r>
      <w:proofErr w:type="spellEnd"/>
      <w:r>
        <w:t xml:space="preserve">, R., &amp; Nixon, J. (2014). Patient risk factors for pressure ulcer development: Systematic review. International Journal of Nursing Studies, 51(5), 947-962.  </w:t>
      </w:r>
    </w:p>
    <w:p w14:paraId="7A6E665D" w14:textId="77777777" w:rsidR="007503A8" w:rsidRDefault="007503A8" w:rsidP="007503A8">
      <w:r>
        <w:t xml:space="preserve">Cornwell, E. Y., &amp; Waite, L. J. (2009). Social disconnectedness, perceived isolation, and health among older adults. Journal of Health and Social Behavior, 50(1), 31-48.  </w:t>
      </w:r>
    </w:p>
    <w:p w14:paraId="2E8BAF01" w14:textId="77777777" w:rsidR="007503A8" w:rsidRDefault="007503A8" w:rsidP="007503A8">
      <w:r>
        <w:t xml:space="preserve">El-Sharkawy, A. M., Watson, P., &amp; Jack, S. (2015). Hydration and outcome in older adults. Current Opinion in Clinical Nutrition &amp; Metabolic Care, 18(1), 17-22.  </w:t>
      </w:r>
    </w:p>
    <w:p w14:paraId="18541316" w14:textId="77777777" w:rsidR="007503A8" w:rsidRDefault="007503A8" w:rsidP="007503A8">
      <w:r>
        <w:t xml:space="preserve">Herr, K., Coyne, P. J., McCaffery, M., </w:t>
      </w:r>
      <w:proofErr w:type="spellStart"/>
      <w:r>
        <w:t>Manworren</w:t>
      </w:r>
      <w:proofErr w:type="spellEnd"/>
      <w:r>
        <w:t xml:space="preserve">, R., &amp; Merkel, S. (2011). Pain assessment in the patient unable to self-report: Position statement with clinical practice recommendations. Pain Management Nursing, 12(4), 230-250.  </w:t>
      </w:r>
    </w:p>
    <w:p w14:paraId="28202349" w14:textId="77777777" w:rsidR="007503A8" w:rsidRDefault="007503A8" w:rsidP="007503A8">
      <w:r>
        <w:t xml:space="preserve">Lacey, K., &amp; Pritchett, E. (2003). Nutritional assessment and intervention in older adults. British Journal of Nursing, 12(4), 237-241.  </w:t>
      </w:r>
    </w:p>
    <w:p w14:paraId="260295F1" w14:textId="6E4B9026" w:rsidR="007503A8" w:rsidRDefault="007503A8" w:rsidP="007503A8">
      <w:r>
        <w:t xml:space="preserve">National Institute for Health and Care Excellence (NICE) (2021). Respiratory tract infections (self-limiting): NICE clinical guideline. Available at: https://www.nice.org.uk (Accessed: 24 December 2024).  </w:t>
      </w:r>
    </w:p>
    <w:p w14:paraId="1AF529A4" w14:textId="77777777" w:rsidR="0077473A" w:rsidRDefault="007503A8" w:rsidP="007503A8">
      <w:r>
        <w:t xml:space="preserve">National Institute of Mental Health (2020). Depression. Available at: https://www.nimh.nih.gov/health/topics/depression (Accessed: 24 December 2024).  </w:t>
      </w:r>
    </w:p>
    <w:p w14:paraId="1CC7E410" w14:textId="4A4B2F80" w:rsidR="007503A8" w:rsidRDefault="007503A8" w:rsidP="007503A8">
      <w:r>
        <w:lastRenderedPageBreak/>
        <w:t>Royal College of Physicians (2017). National Early Warning Score (NEWS) 2. Improving detection and response to clinical deterioration in adults. Available at: https://www.rcplondon.ac.uk (Accessed: 24 December 2024).</w:t>
      </w:r>
    </w:p>
    <w:p w14:paraId="793077C7" w14:textId="416A20CF" w:rsidR="007503A8" w:rsidRDefault="007503A8" w:rsidP="007503A8">
      <w:r>
        <w:t xml:space="preserve">Holt-Lunstad, J., Smith, T. B., Baker, M., Harris, T., &amp; Stephenson, D. (2015). Loneliness and social isolation as risk factors for mortality: A meta-analytic review. Perspectives on Psychological Science, 10(2), 227-237.  </w:t>
      </w:r>
    </w:p>
    <w:p w14:paraId="0E6EDF8B" w14:textId="1F7980D7" w:rsidR="007503A8" w:rsidRDefault="007503A8" w:rsidP="007503A8">
      <w:r>
        <w:t xml:space="preserve">Lupton, D. (2018). Digital health: Critical and cross-disciplinary perspectives. Routledge.  </w:t>
      </w:r>
    </w:p>
    <w:p w14:paraId="0100654C" w14:textId="13507134" w:rsidR="007503A8" w:rsidRDefault="007503A8" w:rsidP="007503A8">
      <w:r>
        <w:t xml:space="preserve">McCabe, C., &amp; Timmins, F. (2013). Communication skills for nursing practice. 2nd edn. Palgrave Macmillan.  </w:t>
      </w:r>
    </w:p>
    <w:p w14:paraId="74D8A8A3" w14:textId="10139B1B" w:rsidR="007503A8" w:rsidRDefault="007503A8" w:rsidP="007503A8">
      <w:r>
        <w:t xml:space="preserve">McCormack, B., &amp; McCance, T. (2017). Person-centred practice in nursing and health care: Theory and practice. Wiley-Blackwell.  </w:t>
      </w:r>
    </w:p>
    <w:p w14:paraId="0EA45B8E" w14:textId="5B320BA9" w:rsidR="007503A8" w:rsidRDefault="007503A8" w:rsidP="007503A8">
      <w:r>
        <w:t xml:space="preserve">NHS (2023). NHS weight loss plan. Available at: https://www.nhs.uk/live-well/healthy-weight/start-the-nhs-weight-loss-plan/ (Accessed: 24 December 2024).  </w:t>
      </w:r>
    </w:p>
    <w:p w14:paraId="3EE0A298" w14:textId="29F63CB8" w:rsidR="007503A8" w:rsidRDefault="007503A8" w:rsidP="007503A8">
      <w:r>
        <w:t xml:space="preserve">NICE (2016). Patient experience in adult NHS services: improving the experience of care for people using adult NHS services. National Institute for Health and Care Excellence.  </w:t>
      </w:r>
    </w:p>
    <w:p w14:paraId="54BA61CD" w14:textId="66842F04" w:rsidR="007503A8" w:rsidRDefault="007503A8" w:rsidP="007503A8">
      <w:r>
        <w:t xml:space="preserve">Vermeulen, J., Neyens, J. C., van Rossum, E., </w:t>
      </w:r>
      <w:proofErr w:type="spellStart"/>
      <w:r>
        <w:t>Spreeuwenberg</w:t>
      </w:r>
      <w:proofErr w:type="spellEnd"/>
      <w:r>
        <w:t xml:space="preserve">, M. D., &amp; de Witte, L. P. (2018). The use of assistive devices for independence in daily life: A review. Ageing Research Reviews, 5(1), 31-42.  </w:t>
      </w:r>
    </w:p>
    <w:p w14:paraId="73C6F26A" w14:textId="780C93ED" w:rsidR="007503A8" w:rsidRDefault="007503A8" w:rsidP="007503A8">
      <w:r>
        <w:t>World Health Organization (2021). Promoting health and well-being. Available at: https://www.who.int/health-topics/health-promotion (Accessed: 24 December 2024).</w:t>
      </w:r>
    </w:p>
    <w:p w14:paraId="130A9F90" w14:textId="1593E562" w:rsidR="007503A8" w:rsidRDefault="007503A8" w:rsidP="007503A8">
      <w:r>
        <w:t xml:space="preserve">Baumeister, R. F., &amp; Leary, M. R. (1995). The need to belong: Desire for interpersonal attachments as a fundamental human motivation. Psychological Bulletin, 117(3), 497-529.  </w:t>
      </w:r>
    </w:p>
    <w:p w14:paraId="7786E8B3" w14:textId="65D3A4DC" w:rsidR="007503A8" w:rsidRDefault="007503A8" w:rsidP="007503A8">
      <w:r>
        <w:t>Fallowfield, L., Jenkins, V., Farewell, V., &amp; Solis-</w:t>
      </w:r>
      <w:proofErr w:type="spellStart"/>
      <w:r>
        <w:t>Trapala</w:t>
      </w:r>
      <w:proofErr w:type="spellEnd"/>
      <w:r>
        <w:t xml:space="preserve">, I. (2002). Endocrine therapy for older women with breast cancer: The impact on quality of life of women randomized to tamoxifen alone compared to tamoxifen and radiotherapy. British Journal of Cancer, 86(1), 65-71.  </w:t>
      </w:r>
    </w:p>
    <w:p w14:paraId="6BFF5902" w14:textId="036877F9" w:rsidR="007503A8" w:rsidRDefault="007503A8" w:rsidP="007503A8">
      <w:r>
        <w:t xml:space="preserve">Holt-Lunstad, J., Smith, T. B., Baker, M., Harris, T., &amp; Stephenson, D. (2015). Loneliness and social isolation as risk factors for mortality: A meta-analytic review. Perspectives on Psychological Science, 10(2), 227-237.  </w:t>
      </w:r>
    </w:p>
    <w:p w14:paraId="1E00AA7C" w14:textId="59CF3C16" w:rsidR="007503A8" w:rsidRDefault="007503A8" w:rsidP="007503A8">
      <w:r>
        <w:t xml:space="preserve">McCormack, B., &amp; McCance, T. (2017). Person-centred practice in nursing and health care: Theory and practice. Wiley-Blackwell.  </w:t>
      </w:r>
    </w:p>
    <w:p w14:paraId="7FE17E0F" w14:textId="389527EB" w:rsidR="007503A8" w:rsidRDefault="007503A8" w:rsidP="007503A8">
      <w:r>
        <w:t xml:space="preserve">NICE (2018). Dementia: assessment, management and support for people living with dementia and their </w:t>
      </w:r>
      <w:r w:rsidR="0077473A">
        <w:t>careers</w:t>
      </w:r>
      <w:r>
        <w:t>. National Institute for Health and Care Excellence.</w:t>
      </w:r>
    </w:p>
    <w:p w14:paraId="08AE0056" w14:textId="77777777" w:rsidR="007503A8" w:rsidRDefault="007503A8" w:rsidP="007503A8">
      <w:r>
        <w:t>Ryan, R. M., &amp; Deci, E. L. (2000). Self-determination theory and the facilitation of intrinsic motivation, social development, and well-being. American Psychologist, 55(1), 68-78.</w:t>
      </w:r>
    </w:p>
    <w:p w14:paraId="164F9286" w14:textId="77777777" w:rsidR="007503A8" w:rsidRDefault="007503A8"/>
    <w:p w14:paraId="0178224D" w14:textId="77777777" w:rsidR="007503A8" w:rsidRDefault="007503A8"/>
    <w:sectPr w:rsidR="007503A8" w:rsidSect="00C06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078E3"/>
    <w:multiLevelType w:val="hybridMultilevel"/>
    <w:tmpl w:val="C62ACC54"/>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817981"/>
    <w:multiLevelType w:val="hybridMultilevel"/>
    <w:tmpl w:val="487898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75C85"/>
    <w:multiLevelType w:val="hybridMultilevel"/>
    <w:tmpl w:val="C5ACC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72E49"/>
    <w:multiLevelType w:val="hybridMultilevel"/>
    <w:tmpl w:val="1BD08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5A24BC"/>
    <w:multiLevelType w:val="hybridMultilevel"/>
    <w:tmpl w:val="19DA12BA"/>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BCF3F83"/>
    <w:multiLevelType w:val="hybridMultilevel"/>
    <w:tmpl w:val="BB02CE7E"/>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C5F5215"/>
    <w:multiLevelType w:val="hybridMultilevel"/>
    <w:tmpl w:val="04241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1B7AA9"/>
    <w:multiLevelType w:val="hybridMultilevel"/>
    <w:tmpl w:val="F1B8C1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5C6271"/>
    <w:multiLevelType w:val="hybridMultilevel"/>
    <w:tmpl w:val="8968EB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6C2F6F"/>
    <w:multiLevelType w:val="hybridMultilevel"/>
    <w:tmpl w:val="43E88290"/>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6100B80"/>
    <w:multiLevelType w:val="hybridMultilevel"/>
    <w:tmpl w:val="ACA27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9F6318"/>
    <w:multiLevelType w:val="hybridMultilevel"/>
    <w:tmpl w:val="BBDA0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E022C3"/>
    <w:multiLevelType w:val="hybridMultilevel"/>
    <w:tmpl w:val="8BDC21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DA0738"/>
    <w:multiLevelType w:val="hybridMultilevel"/>
    <w:tmpl w:val="594ADE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6C46A4"/>
    <w:multiLevelType w:val="hybridMultilevel"/>
    <w:tmpl w:val="BEBCC358"/>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CAA6A2D"/>
    <w:multiLevelType w:val="hybridMultilevel"/>
    <w:tmpl w:val="246E1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A55CCA"/>
    <w:multiLevelType w:val="hybridMultilevel"/>
    <w:tmpl w:val="0AAA6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BE2740"/>
    <w:multiLevelType w:val="hybridMultilevel"/>
    <w:tmpl w:val="DE8A1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ED4A16"/>
    <w:multiLevelType w:val="hybridMultilevel"/>
    <w:tmpl w:val="3AD44B24"/>
    <w:lvl w:ilvl="0" w:tplc="0409000F">
      <w:start w:val="1"/>
      <w:numFmt w:val="decimal"/>
      <w:lvlText w:val="%1."/>
      <w:lvlJc w:val="left"/>
      <w:pPr>
        <w:ind w:left="720" w:hanging="360"/>
      </w:pPr>
    </w:lvl>
    <w:lvl w:ilvl="1" w:tplc="2C727E02">
      <w:start w:val="1"/>
      <w:numFmt w:val="decimal"/>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EA1AB7"/>
    <w:multiLevelType w:val="hybridMultilevel"/>
    <w:tmpl w:val="306CFD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CB318C5"/>
    <w:multiLevelType w:val="hybridMultilevel"/>
    <w:tmpl w:val="F274F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6240BD"/>
    <w:multiLevelType w:val="hybridMultilevel"/>
    <w:tmpl w:val="C8E6C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434D54"/>
    <w:multiLevelType w:val="hybridMultilevel"/>
    <w:tmpl w:val="B3820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E86805"/>
    <w:multiLevelType w:val="hybridMultilevel"/>
    <w:tmpl w:val="9CAACE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6653BA"/>
    <w:multiLevelType w:val="hybridMultilevel"/>
    <w:tmpl w:val="6BDC766A"/>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47D569C"/>
    <w:multiLevelType w:val="hybridMultilevel"/>
    <w:tmpl w:val="6714D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5070B03"/>
    <w:multiLevelType w:val="multilevel"/>
    <w:tmpl w:val="6E10F7E6"/>
    <w:lvl w:ilvl="0">
      <w:start w:val="1"/>
      <w:numFmt w:val="decimal"/>
      <w:lvlText w:val="%1."/>
      <w:lvlJc w:val="left"/>
      <w:pPr>
        <w:ind w:left="1440" w:hanging="360"/>
      </w:pPr>
      <w:rPr>
        <w:rFonts w:asciiTheme="minorHAnsi" w:eastAsiaTheme="minorHAnsi" w:hAnsiTheme="minorHAnsi" w:cstheme="minorBidi"/>
      </w:rPr>
    </w:lvl>
    <w:lvl w:ilvl="1">
      <w:start w:val="3"/>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7" w15:restartNumberingAfterBreak="0">
    <w:nsid w:val="35A4242F"/>
    <w:multiLevelType w:val="hybridMultilevel"/>
    <w:tmpl w:val="9D7658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6005D5D"/>
    <w:multiLevelType w:val="hybridMultilevel"/>
    <w:tmpl w:val="E6EC6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E6347B"/>
    <w:multiLevelType w:val="hybridMultilevel"/>
    <w:tmpl w:val="3E7A2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89E3600"/>
    <w:multiLevelType w:val="hybridMultilevel"/>
    <w:tmpl w:val="DDACA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A7008B4"/>
    <w:multiLevelType w:val="hybridMultilevel"/>
    <w:tmpl w:val="A3B4E1BC"/>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3B4C2571"/>
    <w:multiLevelType w:val="hybridMultilevel"/>
    <w:tmpl w:val="0BBA5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DF52692"/>
    <w:multiLevelType w:val="hybridMultilevel"/>
    <w:tmpl w:val="B7B29F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EB6069D"/>
    <w:multiLevelType w:val="hybridMultilevel"/>
    <w:tmpl w:val="BED21062"/>
    <w:lvl w:ilvl="0" w:tplc="0409000F">
      <w:start w:val="1"/>
      <w:numFmt w:val="decimal"/>
      <w:lvlText w:val="%1."/>
      <w:lvlJc w:val="left"/>
      <w:pPr>
        <w:ind w:left="720" w:hanging="360"/>
      </w:pPr>
    </w:lvl>
    <w:lvl w:ilvl="1" w:tplc="CC464362">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13E182C"/>
    <w:multiLevelType w:val="hybridMultilevel"/>
    <w:tmpl w:val="7A826BCE"/>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44D73342"/>
    <w:multiLevelType w:val="hybridMultilevel"/>
    <w:tmpl w:val="14B01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57D17C2"/>
    <w:multiLevelType w:val="hybridMultilevel"/>
    <w:tmpl w:val="2CDA0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62D665B"/>
    <w:multiLevelType w:val="multilevel"/>
    <w:tmpl w:val="D8A2739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46B43447"/>
    <w:multiLevelType w:val="hybridMultilevel"/>
    <w:tmpl w:val="896C61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74C7D6D"/>
    <w:multiLevelType w:val="hybridMultilevel"/>
    <w:tmpl w:val="9BD25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8E36082"/>
    <w:multiLevelType w:val="hybridMultilevel"/>
    <w:tmpl w:val="5C6C0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9A33E83"/>
    <w:multiLevelType w:val="hybridMultilevel"/>
    <w:tmpl w:val="81D8A8FE"/>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4B9D0C2E"/>
    <w:multiLevelType w:val="hybridMultilevel"/>
    <w:tmpl w:val="D77666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4E12504C"/>
    <w:multiLevelType w:val="hybridMultilevel"/>
    <w:tmpl w:val="869C7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08078F4"/>
    <w:multiLevelType w:val="hybridMultilevel"/>
    <w:tmpl w:val="37088A88"/>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520A0FF1"/>
    <w:multiLevelType w:val="hybridMultilevel"/>
    <w:tmpl w:val="0706ABF4"/>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520B3535"/>
    <w:multiLevelType w:val="hybridMultilevel"/>
    <w:tmpl w:val="D256B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3C616D3"/>
    <w:multiLevelType w:val="hybridMultilevel"/>
    <w:tmpl w:val="B0A06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4EB1220"/>
    <w:multiLevelType w:val="hybridMultilevel"/>
    <w:tmpl w:val="5B0EC18C"/>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55A55206"/>
    <w:multiLevelType w:val="hybridMultilevel"/>
    <w:tmpl w:val="DEBA41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08166B"/>
    <w:multiLevelType w:val="hybridMultilevel"/>
    <w:tmpl w:val="67245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A860F41"/>
    <w:multiLevelType w:val="hybridMultilevel"/>
    <w:tmpl w:val="97AE5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DA132D3"/>
    <w:multiLevelType w:val="hybridMultilevel"/>
    <w:tmpl w:val="3D425D90"/>
    <w:lvl w:ilvl="0" w:tplc="872C36C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5E233D41"/>
    <w:multiLevelType w:val="hybridMultilevel"/>
    <w:tmpl w:val="465831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F4B10DA"/>
    <w:multiLevelType w:val="hybridMultilevel"/>
    <w:tmpl w:val="4B849E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087588C"/>
    <w:multiLevelType w:val="hybridMultilevel"/>
    <w:tmpl w:val="FC9233A6"/>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613172AC"/>
    <w:multiLevelType w:val="hybridMultilevel"/>
    <w:tmpl w:val="A508B908"/>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63807503"/>
    <w:multiLevelType w:val="hybridMultilevel"/>
    <w:tmpl w:val="9EDCF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769649E"/>
    <w:multiLevelType w:val="hybridMultilevel"/>
    <w:tmpl w:val="5D24C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85B40C4"/>
    <w:multiLevelType w:val="hybridMultilevel"/>
    <w:tmpl w:val="B13843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A1B4B6E"/>
    <w:multiLevelType w:val="hybridMultilevel"/>
    <w:tmpl w:val="F594B06C"/>
    <w:lvl w:ilvl="0" w:tplc="0409000F">
      <w:start w:val="1"/>
      <w:numFmt w:val="decimal"/>
      <w:lvlText w:val="%1."/>
      <w:lvlJc w:val="left"/>
      <w:pPr>
        <w:ind w:left="720" w:hanging="360"/>
      </w:pPr>
    </w:lvl>
    <w:lvl w:ilvl="1" w:tplc="A30C7416">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BF574BF"/>
    <w:multiLevelType w:val="hybridMultilevel"/>
    <w:tmpl w:val="484AA1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C733E54"/>
    <w:multiLevelType w:val="hybridMultilevel"/>
    <w:tmpl w:val="C9CAC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D5938A8"/>
    <w:multiLevelType w:val="hybridMultilevel"/>
    <w:tmpl w:val="0768602C"/>
    <w:lvl w:ilvl="0" w:tplc="0409000F">
      <w:start w:val="1"/>
      <w:numFmt w:val="decimal"/>
      <w:lvlText w:val="%1."/>
      <w:lvlJc w:val="left"/>
      <w:pPr>
        <w:ind w:left="720" w:hanging="360"/>
      </w:pPr>
    </w:lvl>
    <w:lvl w:ilvl="1" w:tplc="EB2EC8D4">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F2B2369"/>
    <w:multiLevelType w:val="hybridMultilevel"/>
    <w:tmpl w:val="D7C06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F83387B"/>
    <w:multiLevelType w:val="hybridMultilevel"/>
    <w:tmpl w:val="E64A48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FBB18F6"/>
    <w:multiLevelType w:val="hybridMultilevel"/>
    <w:tmpl w:val="55C6196C"/>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703E514D"/>
    <w:multiLevelType w:val="hybridMultilevel"/>
    <w:tmpl w:val="66D0B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173291B"/>
    <w:multiLevelType w:val="hybridMultilevel"/>
    <w:tmpl w:val="3AC28E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3332D21"/>
    <w:multiLevelType w:val="hybridMultilevel"/>
    <w:tmpl w:val="EF4CE7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9766EB6"/>
    <w:multiLevelType w:val="hybridMultilevel"/>
    <w:tmpl w:val="2C646608"/>
    <w:lvl w:ilvl="0" w:tplc="872C36CA">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9CC4746"/>
    <w:multiLevelType w:val="hybridMultilevel"/>
    <w:tmpl w:val="1C1CB2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D142F52"/>
    <w:multiLevelType w:val="hybridMultilevel"/>
    <w:tmpl w:val="19B6A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D8E770C"/>
    <w:multiLevelType w:val="hybridMultilevel"/>
    <w:tmpl w:val="9E8C0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E1533BB"/>
    <w:multiLevelType w:val="hybridMultilevel"/>
    <w:tmpl w:val="B1A494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F0951AF"/>
    <w:multiLevelType w:val="multilevel"/>
    <w:tmpl w:val="6E10F7E6"/>
    <w:lvl w:ilvl="0">
      <w:start w:val="1"/>
      <w:numFmt w:val="decimal"/>
      <w:lvlText w:val="%1."/>
      <w:lvlJc w:val="left"/>
      <w:pPr>
        <w:ind w:left="1440" w:hanging="360"/>
      </w:pPr>
      <w:rPr>
        <w:rFonts w:asciiTheme="minorHAnsi" w:eastAsiaTheme="minorHAnsi" w:hAnsiTheme="minorHAnsi" w:cstheme="minorBidi"/>
      </w:rPr>
    </w:lvl>
    <w:lvl w:ilvl="1">
      <w:start w:val="3"/>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77" w15:restartNumberingAfterBreak="0">
    <w:nsid w:val="7FE01AC5"/>
    <w:multiLevelType w:val="hybridMultilevel"/>
    <w:tmpl w:val="65642A2E"/>
    <w:lvl w:ilvl="0" w:tplc="872C36CA">
      <w:start w:val="1"/>
      <w:numFmt w:val="decimal"/>
      <w:lvlText w:val="%1."/>
      <w:lvlJc w:val="left"/>
      <w:pPr>
        <w:ind w:left="144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595485">
    <w:abstractNumId w:val="34"/>
  </w:num>
  <w:num w:numId="2" w16cid:durableId="746345253">
    <w:abstractNumId w:val="61"/>
  </w:num>
  <w:num w:numId="3" w16cid:durableId="842431502">
    <w:abstractNumId w:val="64"/>
  </w:num>
  <w:num w:numId="4" w16cid:durableId="1416705080">
    <w:abstractNumId w:val="72"/>
  </w:num>
  <w:num w:numId="5" w16cid:durableId="1223756857">
    <w:abstractNumId w:val="18"/>
  </w:num>
  <w:num w:numId="6" w16cid:durableId="636422530">
    <w:abstractNumId w:val="62"/>
  </w:num>
  <w:num w:numId="7" w16cid:durableId="130563523">
    <w:abstractNumId w:val="59"/>
  </w:num>
  <w:num w:numId="8" w16cid:durableId="406003881">
    <w:abstractNumId w:val="19"/>
  </w:num>
  <w:num w:numId="9" w16cid:durableId="757021798">
    <w:abstractNumId w:val="53"/>
  </w:num>
  <w:num w:numId="10" w16cid:durableId="1806463620">
    <w:abstractNumId w:val="77"/>
  </w:num>
  <w:num w:numId="11" w16cid:durableId="31030786">
    <w:abstractNumId w:val="71"/>
  </w:num>
  <w:num w:numId="12" w16cid:durableId="433330988">
    <w:abstractNumId w:val="36"/>
  </w:num>
  <w:num w:numId="13" w16cid:durableId="867646532">
    <w:abstractNumId w:val="20"/>
  </w:num>
  <w:num w:numId="14" w16cid:durableId="1461652225">
    <w:abstractNumId w:val="50"/>
  </w:num>
  <w:num w:numId="15" w16cid:durableId="1997563483">
    <w:abstractNumId w:val="69"/>
  </w:num>
  <w:num w:numId="16" w16cid:durableId="2075931266">
    <w:abstractNumId w:val="57"/>
  </w:num>
  <w:num w:numId="17" w16cid:durableId="172257967">
    <w:abstractNumId w:val="60"/>
  </w:num>
  <w:num w:numId="18" w16cid:durableId="2057193880">
    <w:abstractNumId w:val="75"/>
  </w:num>
  <w:num w:numId="19" w16cid:durableId="2079086031">
    <w:abstractNumId w:val="35"/>
  </w:num>
  <w:num w:numId="20" w16cid:durableId="322051690">
    <w:abstractNumId w:val="7"/>
  </w:num>
  <w:num w:numId="21" w16cid:durableId="332880022">
    <w:abstractNumId w:val="49"/>
  </w:num>
  <w:num w:numId="22" w16cid:durableId="7760922">
    <w:abstractNumId w:val="73"/>
  </w:num>
  <w:num w:numId="23" w16cid:durableId="2018186852">
    <w:abstractNumId w:val="9"/>
  </w:num>
  <w:num w:numId="24" w16cid:durableId="474301764">
    <w:abstractNumId w:val="8"/>
  </w:num>
  <w:num w:numId="25" w16cid:durableId="2110461481">
    <w:abstractNumId w:val="43"/>
  </w:num>
  <w:num w:numId="26" w16cid:durableId="5984043">
    <w:abstractNumId w:val="76"/>
  </w:num>
  <w:num w:numId="27" w16cid:durableId="501773182">
    <w:abstractNumId w:val="38"/>
  </w:num>
  <w:num w:numId="28" w16cid:durableId="344328295">
    <w:abstractNumId w:val="12"/>
  </w:num>
  <w:num w:numId="29" w16cid:durableId="145900588">
    <w:abstractNumId w:val="4"/>
  </w:num>
  <w:num w:numId="30" w16cid:durableId="1815559043">
    <w:abstractNumId w:val="33"/>
  </w:num>
  <w:num w:numId="31" w16cid:durableId="871305109">
    <w:abstractNumId w:val="56"/>
  </w:num>
  <w:num w:numId="32" w16cid:durableId="1627810318">
    <w:abstractNumId w:val="68"/>
  </w:num>
  <w:num w:numId="33" w16cid:durableId="1505123092">
    <w:abstractNumId w:val="47"/>
  </w:num>
  <w:num w:numId="34" w16cid:durableId="517082094">
    <w:abstractNumId w:val="55"/>
  </w:num>
  <w:num w:numId="35" w16cid:durableId="1410350418">
    <w:abstractNumId w:val="24"/>
  </w:num>
  <w:num w:numId="36" w16cid:durableId="1000354589">
    <w:abstractNumId w:val="13"/>
  </w:num>
  <w:num w:numId="37" w16cid:durableId="103774521">
    <w:abstractNumId w:val="31"/>
  </w:num>
  <w:num w:numId="38" w16cid:durableId="1107769140">
    <w:abstractNumId w:val="10"/>
  </w:num>
  <w:num w:numId="39" w16cid:durableId="259143348">
    <w:abstractNumId w:val="39"/>
  </w:num>
  <w:num w:numId="40" w16cid:durableId="1218319834">
    <w:abstractNumId w:val="46"/>
  </w:num>
  <w:num w:numId="41" w16cid:durableId="1679767803">
    <w:abstractNumId w:val="21"/>
  </w:num>
  <w:num w:numId="42" w16cid:durableId="925188111">
    <w:abstractNumId w:val="40"/>
  </w:num>
  <w:num w:numId="43" w16cid:durableId="1730111279">
    <w:abstractNumId w:val="44"/>
  </w:num>
  <w:num w:numId="44" w16cid:durableId="559168163">
    <w:abstractNumId w:val="23"/>
  </w:num>
  <w:num w:numId="45" w16cid:durableId="2087530164">
    <w:abstractNumId w:val="0"/>
  </w:num>
  <w:num w:numId="46" w16cid:durableId="1365058556">
    <w:abstractNumId w:val="37"/>
  </w:num>
  <w:num w:numId="47" w16cid:durableId="466776527">
    <w:abstractNumId w:val="17"/>
  </w:num>
  <w:num w:numId="48" w16cid:durableId="1871064528">
    <w:abstractNumId w:val="26"/>
  </w:num>
  <w:num w:numId="49" w16cid:durableId="2118871607">
    <w:abstractNumId w:val="32"/>
  </w:num>
  <w:num w:numId="50" w16cid:durableId="598833138">
    <w:abstractNumId w:val="41"/>
  </w:num>
  <w:num w:numId="51" w16cid:durableId="2131894518">
    <w:abstractNumId w:val="51"/>
  </w:num>
  <w:num w:numId="52" w16cid:durableId="1175875083">
    <w:abstractNumId w:val="58"/>
  </w:num>
  <w:num w:numId="53" w16cid:durableId="1512717659">
    <w:abstractNumId w:val="29"/>
  </w:num>
  <w:num w:numId="54" w16cid:durableId="220210442">
    <w:abstractNumId w:val="11"/>
  </w:num>
  <w:num w:numId="55" w16cid:durableId="1462728263">
    <w:abstractNumId w:val="2"/>
  </w:num>
  <w:num w:numId="56" w16cid:durableId="1735733811">
    <w:abstractNumId w:val="74"/>
  </w:num>
  <w:num w:numId="57" w16cid:durableId="937178121">
    <w:abstractNumId w:val="65"/>
  </w:num>
  <w:num w:numId="58" w16cid:durableId="1147474527">
    <w:abstractNumId w:val="63"/>
  </w:num>
  <w:num w:numId="59" w16cid:durableId="1182864430">
    <w:abstractNumId w:val="52"/>
  </w:num>
  <w:num w:numId="60" w16cid:durableId="322783577">
    <w:abstractNumId w:val="6"/>
  </w:num>
  <w:num w:numId="61" w16cid:durableId="784420590">
    <w:abstractNumId w:val="15"/>
  </w:num>
  <w:num w:numId="62" w16cid:durableId="1739933818">
    <w:abstractNumId w:val="3"/>
  </w:num>
  <w:num w:numId="63" w16cid:durableId="1942642248">
    <w:abstractNumId w:val="25"/>
  </w:num>
  <w:num w:numId="64" w16cid:durableId="1384058509">
    <w:abstractNumId w:val="54"/>
  </w:num>
  <w:num w:numId="65" w16cid:durableId="1131630499">
    <w:abstractNumId w:val="5"/>
  </w:num>
  <w:num w:numId="66" w16cid:durableId="76632268">
    <w:abstractNumId w:val="70"/>
  </w:num>
  <w:num w:numId="67" w16cid:durableId="2023387068">
    <w:abstractNumId w:val="42"/>
  </w:num>
  <w:num w:numId="68" w16cid:durableId="260534050">
    <w:abstractNumId w:val="27"/>
  </w:num>
  <w:num w:numId="69" w16cid:durableId="1110078503">
    <w:abstractNumId w:val="14"/>
  </w:num>
  <w:num w:numId="70" w16cid:durableId="1927570575">
    <w:abstractNumId w:val="1"/>
  </w:num>
  <w:num w:numId="71" w16cid:durableId="2008825980">
    <w:abstractNumId w:val="45"/>
  </w:num>
  <w:num w:numId="72" w16cid:durableId="628825666">
    <w:abstractNumId w:val="66"/>
  </w:num>
  <w:num w:numId="73" w16cid:durableId="998314602">
    <w:abstractNumId w:val="67"/>
  </w:num>
  <w:num w:numId="74" w16cid:durableId="1024214763">
    <w:abstractNumId w:val="22"/>
  </w:num>
  <w:num w:numId="75" w16cid:durableId="2011255654">
    <w:abstractNumId w:val="28"/>
  </w:num>
  <w:num w:numId="76" w16cid:durableId="837695370">
    <w:abstractNumId w:val="48"/>
  </w:num>
  <w:num w:numId="77" w16cid:durableId="456798135">
    <w:abstractNumId w:val="30"/>
  </w:num>
  <w:num w:numId="78" w16cid:durableId="203753955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3A8"/>
    <w:rsid w:val="000A062D"/>
    <w:rsid w:val="000D019F"/>
    <w:rsid w:val="001066B1"/>
    <w:rsid w:val="00115FE6"/>
    <w:rsid w:val="001A06BA"/>
    <w:rsid w:val="00200A77"/>
    <w:rsid w:val="002176F0"/>
    <w:rsid w:val="002636BB"/>
    <w:rsid w:val="003069D8"/>
    <w:rsid w:val="0034555F"/>
    <w:rsid w:val="00390799"/>
    <w:rsid w:val="0042041F"/>
    <w:rsid w:val="004E13CF"/>
    <w:rsid w:val="004F2974"/>
    <w:rsid w:val="005F0160"/>
    <w:rsid w:val="005F4A37"/>
    <w:rsid w:val="00611A00"/>
    <w:rsid w:val="0063047A"/>
    <w:rsid w:val="00631E83"/>
    <w:rsid w:val="00675E9F"/>
    <w:rsid w:val="006807A6"/>
    <w:rsid w:val="006A27F8"/>
    <w:rsid w:val="00711E6F"/>
    <w:rsid w:val="00750003"/>
    <w:rsid w:val="007503A8"/>
    <w:rsid w:val="00760477"/>
    <w:rsid w:val="0077473A"/>
    <w:rsid w:val="008108AC"/>
    <w:rsid w:val="008179D3"/>
    <w:rsid w:val="008B4EAC"/>
    <w:rsid w:val="0096043B"/>
    <w:rsid w:val="009964A6"/>
    <w:rsid w:val="00BB2486"/>
    <w:rsid w:val="00BD3C38"/>
    <w:rsid w:val="00C06E90"/>
    <w:rsid w:val="00C202D5"/>
    <w:rsid w:val="00CB2157"/>
    <w:rsid w:val="00D35D6D"/>
    <w:rsid w:val="00D722FD"/>
    <w:rsid w:val="00E316DC"/>
    <w:rsid w:val="00E77F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F5DE53"/>
  <w15:chartTrackingRefBased/>
  <w15:docId w15:val="{72767978-0EC0-4F55-BC1F-C3A537834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3A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503A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503A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503A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7503A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7503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03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03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03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3A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503A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503A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503A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7503A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7503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03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03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03A8"/>
    <w:rPr>
      <w:rFonts w:eastAsiaTheme="majorEastAsia" w:cstheme="majorBidi"/>
      <w:color w:val="272727" w:themeColor="text1" w:themeTint="D8"/>
    </w:rPr>
  </w:style>
  <w:style w:type="paragraph" w:styleId="Title">
    <w:name w:val="Title"/>
    <w:basedOn w:val="Normal"/>
    <w:next w:val="Normal"/>
    <w:link w:val="TitleChar"/>
    <w:uiPriority w:val="10"/>
    <w:qFormat/>
    <w:rsid w:val="007503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3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03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03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03A8"/>
    <w:pPr>
      <w:spacing w:before="160"/>
      <w:jc w:val="center"/>
    </w:pPr>
    <w:rPr>
      <w:i/>
      <w:iCs/>
      <w:color w:val="404040" w:themeColor="text1" w:themeTint="BF"/>
    </w:rPr>
  </w:style>
  <w:style w:type="character" w:customStyle="1" w:styleId="QuoteChar">
    <w:name w:val="Quote Char"/>
    <w:basedOn w:val="DefaultParagraphFont"/>
    <w:link w:val="Quote"/>
    <w:uiPriority w:val="29"/>
    <w:rsid w:val="007503A8"/>
    <w:rPr>
      <w:i/>
      <w:iCs/>
      <w:color w:val="404040" w:themeColor="text1" w:themeTint="BF"/>
    </w:rPr>
  </w:style>
  <w:style w:type="paragraph" w:styleId="ListParagraph">
    <w:name w:val="List Paragraph"/>
    <w:basedOn w:val="Normal"/>
    <w:uiPriority w:val="34"/>
    <w:qFormat/>
    <w:rsid w:val="007503A8"/>
    <w:pPr>
      <w:ind w:left="720"/>
      <w:contextualSpacing/>
    </w:pPr>
  </w:style>
  <w:style w:type="character" w:styleId="IntenseEmphasis">
    <w:name w:val="Intense Emphasis"/>
    <w:basedOn w:val="DefaultParagraphFont"/>
    <w:uiPriority w:val="21"/>
    <w:qFormat/>
    <w:rsid w:val="007503A8"/>
    <w:rPr>
      <w:i/>
      <w:iCs/>
      <w:color w:val="2E74B5" w:themeColor="accent1" w:themeShade="BF"/>
    </w:rPr>
  </w:style>
  <w:style w:type="paragraph" w:styleId="IntenseQuote">
    <w:name w:val="Intense Quote"/>
    <w:basedOn w:val="Normal"/>
    <w:next w:val="Normal"/>
    <w:link w:val="IntenseQuoteChar"/>
    <w:uiPriority w:val="30"/>
    <w:qFormat/>
    <w:rsid w:val="007503A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503A8"/>
    <w:rPr>
      <w:i/>
      <w:iCs/>
      <w:color w:val="2E74B5" w:themeColor="accent1" w:themeShade="BF"/>
    </w:rPr>
  </w:style>
  <w:style w:type="character" w:styleId="IntenseReference">
    <w:name w:val="Intense Reference"/>
    <w:basedOn w:val="DefaultParagraphFont"/>
    <w:uiPriority w:val="32"/>
    <w:qFormat/>
    <w:rsid w:val="007503A8"/>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12</Pages>
  <Words>3856</Words>
  <Characters>21981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Oladayo Ayodeji</dc:creator>
  <cp:keywords/>
  <dc:description/>
  <cp:lastModifiedBy>Ilias Shittu-Gbeko</cp:lastModifiedBy>
  <cp:revision>14</cp:revision>
  <dcterms:created xsi:type="dcterms:W3CDTF">2024-12-29T19:01:00Z</dcterms:created>
  <dcterms:modified xsi:type="dcterms:W3CDTF">2024-12-29T23:16:00Z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5fc4b2f3-4250-4971-9829-9764d34f2976</vt:lpwstr>
  </property>
</Properties>
</file>