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76F0" w:rsidRDefault="002176F0"/>
    <w:p w:rsidR="007503A8" w:rsidRDefault="007503A8"/>
    <w:p w:rsidR="007503A8" w:rsidRDefault="007503A8"/>
    <w:p w:rsidR="007503A8" w:rsidRDefault="007503A8"/>
    <w:p w:rsidR="007503A8" w:rsidRDefault="007503A8"/>
    <w:p w:rsidR="007503A8" w:rsidRDefault="007503A8"/>
    <w:p w:rsidR="007503A8" w:rsidRDefault="007503A8" w:rsidP="007503A8">
      <w:r>
        <w:t xml:space="preserve">### How an Individual’s Wellbeing May Affect Their Behaviours and Relationships in a Care Setting  </w:t>
      </w:r>
    </w:p>
    <w:p w:rsidR="007503A8" w:rsidRDefault="007503A8" w:rsidP="007503A8"/>
    <w:p w:rsidR="007503A8" w:rsidRDefault="007503A8" w:rsidP="007503A8">
      <w:r>
        <w:t>Wellbeing is a multifaceted concept that encompasses physical, emotional, mental, and social dimensions. Within a care setting, an individual’s level of wellbeing can significantly influence their behaviours and relationships. Factors such as physical health, emotional stability, and psychological resilience play a central role in shaping how individuals interact with others and respond to their environment.</w:t>
      </w:r>
    </w:p>
    <w:p w:rsidR="007503A8" w:rsidRDefault="007503A8" w:rsidP="007503A8"/>
    <w:p w:rsidR="007503A8" w:rsidRDefault="007503A8" w:rsidP="007503A8">
      <w:r>
        <w:t>---</w:t>
      </w:r>
    </w:p>
    <w:p w:rsidR="007503A8" w:rsidRDefault="007503A8" w:rsidP="007503A8"/>
    <w:p w:rsidR="007503A8" w:rsidRDefault="007503A8" w:rsidP="007503A8">
      <w:r>
        <w:t xml:space="preserve">### *1. Impact of Wellbeing on Behaviour*  </w:t>
      </w:r>
    </w:p>
    <w:p w:rsidR="007503A8" w:rsidRDefault="007503A8" w:rsidP="007503A8"/>
    <w:p w:rsidR="007503A8" w:rsidRDefault="007503A8" w:rsidP="007503A8">
      <w:r>
        <w:t xml:space="preserve">#### *1.1 Positive Wellbeing and Positive Behaviours*  </w:t>
      </w:r>
    </w:p>
    <w:p w:rsidR="007503A8" w:rsidRDefault="007503A8" w:rsidP="007503A8">
      <w:r>
        <w:t xml:space="preserve">When individuals experience high levels of wellbeing, they are more likely to demonstrate positive behaviours:  </w:t>
      </w:r>
    </w:p>
    <w:p w:rsidR="007503A8" w:rsidRDefault="007503A8" w:rsidP="007503A8">
      <w:r>
        <w:t xml:space="preserve">- *Cooperation and Engagement*: Individuals with good mental and emotional health are often more willing to engage in care routines and activities. They may demonstrate greater trust and openness toward caregivers (McCormack &amp; McCance, 2017).  </w:t>
      </w:r>
    </w:p>
    <w:p w:rsidR="007503A8" w:rsidRDefault="007503A8" w:rsidP="007503A8">
      <w:r>
        <w:t xml:space="preserve">- *Emotional Stability*: Physical comfort and emotional security reduce the likelihood of aggressive or defensive behaviours, enabling individuals to respond calmly to changes or challenges in care settings (Ryan &amp; Deci, 2000).  </w:t>
      </w:r>
    </w:p>
    <w:p w:rsidR="007503A8" w:rsidRDefault="007503A8" w:rsidP="007503A8">
      <w:r>
        <w:t xml:space="preserve">- *Proactive Self-Care*: A sense of wellbeing often promotes active participation in self-care, such as maintaining hygiene, eating well, or adhering to treatment plans.  </w:t>
      </w:r>
    </w:p>
    <w:p w:rsidR="007503A8" w:rsidRDefault="007503A8" w:rsidP="007503A8"/>
    <w:p w:rsidR="007503A8" w:rsidRDefault="007503A8" w:rsidP="007503A8">
      <w:r>
        <w:t xml:space="preserve">#### *1.2 Poor Wellbeing and Negative Behaviours*  </w:t>
      </w:r>
    </w:p>
    <w:p w:rsidR="007503A8" w:rsidRDefault="007503A8" w:rsidP="007503A8">
      <w:r>
        <w:t xml:space="preserve">Conversely, when individuals experience poor wellbeing, their behaviours can become challenging or withdrawn:  </w:t>
      </w:r>
    </w:p>
    <w:p w:rsidR="007503A8" w:rsidRDefault="007503A8" w:rsidP="007503A8">
      <w:r>
        <w:lastRenderedPageBreak/>
        <w:t xml:space="preserve">- *Agitation and Aggression*: Chronic pain, emotional distress, or unmet needs can result in agitation, irritability, or aggression, particularly in individuals with dementia or other cognitive impairments (NICE, 2018).  </w:t>
      </w:r>
    </w:p>
    <w:p w:rsidR="007503A8" w:rsidRDefault="007503A8" w:rsidP="007503A8">
      <w:r>
        <w:t>- *Social Withdrawal*: Poor mental health, such as depression or anxiety, can lead to withdrawal from social activities or reluctance to communicate with caregivers and peers (Holt-</w:t>
      </w:r>
      <w:proofErr w:type="spellStart"/>
      <w:r>
        <w:t>Lunstad</w:t>
      </w:r>
      <w:proofErr w:type="spellEnd"/>
      <w:r>
        <w:t xml:space="preserve"> et al., 2015).  </w:t>
      </w:r>
    </w:p>
    <w:p w:rsidR="007503A8" w:rsidRDefault="007503A8" w:rsidP="007503A8">
      <w:r>
        <w:t xml:space="preserve">- *Resistance to Care*: Individuals experiencing poor wellbeing may resist care interventions, feeling disempowered or overwhelmed. For example, individuals with a lack of trust in their </w:t>
      </w:r>
      <w:proofErr w:type="spellStart"/>
      <w:r>
        <w:t>carers</w:t>
      </w:r>
      <w:proofErr w:type="spellEnd"/>
      <w:r>
        <w:t xml:space="preserve"> may avoid interacting with them.  </w:t>
      </w:r>
    </w:p>
    <w:p w:rsidR="007503A8" w:rsidRDefault="007503A8" w:rsidP="007503A8"/>
    <w:p w:rsidR="007503A8" w:rsidRDefault="007503A8" w:rsidP="007503A8">
      <w:r>
        <w:t>---</w:t>
      </w:r>
    </w:p>
    <w:p w:rsidR="007503A8" w:rsidRDefault="007503A8" w:rsidP="007503A8"/>
    <w:p w:rsidR="007503A8" w:rsidRDefault="007503A8" w:rsidP="007503A8">
      <w:r>
        <w:t xml:space="preserve">### *2. Impact of Wellbeing on Relationships*  </w:t>
      </w:r>
    </w:p>
    <w:p w:rsidR="007503A8" w:rsidRDefault="007503A8" w:rsidP="007503A8"/>
    <w:p w:rsidR="007503A8" w:rsidRDefault="007503A8" w:rsidP="007503A8">
      <w:r>
        <w:t xml:space="preserve">#### *2.1 Positive Wellbeing and Healthy Relationships*  </w:t>
      </w:r>
    </w:p>
    <w:p w:rsidR="007503A8" w:rsidRDefault="007503A8" w:rsidP="007503A8">
      <w:r>
        <w:t xml:space="preserve">- *Trust and Respect*: Individuals with positive wellbeing are more likely to build trusting and respectful relationships with caregivers and peers. Mutual respect enhances the quality of care provided and fosters meaningful interactions (Baumeister &amp; Leary, 1995).  </w:t>
      </w:r>
    </w:p>
    <w:p w:rsidR="007503A8" w:rsidRDefault="007503A8" w:rsidP="007503A8">
      <w:r>
        <w:t xml:space="preserve">- *Active Participation in Social Networks*: Emotional and physical wellbeing encourages individuals to participate in group activities and establish bonds, which enhances their sense of belonging and community.  </w:t>
      </w:r>
    </w:p>
    <w:p w:rsidR="007503A8" w:rsidRDefault="007503A8" w:rsidP="007503A8"/>
    <w:p w:rsidR="007503A8" w:rsidRDefault="007503A8" w:rsidP="007503A8">
      <w:r>
        <w:t xml:space="preserve">#### *2.2 Poor Wellbeing and Strained Relationships*  </w:t>
      </w:r>
    </w:p>
    <w:p w:rsidR="007503A8" w:rsidRDefault="007503A8" w:rsidP="007503A8">
      <w:r>
        <w:t xml:space="preserve">- *Breakdown of Communication*: Poor mental or emotional health, such as anxiety or frustration, can strain communication between individuals and caregivers, leading to misunderstandings or conflict (Fallowfield et al., 2002).  </w:t>
      </w:r>
    </w:p>
    <w:p w:rsidR="007503A8" w:rsidRDefault="007503A8" w:rsidP="007503A8">
      <w:r>
        <w:t xml:space="preserve">- *Dependence or </w:t>
      </w:r>
      <w:proofErr w:type="spellStart"/>
      <w:r>
        <w:t>Codependence</w:t>
      </w:r>
      <w:proofErr w:type="spellEnd"/>
      <w:r>
        <w:t xml:space="preserve">*: Poor physical or emotional wellbeing may create relationships where individuals become overly reliant on caregivers, which can lead to frustration for both parties.  </w:t>
      </w:r>
    </w:p>
    <w:p w:rsidR="007503A8" w:rsidRDefault="007503A8" w:rsidP="007503A8">
      <w:r>
        <w:t>- *Isolation and Loneliness*: Individuals with poor wellbeing may withdraw from social interactions, which weakens relationships with family members, caregivers, and peers. This isolation can perpetuate a cycle of declining mental health and further strain social bonds (Holt-</w:t>
      </w:r>
      <w:proofErr w:type="spellStart"/>
      <w:r>
        <w:t>Lunstad</w:t>
      </w:r>
      <w:proofErr w:type="spellEnd"/>
      <w:r>
        <w:t xml:space="preserve"> et al., 2015).  </w:t>
      </w:r>
    </w:p>
    <w:p w:rsidR="007503A8" w:rsidRDefault="007503A8" w:rsidP="007503A8"/>
    <w:p w:rsidR="007503A8" w:rsidRDefault="007503A8" w:rsidP="007503A8">
      <w:r>
        <w:t>---</w:t>
      </w:r>
    </w:p>
    <w:p w:rsidR="007503A8" w:rsidRDefault="007503A8" w:rsidP="007503A8"/>
    <w:p w:rsidR="007503A8" w:rsidRDefault="007503A8" w:rsidP="007503A8">
      <w:r>
        <w:t xml:space="preserve">### *3. Considerations for Caregivers*  </w:t>
      </w:r>
    </w:p>
    <w:p w:rsidR="007503A8" w:rsidRDefault="007503A8" w:rsidP="007503A8"/>
    <w:p w:rsidR="007503A8" w:rsidRDefault="007503A8" w:rsidP="007503A8">
      <w:r>
        <w:t xml:space="preserve">#### *3.1 Promoting Positive Wellbeing*  </w:t>
      </w:r>
    </w:p>
    <w:p w:rsidR="007503A8" w:rsidRDefault="007503A8" w:rsidP="007503A8">
      <w:r>
        <w:t xml:space="preserve">Caregivers play a critical role in enhancing wellbeing and preventing behaviours that can strain relationships:  </w:t>
      </w:r>
    </w:p>
    <w:p w:rsidR="007503A8" w:rsidRDefault="007503A8" w:rsidP="007503A8">
      <w:r>
        <w:t xml:space="preserve">- *Holistic Care*: Addressing physical, emotional, and social needs ensures that individuals feel supported in all aspects of their health (McCormack &amp; McCance, 2017).  </w:t>
      </w:r>
    </w:p>
    <w:p w:rsidR="007503A8" w:rsidRDefault="007503A8" w:rsidP="007503A8">
      <w:r>
        <w:t xml:space="preserve">- *Effective Communication*: Clear, empathetic communication helps foster trust and understanding, mitigating negative behaviours.  </w:t>
      </w:r>
    </w:p>
    <w:p w:rsidR="007503A8" w:rsidRDefault="007503A8" w:rsidP="007503A8"/>
    <w:p w:rsidR="007503A8" w:rsidRDefault="007503A8" w:rsidP="007503A8">
      <w:r>
        <w:t xml:space="preserve">#### *3.2 Responding to Negative Behaviours*  </w:t>
      </w:r>
    </w:p>
    <w:p w:rsidR="007503A8" w:rsidRDefault="007503A8" w:rsidP="007503A8">
      <w:r>
        <w:t xml:space="preserve">- *Understanding Underlying Causes*: Caregivers must identify triggers such as pain, unmet needs, or fear, which can lead to challenging behaviours.  </w:t>
      </w:r>
    </w:p>
    <w:p w:rsidR="007503A8" w:rsidRDefault="007503A8" w:rsidP="007503A8">
      <w:r>
        <w:t xml:space="preserve">- *De-escalation Strategies*: Responding calmly and providing reassurance can help individuals feel safe and reduce the likelihood of conflict.  </w:t>
      </w:r>
    </w:p>
    <w:p w:rsidR="007503A8" w:rsidRDefault="007503A8" w:rsidP="007503A8"/>
    <w:p w:rsidR="007503A8" w:rsidRDefault="007503A8" w:rsidP="007503A8">
      <w:r>
        <w:t>---</w:t>
      </w:r>
    </w:p>
    <w:p w:rsidR="007503A8" w:rsidRDefault="007503A8" w:rsidP="007503A8"/>
    <w:p w:rsidR="007503A8" w:rsidRDefault="007503A8" w:rsidP="007503A8">
      <w:r>
        <w:t xml:space="preserve">### *Conclusion*  </w:t>
      </w:r>
    </w:p>
    <w:p w:rsidR="007503A8" w:rsidRDefault="007503A8" w:rsidP="007503A8">
      <w:r>
        <w:t>An individual’s wellbeing is intricately linked to their behaviours and relationships within a care setting. While positive wellbeing fosters healthy relationships and cooperative behaviours, poor wellbeing can result in strained interactions, challenging behaviours, and social withdrawal. Caregivers must adopt a holistic approach to address individuals’ needs, thereby enhancing their wellbeing and fostering positive relationships.</w:t>
      </w:r>
    </w:p>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r>
        <w:t xml:space="preserve">### Engaging and Involving Individuals in Monitoring Their Health and Well-being in a Care Setting  </w:t>
      </w:r>
    </w:p>
    <w:p w:rsidR="007503A8" w:rsidRDefault="007503A8" w:rsidP="007503A8"/>
    <w:p w:rsidR="007503A8" w:rsidRDefault="007503A8" w:rsidP="007503A8">
      <w:r>
        <w:t xml:space="preserve">Engaging and involving individuals in monitoring their health and well-being empowers them to take an active role in managing their care. This approach promotes autonomy, enhances adherence to care plans, and improves overall outcomes. Within a care setting, effective engagement requires tailored communication, education, and the use of appropriate tools and support systems.  </w:t>
      </w:r>
    </w:p>
    <w:p w:rsidR="007503A8" w:rsidRDefault="007503A8" w:rsidP="007503A8"/>
    <w:p w:rsidR="007503A8" w:rsidRDefault="007503A8" w:rsidP="007503A8">
      <w:r>
        <w:t>---</w:t>
      </w:r>
    </w:p>
    <w:p w:rsidR="007503A8" w:rsidRDefault="007503A8" w:rsidP="007503A8"/>
    <w:p w:rsidR="007503A8" w:rsidRDefault="007503A8" w:rsidP="007503A8">
      <w:r>
        <w:t xml:space="preserve">### *1. Encouraging Active Participation*  </w:t>
      </w:r>
    </w:p>
    <w:p w:rsidR="007503A8" w:rsidRDefault="007503A8" w:rsidP="007503A8"/>
    <w:p w:rsidR="007503A8" w:rsidRDefault="007503A8" w:rsidP="007503A8">
      <w:r>
        <w:t xml:space="preserve">#### *1.1 Educating Individuals about Their Health*  </w:t>
      </w:r>
    </w:p>
    <w:p w:rsidR="007503A8" w:rsidRDefault="007503A8" w:rsidP="007503A8">
      <w:r>
        <w:t xml:space="preserve">Providing information about their condition, treatment options, and potential outcomes empowers individuals to make informed decisions:  </w:t>
      </w:r>
    </w:p>
    <w:p w:rsidR="007503A8" w:rsidRDefault="007503A8" w:rsidP="007503A8">
      <w:r>
        <w:t xml:space="preserve">- *Health Education*: Care professionals should deliver clear and concise information about the individual's health in a way they can understand, using visuals or simplified language if necessary (NICE, 2016).  </w:t>
      </w:r>
    </w:p>
    <w:p w:rsidR="007503A8" w:rsidRDefault="007503A8" w:rsidP="007503A8">
      <w:r>
        <w:t xml:space="preserve">- *Awareness Programs*: Structured health education programs can increase awareness of how lifestyle choices impact health, encouraging individuals to take ownership of their well-being (World Health Organization, 2021).  </w:t>
      </w:r>
    </w:p>
    <w:p w:rsidR="007503A8" w:rsidRDefault="007503A8" w:rsidP="007503A8"/>
    <w:p w:rsidR="007503A8" w:rsidRDefault="007503A8" w:rsidP="007503A8">
      <w:r>
        <w:t xml:space="preserve">#### *1.2 Involving Individuals in Goal Setting*  </w:t>
      </w:r>
    </w:p>
    <w:p w:rsidR="007503A8" w:rsidRDefault="007503A8" w:rsidP="007503A8">
      <w:r>
        <w:t xml:space="preserve">Collaborating with individuals to set achievable health goals promotes engagement:  </w:t>
      </w:r>
    </w:p>
    <w:p w:rsidR="007503A8" w:rsidRDefault="007503A8" w:rsidP="007503A8">
      <w:r>
        <w:t xml:space="preserve">- *Personalized Care Plans*: Jointly developed care plans that incorporate the individual's preferences and values enhance their commitment to health monitoring (McCormack &amp; McCance, 2017).  </w:t>
      </w:r>
    </w:p>
    <w:p w:rsidR="007503A8" w:rsidRDefault="007503A8" w:rsidP="007503A8">
      <w:r>
        <w:t xml:space="preserve">- *Short- and Long-term Goals*: Dividing goals into manageable milestones helps individuals track progress and stay motivated.  </w:t>
      </w:r>
    </w:p>
    <w:p w:rsidR="007503A8" w:rsidRDefault="007503A8" w:rsidP="007503A8"/>
    <w:p w:rsidR="007503A8" w:rsidRDefault="007503A8" w:rsidP="007503A8">
      <w:r>
        <w:t xml:space="preserve">#### *1.3 Promoting Self-Monitoring*  </w:t>
      </w:r>
    </w:p>
    <w:p w:rsidR="007503A8" w:rsidRDefault="007503A8" w:rsidP="007503A8">
      <w:r>
        <w:t xml:space="preserve">Providing tools and techniques for self-monitoring encourages individuals to take responsibility for their health:  </w:t>
      </w:r>
    </w:p>
    <w:p w:rsidR="007503A8" w:rsidRDefault="007503A8" w:rsidP="007503A8">
      <w:r>
        <w:t xml:space="preserve">- *Health Journals*: Encouraging individuals to maintain a record of their symptoms, medications, or mood helps identify patterns and track improvements.  </w:t>
      </w:r>
    </w:p>
    <w:p w:rsidR="007503A8" w:rsidRDefault="007503A8" w:rsidP="007503A8">
      <w:r>
        <w:lastRenderedPageBreak/>
        <w:t xml:space="preserve">- *Wearable Technology*: Devices like fitness trackers, blood pressure monitors, or glucose meters enable real-time monitoring of health indicators (Lupton, 2018).  </w:t>
      </w:r>
    </w:p>
    <w:p w:rsidR="007503A8" w:rsidRDefault="007503A8" w:rsidP="007503A8"/>
    <w:p w:rsidR="007503A8" w:rsidRDefault="007503A8" w:rsidP="007503A8">
      <w:r>
        <w:t>---</w:t>
      </w:r>
    </w:p>
    <w:p w:rsidR="007503A8" w:rsidRDefault="007503A8" w:rsidP="007503A8"/>
    <w:p w:rsidR="007503A8" w:rsidRDefault="007503A8" w:rsidP="007503A8">
      <w:r>
        <w:t xml:space="preserve">### *2. Enhancing Communication and Collaboration*  </w:t>
      </w:r>
    </w:p>
    <w:p w:rsidR="007503A8" w:rsidRDefault="007503A8" w:rsidP="007503A8"/>
    <w:p w:rsidR="007503A8" w:rsidRDefault="007503A8" w:rsidP="007503A8">
      <w:r>
        <w:t xml:space="preserve">#### *2.1 Building Trust and Rapport*  </w:t>
      </w:r>
    </w:p>
    <w:p w:rsidR="007503A8" w:rsidRDefault="007503A8" w:rsidP="007503A8">
      <w:r>
        <w:t xml:space="preserve">Establishing a strong relationship between care providers and individuals creates an environment where individuals feel valued and supported:  </w:t>
      </w:r>
    </w:p>
    <w:p w:rsidR="007503A8" w:rsidRDefault="007503A8" w:rsidP="007503A8">
      <w:r>
        <w:t xml:space="preserve">- *Active Listening*: Showing empathy and understanding when discussing health concerns fosters trust and promotes open communication (McCabe &amp; Timmins, 2013).  </w:t>
      </w:r>
    </w:p>
    <w:p w:rsidR="007503A8" w:rsidRDefault="007503A8" w:rsidP="007503A8">
      <w:r>
        <w:t xml:space="preserve">- *Shared Decision-Making*: Encouraging individuals to express their opinions and preferences ensures their involvement in care-related decisions.  </w:t>
      </w:r>
    </w:p>
    <w:p w:rsidR="007503A8" w:rsidRDefault="007503A8" w:rsidP="007503A8"/>
    <w:p w:rsidR="007503A8" w:rsidRDefault="007503A8" w:rsidP="007503A8">
      <w:r>
        <w:t xml:space="preserve">#### *2.2 Providing Feedback and Encouragement*  </w:t>
      </w:r>
    </w:p>
    <w:p w:rsidR="007503A8" w:rsidRDefault="007503A8" w:rsidP="007503A8">
      <w:r>
        <w:t xml:space="preserve">Regular feedback on progress reinforces positive behaviours and motivates individuals to stay engaged:  </w:t>
      </w:r>
    </w:p>
    <w:p w:rsidR="007503A8" w:rsidRDefault="007503A8" w:rsidP="007503A8">
      <w:r>
        <w:t xml:space="preserve">- *Celebrating Successes*: Highlighting achievements, such as improved test results or weight loss, helps build confidence.  </w:t>
      </w:r>
    </w:p>
    <w:p w:rsidR="007503A8" w:rsidRDefault="007503A8" w:rsidP="007503A8">
      <w:r>
        <w:t xml:space="preserve">- *Constructive Feedback*: Care providers should offer actionable insights and support when individuals face challenges in monitoring their health.  </w:t>
      </w:r>
    </w:p>
    <w:p w:rsidR="007503A8" w:rsidRDefault="007503A8" w:rsidP="007503A8"/>
    <w:p w:rsidR="007503A8" w:rsidRDefault="007503A8" w:rsidP="007503A8">
      <w:r>
        <w:t>---</w:t>
      </w:r>
    </w:p>
    <w:p w:rsidR="007503A8" w:rsidRDefault="007503A8" w:rsidP="007503A8"/>
    <w:p w:rsidR="007503A8" w:rsidRDefault="007503A8" w:rsidP="007503A8">
      <w:r>
        <w:t xml:space="preserve">### *3. Utilizing Technology to Support Engagement*  </w:t>
      </w:r>
    </w:p>
    <w:p w:rsidR="007503A8" w:rsidRDefault="007503A8" w:rsidP="007503A8"/>
    <w:p w:rsidR="007503A8" w:rsidRDefault="007503A8" w:rsidP="007503A8">
      <w:r>
        <w:t xml:space="preserve">#### *3.1 Health Monitoring Apps*  </w:t>
      </w:r>
    </w:p>
    <w:p w:rsidR="007503A8" w:rsidRDefault="007503A8" w:rsidP="007503A8">
      <w:r>
        <w:t xml:space="preserve">Digital platforms and apps facilitate engagement by offering reminders, educational materials, and progress tracking:  </w:t>
      </w:r>
    </w:p>
    <w:p w:rsidR="007503A8" w:rsidRDefault="007503A8" w:rsidP="007503A8">
      <w:r>
        <w:t xml:space="preserve">- *Examples*: Apps like MyFitnessPal or NHS Weight Loss Plan allow individuals to monitor their diet and physical activity (NHS, 2023).  </w:t>
      </w:r>
    </w:p>
    <w:p w:rsidR="007503A8" w:rsidRDefault="007503A8" w:rsidP="007503A8"/>
    <w:p w:rsidR="007503A8" w:rsidRDefault="007503A8" w:rsidP="007503A8">
      <w:r>
        <w:lastRenderedPageBreak/>
        <w:t xml:space="preserve">#### *3.2 Telehealth Services*  </w:t>
      </w:r>
    </w:p>
    <w:p w:rsidR="007503A8" w:rsidRDefault="007503A8" w:rsidP="007503A8">
      <w:r>
        <w:t xml:space="preserve">Telehealth platforms enable individuals to communicate with healthcare providers remotely, discuss progress, and adjust care plans as needed.  </w:t>
      </w:r>
    </w:p>
    <w:p w:rsidR="007503A8" w:rsidRDefault="007503A8" w:rsidP="007503A8"/>
    <w:p w:rsidR="007503A8" w:rsidRDefault="007503A8" w:rsidP="007503A8">
      <w:r>
        <w:t xml:space="preserve">#### *3.3 Assistive Technologies*  </w:t>
      </w:r>
    </w:p>
    <w:p w:rsidR="007503A8" w:rsidRDefault="007503A8" w:rsidP="007503A8">
      <w:r>
        <w:t xml:space="preserve">Devices such as talking thermometers or blood pressure cuffs ensure that individuals with disabilities can monitor their health independently (Vermeulen et al., 2018).  </w:t>
      </w:r>
    </w:p>
    <w:p w:rsidR="007503A8" w:rsidRDefault="007503A8" w:rsidP="007503A8"/>
    <w:p w:rsidR="007503A8" w:rsidRDefault="007503A8" w:rsidP="007503A8">
      <w:r>
        <w:t>---</w:t>
      </w:r>
    </w:p>
    <w:p w:rsidR="007503A8" w:rsidRDefault="007503A8" w:rsidP="007503A8"/>
    <w:p w:rsidR="007503A8" w:rsidRDefault="007503A8" w:rsidP="007503A8">
      <w:r>
        <w:t xml:space="preserve">### *4. Supporting Emotional and Social Well-being*  </w:t>
      </w:r>
    </w:p>
    <w:p w:rsidR="007503A8" w:rsidRDefault="007503A8" w:rsidP="007503A8"/>
    <w:p w:rsidR="007503A8" w:rsidRDefault="007503A8" w:rsidP="007503A8">
      <w:r>
        <w:t xml:space="preserve">#### *4.1 Encouraging Peer Support*  </w:t>
      </w:r>
    </w:p>
    <w:p w:rsidR="007503A8" w:rsidRDefault="007503A8" w:rsidP="007503A8">
      <w:r>
        <w:t>Group activities or support groups provide a platform for individuals to share experiences, motivate one another, and learn from peers facing similar challenges (Holt-</w:t>
      </w:r>
      <w:proofErr w:type="spellStart"/>
      <w:r>
        <w:t>Lunstad</w:t>
      </w:r>
      <w:proofErr w:type="spellEnd"/>
      <w:r>
        <w:t xml:space="preserve"> et al., 2015).  </w:t>
      </w:r>
    </w:p>
    <w:p w:rsidR="007503A8" w:rsidRDefault="007503A8" w:rsidP="007503A8"/>
    <w:p w:rsidR="007503A8" w:rsidRDefault="007503A8" w:rsidP="007503A8">
      <w:r>
        <w:t xml:space="preserve">#### *4.2 Psychological Support*  </w:t>
      </w:r>
    </w:p>
    <w:p w:rsidR="007503A8" w:rsidRDefault="007503A8" w:rsidP="007503A8">
      <w:r>
        <w:t xml:space="preserve">Mental health support, such as </w:t>
      </w:r>
      <w:proofErr w:type="spellStart"/>
      <w:r>
        <w:t>counseling</w:t>
      </w:r>
      <w:proofErr w:type="spellEnd"/>
      <w:r>
        <w:t xml:space="preserve">, helps individuals address anxiety or depression, which may otherwise hinder their ability to monitor their health.  </w:t>
      </w:r>
    </w:p>
    <w:p w:rsidR="007503A8" w:rsidRDefault="007503A8" w:rsidP="007503A8"/>
    <w:p w:rsidR="007503A8" w:rsidRDefault="007503A8" w:rsidP="007503A8">
      <w:r>
        <w:t>---</w:t>
      </w:r>
    </w:p>
    <w:p w:rsidR="007503A8" w:rsidRDefault="007503A8" w:rsidP="007503A8"/>
    <w:p w:rsidR="007503A8" w:rsidRDefault="007503A8" w:rsidP="007503A8">
      <w:r>
        <w:t xml:space="preserve">### *5. Regular Review and Reassessment*  </w:t>
      </w:r>
    </w:p>
    <w:p w:rsidR="007503A8" w:rsidRDefault="007503A8" w:rsidP="007503A8">
      <w:r>
        <w:t xml:space="preserve">Engagement is not static and must be reviewed regularly to ensure individuals remain motivated:  </w:t>
      </w:r>
    </w:p>
    <w:p w:rsidR="007503A8" w:rsidRDefault="007503A8" w:rsidP="007503A8">
      <w:r>
        <w:t xml:space="preserve">- *Periodic Assessments*: Reviewing health goals and progress allows care plans to be adjusted based on the individual’s evolving needs.  </w:t>
      </w:r>
    </w:p>
    <w:p w:rsidR="007503A8" w:rsidRDefault="007503A8" w:rsidP="007503A8">
      <w:r>
        <w:t xml:space="preserve">- *Feedback Loops*: Regular check-ins ensure that individuals feel supported and any barriers to engagement are addressed promptly.  </w:t>
      </w:r>
    </w:p>
    <w:p w:rsidR="007503A8" w:rsidRDefault="007503A8" w:rsidP="007503A8"/>
    <w:p w:rsidR="007503A8" w:rsidRDefault="007503A8" w:rsidP="007503A8">
      <w:r>
        <w:t>---</w:t>
      </w:r>
    </w:p>
    <w:p w:rsidR="007503A8" w:rsidRDefault="007503A8" w:rsidP="007503A8"/>
    <w:p w:rsidR="007503A8" w:rsidRDefault="007503A8" w:rsidP="007503A8">
      <w:r>
        <w:lastRenderedPageBreak/>
        <w:t xml:space="preserve">### *Conclusion*  </w:t>
      </w:r>
    </w:p>
    <w:p w:rsidR="007503A8" w:rsidRDefault="007503A8" w:rsidP="007503A8">
      <w:r>
        <w:t xml:space="preserve">Involving individuals in monitoring their own health and well-being within a care setting fosters autonomy and empowers them to take control of their care. Through education, goal setting, self-monitoring tools, and effective communication, caregivers can facilitate meaningful engagement. Utilizing technology and offering emotional support further enhance the individual’s ability to actively participate in maintaining their health.  </w:t>
      </w:r>
    </w:p>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r>
        <w:t xml:space="preserve">### Early Indicators of Physical and Mental Health Deterioration within a Care Setting  </w:t>
      </w:r>
    </w:p>
    <w:p w:rsidR="007503A8" w:rsidRDefault="007503A8" w:rsidP="007503A8"/>
    <w:p w:rsidR="007503A8" w:rsidRDefault="007503A8" w:rsidP="007503A8">
      <w:r>
        <w:t xml:space="preserve">Early identification of physical and mental health deterioration is essential in care settings to ensure timely interventions that can prevent worsening conditions and improve outcomes. The early indicators of health deterioration often manifest in subtle changes in physical, emotional, and cognitive states, and it is critical for caregivers to recognize these signs promptly.  </w:t>
      </w:r>
    </w:p>
    <w:p w:rsidR="007503A8" w:rsidRDefault="007503A8" w:rsidP="007503A8"/>
    <w:p w:rsidR="007503A8" w:rsidRDefault="007503A8" w:rsidP="007503A8">
      <w:r>
        <w:t>---</w:t>
      </w:r>
    </w:p>
    <w:p w:rsidR="007503A8" w:rsidRDefault="007503A8" w:rsidP="007503A8"/>
    <w:p w:rsidR="007503A8" w:rsidRDefault="007503A8" w:rsidP="007503A8">
      <w:r>
        <w:t xml:space="preserve">### *1. Physical Health Deterioration*  </w:t>
      </w:r>
    </w:p>
    <w:p w:rsidR="007503A8" w:rsidRDefault="007503A8" w:rsidP="007503A8"/>
    <w:p w:rsidR="007503A8" w:rsidRDefault="007503A8" w:rsidP="007503A8">
      <w:r>
        <w:t xml:space="preserve">#### *1.1 Changes in Vital Signs*  </w:t>
      </w:r>
    </w:p>
    <w:p w:rsidR="007503A8" w:rsidRDefault="007503A8" w:rsidP="007503A8">
      <w:r>
        <w:t xml:space="preserve">- Alterations in vital signs such as increased heart rate, changes in blood pressure, or a drop in oxygen saturation can signal declining health. For example, tachycardia may indicate dehydration or infection (Royal College of Physicians, 2017).  </w:t>
      </w:r>
    </w:p>
    <w:p w:rsidR="007503A8" w:rsidRDefault="007503A8" w:rsidP="007503A8">
      <w:r>
        <w:t xml:space="preserve">- Abnormal respiratory rates, such as rapid or </w:t>
      </w:r>
      <w:proofErr w:type="spellStart"/>
      <w:r>
        <w:t>labored</w:t>
      </w:r>
      <w:proofErr w:type="spellEnd"/>
      <w:r>
        <w:t xml:space="preserve"> breathing, are often among the first signs of infection, particularly in conditions like pneumonia or COVID-19 (NICE, 2021).  </w:t>
      </w:r>
    </w:p>
    <w:p w:rsidR="007503A8" w:rsidRDefault="007503A8" w:rsidP="007503A8"/>
    <w:p w:rsidR="007503A8" w:rsidRDefault="007503A8" w:rsidP="007503A8">
      <w:r>
        <w:lastRenderedPageBreak/>
        <w:t xml:space="preserve">#### *1.2 Pain or Discomfort*  </w:t>
      </w:r>
    </w:p>
    <w:p w:rsidR="007503A8" w:rsidRDefault="007503A8" w:rsidP="007503A8">
      <w:r>
        <w:t xml:space="preserve">- Complaints of pain, which may be acute or chronic, can indicate underlying conditions such as injury, inflammation, or progression of an existing illness.  </w:t>
      </w:r>
    </w:p>
    <w:p w:rsidR="007503A8" w:rsidRDefault="007503A8" w:rsidP="007503A8">
      <w:r>
        <w:t xml:space="preserve">- Non-verbal cues, such as grimacing or guarding a specific area of the body, are critical in individuals who cannot articulate their discomfort (Herr et al., 2011).  </w:t>
      </w:r>
    </w:p>
    <w:p w:rsidR="007503A8" w:rsidRDefault="007503A8" w:rsidP="007503A8"/>
    <w:p w:rsidR="007503A8" w:rsidRDefault="007503A8" w:rsidP="007503A8">
      <w:r>
        <w:t xml:space="preserve">#### *1.3 Reduced Mobility and Fatigue*  </w:t>
      </w:r>
    </w:p>
    <w:p w:rsidR="007503A8" w:rsidRDefault="007503A8" w:rsidP="007503A8">
      <w:r>
        <w:t xml:space="preserve">- A sudden decline in physical activity, increased fatigue, or difficulty with mobility may indicate musculoskeletal issues, neurological conditions, or systemic infections such as sepsis (Clegg et al., 2013).  </w:t>
      </w:r>
    </w:p>
    <w:p w:rsidR="007503A8" w:rsidRDefault="007503A8" w:rsidP="007503A8">
      <w:r>
        <w:t xml:space="preserve">- Weakness or imbalance could be an early sign of stroke or exacerbation of chronic conditions like Parkinson’s disease.  </w:t>
      </w:r>
    </w:p>
    <w:p w:rsidR="007503A8" w:rsidRDefault="007503A8" w:rsidP="007503A8"/>
    <w:p w:rsidR="007503A8" w:rsidRDefault="007503A8" w:rsidP="007503A8">
      <w:r>
        <w:t xml:space="preserve">#### *1.4 Appetite and Weight Changes*  </w:t>
      </w:r>
    </w:p>
    <w:p w:rsidR="007503A8" w:rsidRDefault="007503A8" w:rsidP="007503A8">
      <w:r>
        <w:t xml:space="preserve">- A decrease in appetite, weight loss, or difficulty swallowing may indicate gastrointestinal issues, malnutrition, or psychological conditions like depression (Lacey &amp; Pritchett, 2003).  </w:t>
      </w:r>
    </w:p>
    <w:p w:rsidR="007503A8" w:rsidRDefault="007503A8" w:rsidP="007503A8">
      <w:r>
        <w:t xml:space="preserve">- Weight gain or swelling may signal fluid retention caused by heart or kidney failure.  </w:t>
      </w:r>
    </w:p>
    <w:p w:rsidR="007503A8" w:rsidRDefault="007503A8" w:rsidP="007503A8"/>
    <w:p w:rsidR="007503A8" w:rsidRDefault="007503A8" w:rsidP="007503A8">
      <w:r>
        <w:t xml:space="preserve">#### *1.5 Skin and Wound Changes*  </w:t>
      </w:r>
    </w:p>
    <w:p w:rsidR="007503A8" w:rsidRDefault="007503A8" w:rsidP="007503A8">
      <w:r>
        <w:t xml:space="preserve">- Observing skin integrity is vital, as pallor, bruising, or pressure ulcers can indicate poor circulation, immobility, or nutritional deficiencies (Coleman et al., 2014).  </w:t>
      </w:r>
    </w:p>
    <w:p w:rsidR="007503A8" w:rsidRDefault="007503A8" w:rsidP="007503A8">
      <w:r>
        <w:t xml:space="preserve">- Non-healing wounds may suggest an underlying infection or diabetes.  </w:t>
      </w:r>
    </w:p>
    <w:p w:rsidR="007503A8" w:rsidRDefault="007503A8" w:rsidP="007503A8"/>
    <w:p w:rsidR="007503A8" w:rsidRDefault="007503A8" w:rsidP="007503A8">
      <w:r>
        <w:t>---</w:t>
      </w:r>
    </w:p>
    <w:p w:rsidR="007503A8" w:rsidRDefault="007503A8" w:rsidP="007503A8"/>
    <w:p w:rsidR="007503A8" w:rsidRDefault="007503A8" w:rsidP="007503A8">
      <w:r>
        <w:t xml:space="preserve">### *2. Mental Health Deterioration*  </w:t>
      </w:r>
    </w:p>
    <w:p w:rsidR="007503A8" w:rsidRDefault="007503A8" w:rsidP="007503A8"/>
    <w:p w:rsidR="007503A8" w:rsidRDefault="007503A8" w:rsidP="007503A8">
      <w:r>
        <w:t xml:space="preserve">#### *2.1 Mood Changes*  </w:t>
      </w:r>
    </w:p>
    <w:p w:rsidR="007503A8" w:rsidRDefault="007503A8" w:rsidP="007503A8">
      <w:r>
        <w:t xml:space="preserve">- Sudden or gradual changes in mood, such as increased irritability, sadness, or apathy, may indicate depression, anxiety, or an early sign of cognitive disorders (National Institute of Mental Health, 2020).  </w:t>
      </w:r>
    </w:p>
    <w:p w:rsidR="007503A8" w:rsidRDefault="007503A8" w:rsidP="007503A8">
      <w:r>
        <w:t xml:space="preserve">- Overactivity or agitation could be linked to conditions such as bipolar disorder or acute delirium.  </w:t>
      </w:r>
    </w:p>
    <w:p w:rsidR="007503A8" w:rsidRDefault="007503A8" w:rsidP="007503A8"/>
    <w:p w:rsidR="007503A8" w:rsidRDefault="007503A8" w:rsidP="007503A8">
      <w:r>
        <w:lastRenderedPageBreak/>
        <w:t xml:space="preserve">#### *2.2 Cognitive Decline*  </w:t>
      </w:r>
    </w:p>
    <w:p w:rsidR="007503A8" w:rsidRDefault="007503A8" w:rsidP="007503A8">
      <w:r>
        <w:t>- Difficulty concentrating, forgetfulness, or confusion may indicate early signs of dementia, delirium, or infections like urinary tract infections, which can lead to temporary cognitive impairment in older adults (</w:t>
      </w:r>
      <w:proofErr w:type="spellStart"/>
      <w:r>
        <w:t>Alagiakrishnan</w:t>
      </w:r>
      <w:proofErr w:type="spellEnd"/>
      <w:r>
        <w:t xml:space="preserve"> &amp; Wiens, 2004).  </w:t>
      </w:r>
    </w:p>
    <w:p w:rsidR="007503A8" w:rsidRDefault="007503A8" w:rsidP="007503A8">
      <w:r>
        <w:t xml:space="preserve">- Misplacing objects, getting lost, or disorientation may also signal neurological deterioration.  </w:t>
      </w:r>
    </w:p>
    <w:p w:rsidR="007503A8" w:rsidRDefault="007503A8" w:rsidP="007503A8"/>
    <w:p w:rsidR="007503A8" w:rsidRDefault="007503A8" w:rsidP="007503A8">
      <w:r>
        <w:t xml:space="preserve">#### *2.3 Sleep Disturbances*  </w:t>
      </w:r>
    </w:p>
    <w:p w:rsidR="007503A8" w:rsidRDefault="007503A8" w:rsidP="007503A8">
      <w:r>
        <w:t xml:space="preserve">- Changes in sleep patterns, such as insomnia or excessive sleeping, can indicate mental health conditions like depression, anxiety, or even chronic pain (Baglioni et al., 2016).  </w:t>
      </w:r>
    </w:p>
    <w:p w:rsidR="007503A8" w:rsidRDefault="007503A8" w:rsidP="007503A8"/>
    <w:p w:rsidR="007503A8" w:rsidRDefault="007503A8" w:rsidP="007503A8">
      <w:r>
        <w:t xml:space="preserve">#### *2.4 Social Withdrawal*  </w:t>
      </w:r>
    </w:p>
    <w:p w:rsidR="007503A8" w:rsidRDefault="007503A8" w:rsidP="007503A8">
      <w:r>
        <w:t xml:space="preserve">- Avoidance of social interactions or reduced communication can be an early indicator of conditions such as depression, post-traumatic stress disorder (PTSD), or psychosis (Cornwell &amp; Waite, 2009).  </w:t>
      </w:r>
    </w:p>
    <w:p w:rsidR="007503A8" w:rsidRDefault="007503A8" w:rsidP="007503A8"/>
    <w:p w:rsidR="007503A8" w:rsidRDefault="007503A8" w:rsidP="007503A8">
      <w:r>
        <w:t xml:space="preserve">#### *2.5 </w:t>
      </w:r>
      <w:proofErr w:type="spellStart"/>
      <w:r>
        <w:t>Behavioral</w:t>
      </w:r>
      <w:proofErr w:type="spellEnd"/>
      <w:r>
        <w:t xml:space="preserve"> Changes*  </w:t>
      </w:r>
    </w:p>
    <w:p w:rsidR="007503A8" w:rsidRDefault="007503A8" w:rsidP="007503A8">
      <w:r>
        <w:t xml:space="preserve">- Aggression, restlessness, or resistance to care may indicate underlying mental health conditions, sensory impairments, or discomfort due to untreated physical symptoms.  </w:t>
      </w:r>
    </w:p>
    <w:p w:rsidR="007503A8" w:rsidRDefault="007503A8" w:rsidP="007503A8"/>
    <w:p w:rsidR="007503A8" w:rsidRDefault="007503A8" w:rsidP="007503A8">
      <w:r>
        <w:t>---</w:t>
      </w:r>
    </w:p>
    <w:p w:rsidR="007503A8" w:rsidRDefault="007503A8" w:rsidP="007503A8"/>
    <w:p w:rsidR="007503A8" w:rsidRDefault="007503A8" w:rsidP="007503A8">
      <w:r>
        <w:t xml:space="preserve">### *3. Combined Indicators of Deterioration*  </w:t>
      </w:r>
    </w:p>
    <w:p w:rsidR="007503A8" w:rsidRDefault="007503A8" w:rsidP="007503A8"/>
    <w:p w:rsidR="007503A8" w:rsidRDefault="007503A8" w:rsidP="007503A8">
      <w:r>
        <w:t xml:space="preserve">#### *3.1 Dehydration and Infections*  </w:t>
      </w:r>
    </w:p>
    <w:p w:rsidR="007503A8" w:rsidRDefault="007503A8" w:rsidP="007503A8">
      <w:r>
        <w:t>- Physical signs such as dry skin, reduced urination, or fever combined with mental confusion can indicate dehydration or infection, common causes of acute deterioration in older adults (El-</w:t>
      </w:r>
      <w:proofErr w:type="spellStart"/>
      <w:r>
        <w:t>Sharkawy</w:t>
      </w:r>
      <w:proofErr w:type="spellEnd"/>
      <w:r>
        <w:t xml:space="preserve"> et al., 2015).  </w:t>
      </w:r>
    </w:p>
    <w:p w:rsidR="007503A8" w:rsidRDefault="007503A8" w:rsidP="007503A8"/>
    <w:p w:rsidR="007503A8" w:rsidRDefault="007503A8" w:rsidP="007503A8">
      <w:r>
        <w:t xml:space="preserve">#### *3.2 Falls and Mobility Issues*  </w:t>
      </w:r>
    </w:p>
    <w:p w:rsidR="007503A8" w:rsidRDefault="007503A8" w:rsidP="007503A8">
      <w:r>
        <w:t xml:space="preserve">- A sudden increase in falls may be due to a combination of physical weakness, poor balance, or mental disorientation, indicating declining physical and mental health.  </w:t>
      </w:r>
    </w:p>
    <w:p w:rsidR="007503A8" w:rsidRDefault="007503A8" w:rsidP="007503A8"/>
    <w:p w:rsidR="007503A8" w:rsidRDefault="007503A8" w:rsidP="007503A8">
      <w:r>
        <w:t>---</w:t>
      </w:r>
    </w:p>
    <w:p w:rsidR="007503A8" w:rsidRDefault="007503A8" w:rsidP="007503A8"/>
    <w:p w:rsidR="007503A8" w:rsidRDefault="007503A8" w:rsidP="007503A8">
      <w:r>
        <w:t xml:space="preserve">### *4. The Role of Early Intervention*  </w:t>
      </w:r>
    </w:p>
    <w:p w:rsidR="007503A8" w:rsidRDefault="007503A8" w:rsidP="007503A8">
      <w:r>
        <w:t xml:space="preserve">Recognizing early signs of deterioration allows caregivers to implement timely interventions such as:  </w:t>
      </w:r>
    </w:p>
    <w:p w:rsidR="007503A8" w:rsidRDefault="007503A8" w:rsidP="007503A8">
      <w:r>
        <w:t xml:space="preserve">- Conducting regular observations of vital signs and physical assessments.  </w:t>
      </w:r>
    </w:p>
    <w:p w:rsidR="007503A8" w:rsidRDefault="007503A8" w:rsidP="007503A8">
      <w:r>
        <w:t xml:space="preserve">- Using tools such as the National Early Warning Score (NEWS2) to identify clinical risks and escalate care when necessary (Royal College of Physicians, 2017).  </w:t>
      </w:r>
    </w:p>
    <w:p w:rsidR="007503A8" w:rsidRDefault="007503A8" w:rsidP="007503A8">
      <w:r>
        <w:t xml:space="preserve">- Encouraging individuals to report subtle changes in their mood, pain, or physical state to caregivers.  </w:t>
      </w:r>
    </w:p>
    <w:p w:rsidR="007503A8" w:rsidRDefault="007503A8" w:rsidP="007503A8"/>
    <w:p w:rsidR="007503A8" w:rsidRDefault="007503A8" w:rsidP="007503A8">
      <w:r>
        <w:t>---</w:t>
      </w:r>
    </w:p>
    <w:p w:rsidR="007503A8" w:rsidRDefault="007503A8" w:rsidP="007503A8"/>
    <w:p w:rsidR="007503A8" w:rsidRDefault="007503A8" w:rsidP="007503A8">
      <w:r>
        <w:t xml:space="preserve">### *Conclusion*  </w:t>
      </w:r>
    </w:p>
    <w:p w:rsidR="007503A8" w:rsidRDefault="007503A8" w:rsidP="007503A8">
      <w:r>
        <w:t xml:space="preserve">Recognizing early indicators of physical and mental health deterioration is critical in a care setting to ensure prompt intervention and prevent further decline. Caregivers must remain vigilant, observe both verbal and non-verbal cues, and use standardized tools to monitor health changes effectively. By addressing these early signs, the well-being of individuals can be significantly improved, leading to better care outcomes.  </w:t>
      </w:r>
    </w:p>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r>
        <w:t xml:space="preserve">### How to Escalate Concerns About an Individual’s Health Deterioration in a Care Setting  </w:t>
      </w:r>
    </w:p>
    <w:p w:rsidR="007503A8" w:rsidRDefault="007503A8" w:rsidP="007503A8"/>
    <w:p w:rsidR="007503A8" w:rsidRDefault="007503A8" w:rsidP="007503A8">
      <w:r>
        <w:t xml:space="preserve">Escalating concerns about an individual’s health deterioration is a critical responsibility in care settings to ensure prompt and appropriate interventions. Effective escalation involves recognizing signs of deterioration, following organizational protocols, and communicating concerns to the relevant professionals.  </w:t>
      </w:r>
    </w:p>
    <w:p w:rsidR="007503A8" w:rsidRDefault="007503A8" w:rsidP="007503A8"/>
    <w:p w:rsidR="007503A8" w:rsidRDefault="007503A8" w:rsidP="007503A8">
      <w:r>
        <w:t>---</w:t>
      </w:r>
    </w:p>
    <w:p w:rsidR="007503A8" w:rsidRDefault="007503A8" w:rsidP="007503A8"/>
    <w:p w:rsidR="007503A8" w:rsidRDefault="007503A8" w:rsidP="007503A8">
      <w:r>
        <w:t xml:space="preserve">### *1. Recognizing the Need to Escalate*  </w:t>
      </w:r>
    </w:p>
    <w:p w:rsidR="007503A8" w:rsidRDefault="007503A8" w:rsidP="007503A8"/>
    <w:p w:rsidR="007503A8" w:rsidRDefault="007503A8" w:rsidP="007503A8">
      <w:r>
        <w:t xml:space="preserve">#### *1.1 Identifying Signs of Deterioration*  </w:t>
      </w:r>
    </w:p>
    <w:p w:rsidR="007503A8" w:rsidRDefault="007503A8" w:rsidP="007503A8">
      <w:r>
        <w:t xml:space="preserve">Caregivers must be vigilant in observing physical, mental, and emotional changes in individuals. These may include:  </w:t>
      </w:r>
    </w:p>
    <w:p w:rsidR="007503A8" w:rsidRDefault="007503A8" w:rsidP="007503A8">
      <w:r>
        <w:t xml:space="preserve">- Sudden changes in vital signs (e.g., blood pressure, temperature).  </w:t>
      </w:r>
    </w:p>
    <w:p w:rsidR="007503A8" w:rsidRDefault="007503A8" w:rsidP="007503A8">
      <w:r>
        <w:t xml:space="preserve">- </w:t>
      </w:r>
      <w:proofErr w:type="spellStart"/>
      <w:r>
        <w:t>Behavioral</w:t>
      </w:r>
      <w:proofErr w:type="spellEnd"/>
      <w:r>
        <w:t xml:space="preserve"> changes, such as confusion or agitation (Royal College of Physicians, 2017).  </w:t>
      </w:r>
    </w:p>
    <w:p w:rsidR="007503A8" w:rsidRDefault="007503A8" w:rsidP="007503A8">
      <w:r>
        <w:t xml:space="preserve">- Physical symptoms like pain, swelling, or difficulty breathing.  </w:t>
      </w:r>
    </w:p>
    <w:p w:rsidR="007503A8" w:rsidRDefault="007503A8" w:rsidP="007503A8"/>
    <w:p w:rsidR="007503A8" w:rsidRDefault="007503A8" w:rsidP="007503A8">
      <w:r>
        <w:t xml:space="preserve">#### *1.2 Importance of Timely Escalation*  </w:t>
      </w:r>
    </w:p>
    <w:p w:rsidR="007503A8" w:rsidRDefault="007503A8" w:rsidP="007503A8">
      <w:r>
        <w:t xml:space="preserve">Failing to act promptly can lead to worsening health, hospital admissions, or even mortality. Early warning systems like the National Early Warning Score (NEWS2) are used to standardize the identification of deterioration (NICE, 2021).  </w:t>
      </w:r>
    </w:p>
    <w:p w:rsidR="007503A8" w:rsidRDefault="007503A8" w:rsidP="007503A8"/>
    <w:p w:rsidR="007503A8" w:rsidRDefault="007503A8" w:rsidP="007503A8">
      <w:r>
        <w:t>---</w:t>
      </w:r>
    </w:p>
    <w:p w:rsidR="007503A8" w:rsidRDefault="007503A8" w:rsidP="007503A8"/>
    <w:p w:rsidR="007503A8" w:rsidRDefault="007503A8" w:rsidP="007503A8">
      <w:r>
        <w:t xml:space="preserve">### *2. Steps for Escalating Concerns*  </w:t>
      </w:r>
    </w:p>
    <w:p w:rsidR="007503A8" w:rsidRDefault="007503A8" w:rsidP="007503A8"/>
    <w:p w:rsidR="007503A8" w:rsidRDefault="007503A8" w:rsidP="007503A8">
      <w:r>
        <w:t xml:space="preserve">#### *2.1 Documentation of Observations*  </w:t>
      </w:r>
    </w:p>
    <w:p w:rsidR="007503A8" w:rsidRDefault="007503A8" w:rsidP="007503A8">
      <w:r>
        <w:lastRenderedPageBreak/>
        <w:t xml:space="preserve">Before escalating, caregivers should document observations clearly and accurately, including:  </w:t>
      </w:r>
    </w:p>
    <w:p w:rsidR="007503A8" w:rsidRDefault="007503A8" w:rsidP="007503A8">
      <w:r>
        <w:t xml:space="preserve">- Vital signs, symptoms, and </w:t>
      </w:r>
      <w:proofErr w:type="spellStart"/>
      <w:r>
        <w:t>behaviors</w:t>
      </w:r>
      <w:proofErr w:type="spellEnd"/>
      <w:r>
        <w:t xml:space="preserve">.  </w:t>
      </w:r>
    </w:p>
    <w:p w:rsidR="007503A8" w:rsidRDefault="007503A8" w:rsidP="007503A8">
      <w:r>
        <w:t xml:space="preserve">- The timeline of the changes noticed.  </w:t>
      </w:r>
    </w:p>
    <w:p w:rsidR="007503A8" w:rsidRDefault="007503A8" w:rsidP="007503A8">
      <w:r>
        <w:t xml:space="preserve">- Any measures already taken, such as medication or repositioning (CQC, 2019).  </w:t>
      </w:r>
    </w:p>
    <w:p w:rsidR="007503A8" w:rsidRDefault="007503A8" w:rsidP="007503A8"/>
    <w:p w:rsidR="007503A8" w:rsidRDefault="007503A8" w:rsidP="007503A8">
      <w:r>
        <w:t xml:space="preserve">#### *2.2 Communicating Concerns*  </w:t>
      </w:r>
    </w:p>
    <w:p w:rsidR="007503A8" w:rsidRDefault="007503A8" w:rsidP="007503A8">
      <w:r>
        <w:t xml:space="preserve">Using structured communication frameworks like SBAR (Situation, Background, Assessment, Recommendation) helps ensure clarity and efficiency (NHS England, 2018).  </w:t>
      </w:r>
    </w:p>
    <w:p w:rsidR="007503A8" w:rsidRDefault="007503A8" w:rsidP="007503A8"/>
    <w:p w:rsidR="007503A8" w:rsidRDefault="007503A8" w:rsidP="007503A8">
      <w:r>
        <w:t xml:space="preserve">- *Situation*: Clearly state the concern (e.g., "The patient has developed a fever and rapid breathing").  </w:t>
      </w:r>
    </w:p>
    <w:p w:rsidR="007503A8" w:rsidRDefault="007503A8" w:rsidP="007503A8">
      <w:r>
        <w:t xml:space="preserve">- *Background*: Provide context (e.g., "The individual was recently diagnosed with a chest infection").  </w:t>
      </w:r>
    </w:p>
    <w:p w:rsidR="007503A8" w:rsidRDefault="007503A8" w:rsidP="007503A8">
      <w:r>
        <w:t xml:space="preserve">- *Assessment*: Share observations (e.g., "Temperature is 39°C, respiratory rate is 30 breaths per minute").  </w:t>
      </w:r>
    </w:p>
    <w:p w:rsidR="007503A8" w:rsidRDefault="007503A8" w:rsidP="007503A8">
      <w:r>
        <w:t xml:space="preserve">- *Recommendation*: Suggest next steps (e.g., "Requesting a medical review within the next hour").  </w:t>
      </w:r>
    </w:p>
    <w:p w:rsidR="007503A8" w:rsidRDefault="007503A8" w:rsidP="007503A8"/>
    <w:p w:rsidR="007503A8" w:rsidRDefault="007503A8" w:rsidP="007503A8">
      <w:r>
        <w:t>---</w:t>
      </w:r>
    </w:p>
    <w:p w:rsidR="007503A8" w:rsidRDefault="007503A8" w:rsidP="007503A8"/>
    <w:p w:rsidR="007503A8" w:rsidRDefault="007503A8" w:rsidP="007503A8">
      <w:r>
        <w:t xml:space="preserve">### *3. To Whom Should Concerns Be Escalated?*  </w:t>
      </w:r>
    </w:p>
    <w:p w:rsidR="007503A8" w:rsidRDefault="007503A8" w:rsidP="007503A8"/>
    <w:p w:rsidR="007503A8" w:rsidRDefault="007503A8" w:rsidP="007503A8">
      <w:r>
        <w:t xml:space="preserve">#### *3.1 Immediate Line Manager or Supervisor*  </w:t>
      </w:r>
    </w:p>
    <w:p w:rsidR="007503A8" w:rsidRDefault="007503A8" w:rsidP="007503A8">
      <w:r>
        <w:t xml:space="preserve">The first point of contact is usually the immediate manager, nurse, or senior carer on duty, who can assess the situation further and provide guidance.  </w:t>
      </w:r>
    </w:p>
    <w:p w:rsidR="007503A8" w:rsidRDefault="007503A8" w:rsidP="007503A8"/>
    <w:p w:rsidR="007503A8" w:rsidRDefault="007503A8" w:rsidP="007503A8">
      <w:r>
        <w:t xml:space="preserve">#### *3.2 Multidisciplinary Team (MDT)*  </w:t>
      </w:r>
    </w:p>
    <w:p w:rsidR="007503A8" w:rsidRDefault="007503A8" w:rsidP="007503A8">
      <w:r>
        <w:t xml:space="preserve">Depending on the severity of the situation, concerns may need to be raised with:  </w:t>
      </w:r>
    </w:p>
    <w:p w:rsidR="007503A8" w:rsidRDefault="007503A8" w:rsidP="007503A8">
      <w:r>
        <w:t xml:space="preserve">- *General Practitioners (GPs)*: For medical assessment and treatment plans.  </w:t>
      </w:r>
    </w:p>
    <w:p w:rsidR="007503A8" w:rsidRDefault="007503A8" w:rsidP="007503A8">
      <w:r>
        <w:t xml:space="preserve">- *Specialist Nurses*: For specific conditions, such as diabetes or wound care.  </w:t>
      </w:r>
    </w:p>
    <w:p w:rsidR="007503A8" w:rsidRDefault="007503A8" w:rsidP="007503A8">
      <w:r>
        <w:t xml:space="preserve">- *Therapists*: Physiotherapists or occupational therapists for mobility or rehabilitation concerns.  </w:t>
      </w:r>
    </w:p>
    <w:p w:rsidR="007503A8" w:rsidRDefault="007503A8" w:rsidP="007503A8"/>
    <w:p w:rsidR="007503A8" w:rsidRDefault="007503A8" w:rsidP="007503A8">
      <w:r>
        <w:t xml:space="preserve">#### *3.3 Emergency Services*  </w:t>
      </w:r>
    </w:p>
    <w:p w:rsidR="007503A8" w:rsidRDefault="007503A8" w:rsidP="007503A8">
      <w:r>
        <w:lastRenderedPageBreak/>
        <w:t xml:space="preserve">If the deterioration is life-threatening (e.g., cardiac arrest or respiratory failure), escalation should be directed to emergency services by calling 999 (NICE, 2021).  </w:t>
      </w:r>
    </w:p>
    <w:p w:rsidR="007503A8" w:rsidRDefault="007503A8" w:rsidP="007503A8"/>
    <w:p w:rsidR="007503A8" w:rsidRDefault="007503A8" w:rsidP="007503A8">
      <w:r>
        <w:t xml:space="preserve">#### *3.4 Safeguarding Teams*  </w:t>
      </w:r>
    </w:p>
    <w:p w:rsidR="007503A8" w:rsidRDefault="007503A8" w:rsidP="007503A8">
      <w:r>
        <w:t xml:space="preserve">If deterioration is suspected to result from abuse or neglect, concerns should be escalated to the safeguarding lead or local authority (CQC, 2019).  </w:t>
      </w:r>
    </w:p>
    <w:p w:rsidR="007503A8" w:rsidRDefault="007503A8" w:rsidP="007503A8"/>
    <w:p w:rsidR="007503A8" w:rsidRDefault="007503A8" w:rsidP="007503A8">
      <w:r>
        <w:t>---</w:t>
      </w:r>
    </w:p>
    <w:p w:rsidR="007503A8" w:rsidRDefault="007503A8" w:rsidP="007503A8"/>
    <w:p w:rsidR="007503A8" w:rsidRDefault="007503A8" w:rsidP="007503A8">
      <w:r>
        <w:t xml:space="preserve">### *4. Organizational Protocols and Policies*  </w:t>
      </w:r>
    </w:p>
    <w:p w:rsidR="007503A8" w:rsidRDefault="007503A8" w:rsidP="007503A8"/>
    <w:p w:rsidR="007503A8" w:rsidRDefault="007503A8" w:rsidP="007503A8">
      <w:r>
        <w:t xml:space="preserve">Every care setting has established escalation policies that outline:  </w:t>
      </w:r>
    </w:p>
    <w:p w:rsidR="007503A8" w:rsidRDefault="007503A8" w:rsidP="007503A8">
      <w:r>
        <w:t xml:space="preserve">- The chain of command for reporting concerns.  </w:t>
      </w:r>
    </w:p>
    <w:p w:rsidR="007503A8" w:rsidRDefault="007503A8" w:rsidP="007503A8">
      <w:r>
        <w:t xml:space="preserve">- Timeframes for responses based on the urgency of the situation.  </w:t>
      </w:r>
    </w:p>
    <w:p w:rsidR="007503A8" w:rsidRDefault="007503A8" w:rsidP="007503A8">
      <w:r>
        <w:t xml:space="preserve">- Procedures for documenting and following up on escalated concerns (Health and Safety Executive, 2022).  </w:t>
      </w:r>
    </w:p>
    <w:p w:rsidR="007503A8" w:rsidRDefault="007503A8" w:rsidP="007503A8"/>
    <w:p w:rsidR="007503A8" w:rsidRDefault="007503A8" w:rsidP="007503A8">
      <w:r>
        <w:t>---</w:t>
      </w:r>
    </w:p>
    <w:p w:rsidR="007503A8" w:rsidRDefault="007503A8" w:rsidP="007503A8"/>
    <w:p w:rsidR="007503A8" w:rsidRDefault="007503A8" w:rsidP="007503A8">
      <w:r>
        <w:t xml:space="preserve">### *5. The Role of Advocacy in Escalation*  </w:t>
      </w:r>
    </w:p>
    <w:p w:rsidR="007503A8" w:rsidRDefault="007503A8" w:rsidP="007503A8"/>
    <w:p w:rsidR="007503A8" w:rsidRDefault="007503A8" w:rsidP="007503A8">
      <w:r>
        <w:t xml:space="preserve">In situations where individuals cannot advocate for themselves, care workers may need to involve family members, legal representatives, or independent advocates to support the escalation process (Care Act, 2014).  </w:t>
      </w:r>
    </w:p>
    <w:p w:rsidR="007503A8" w:rsidRDefault="007503A8" w:rsidP="007503A8"/>
    <w:p w:rsidR="007503A8" w:rsidRDefault="007503A8" w:rsidP="007503A8">
      <w:r>
        <w:t>---</w:t>
      </w:r>
    </w:p>
    <w:p w:rsidR="007503A8" w:rsidRDefault="007503A8" w:rsidP="007503A8"/>
    <w:p w:rsidR="007503A8" w:rsidRDefault="007503A8" w:rsidP="007503A8">
      <w:r>
        <w:t xml:space="preserve">### *Conclusion*  </w:t>
      </w:r>
    </w:p>
    <w:p w:rsidR="007503A8" w:rsidRDefault="007503A8" w:rsidP="007503A8"/>
    <w:p w:rsidR="007503A8" w:rsidRDefault="007503A8" w:rsidP="007503A8">
      <w:r>
        <w:t xml:space="preserve">Escalating concerns about health deterioration is vital to maintaining the safety and well-being of individuals in a care setting. By recognizing signs of deterioration, adhering to organizational protocols, </w:t>
      </w:r>
      <w:r>
        <w:lastRenderedPageBreak/>
        <w:t xml:space="preserve">and effectively communicating concerns to the appropriate professionals, caregivers can ensure timely interventions and improve outcomes. Structured communication tools like SBAR and adherence to policies play a critical role in streamlining the escalation process.  </w:t>
      </w:r>
    </w:p>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p w:rsidR="007503A8" w:rsidRDefault="007503A8" w:rsidP="007503A8">
      <w:r>
        <w:t>---</w:t>
      </w:r>
    </w:p>
    <w:p w:rsidR="007503A8" w:rsidRDefault="007503A8" w:rsidP="007503A8"/>
    <w:p w:rsidR="007503A8" w:rsidRDefault="007503A8" w:rsidP="007503A8">
      <w:r>
        <w:t xml:space="preserve">### *References*  </w:t>
      </w:r>
    </w:p>
    <w:p w:rsidR="007503A8" w:rsidRDefault="007503A8" w:rsidP="007503A8"/>
    <w:p w:rsidR="007503A8" w:rsidRDefault="007503A8" w:rsidP="007503A8">
      <w:r>
        <w:t xml:space="preserve">Care Quality Commission (CQC) (2019). How to raise a concern. Available at: https://www.cqc.org.uk (Accessed: 24 December 2024).  </w:t>
      </w:r>
    </w:p>
    <w:p w:rsidR="007503A8" w:rsidRDefault="007503A8" w:rsidP="007503A8"/>
    <w:p w:rsidR="007503A8" w:rsidRDefault="007503A8" w:rsidP="007503A8">
      <w:r>
        <w:t xml:space="preserve">Health and Safety Executive (HSE) (2022). Health and safety in care settings: Policies and procedures. Available at: https://www.hse.gov.uk (Accessed: 24 December 2024).  </w:t>
      </w:r>
    </w:p>
    <w:p w:rsidR="007503A8" w:rsidRDefault="007503A8" w:rsidP="007503A8"/>
    <w:p w:rsidR="007503A8" w:rsidRDefault="007503A8" w:rsidP="007503A8">
      <w:r>
        <w:t xml:space="preserve">National Institute for Health and Care Excellence (NICE) (2021). Managing acute deterioration in care settings. Available at: https://www.nice.org.uk (Accessed: 24 December 2024).  </w:t>
      </w:r>
    </w:p>
    <w:p w:rsidR="007503A8" w:rsidRDefault="007503A8" w:rsidP="007503A8"/>
    <w:p w:rsidR="007503A8" w:rsidRDefault="007503A8" w:rsidP="007503A8">
      <w:r>
        <w:t xml:space="preserve">NHS England (2018). SBAR communication tool – Situation, Background, Assessment, Recommendation. Available at: https://www.england.nhs.uk (Accessed: 24 December 2024).  </w:t>
      </w:r>
    </w:p>
    <w:p w:rsidR="007503A8" w:rsidRDefault="007503A8" w:rsidP="007503A8"/>
    <w:p w:rsidR="007503A8" w:rsidRDefault="007503A8" w:rsidP="007503A8">
      <w:r>
        <w:t>Royal College of Physicians (2017). National Early Warning Score (NEWS) 2 – Standardizing the assessment of acute illness severity in the NHS. Available at: https://www.rcplondon.ac.uk (Accessed: 24 December 2024).</w:t>
      </w:r>
    </w:p>
    <w:p w:rsidR="007503A8" w:rsidRDefault="007503A8" w:rsidP="007503A8"/>
    <w:p w:rsidR="007503A8" w:rsidRDefault="007503A8" w:rsidP="007503A8">
      <w:r>
        <w:t>---</w:t>
      </w:r>
    </w:p>
    <w:p w:rsidR="007503A8" w:rsidRDefault="007503A8" w:rsidP="007503A8"/>
    <w:p w:rsidR="007503A8" w:rsidRDefault="007503A8" w:rsidP="007503A8">
      <w:r>
        <w:t xml:space="preserve">### *References*  </w:t>
      </w:r>
    </w:p>
    <w:p w:rsidR="007503A8" w:rsidRDefault="007503A8" w:rsidP="007503A8"/>
    <w:p w:rsidR="007503A8" w:rsidRDefault="007503A8" w:rsidP="007503A8">
      <w:proofErr w:type="spellStart"/>
      <w:r>
        <w:lastRenderedPageBreak/>
        <w:t>Alagiakrishnan</w:t>
      </w:r>
      <w:proofErr w:type="spellEnd"/>
      <w:r>
        <w:t xml:space="preserve">, K., &amp; Wiens, C. A. (2004). An approach to drug-induced delirium in the elderly. Postgraduate Medical Journal, 80(945), 388-393.  </w:t>
      </w:r>
    </w:p>
    <w:p w:rsidR="007503A8" w:rsidRDefault="007503A8" w:rsidP="007503A8"/>
    <w:p w:rsidR="007503A8" w:rsidRDefault="007503A8" w:rsidP="007503A8">
      <w:r>
        <w:t xml:space="preserve">Baglioni, C., </w:t>
      </w:r>
      <w:proofErr w:type="spellStart"/>
      <w:r>
        <w:t>Battagliese</w:t>
      </w:r>
      <w:proofErr w:type="spellEnd"/>
      <w:r>
        <w:t xml:space="preserve">, G., Feige, B., </w:t>
      </w:r>
      <w:proofErr w:type="spellStart"/>
      <w:r>
        <w:t>Spiegelhalder</w:t>
      </w:r>
      <w:proofErr w:type="spellEnd"/>
      <w:r>
        <w:t xml:space="preserve">, K., Nissen, C., &amp; Riemann, D. (2016). Insomnia as a predictor of depression: A meta-analytic evaluation of longitudinal epidemiological studies. Journal of Affective Disorders, 193, 10-19.  </w:t>
      </w:r>
    </w:p>
    <w:p w:rsidR="007503A8" w:rsidRDefault="007503A8" w:rsidP="007503A8"/>
    <w:p w:rsidR="007503A8" w:rsidRDefault="007503A8" w:rsidP="007503A8">
      <w:r>
        <w:t xml:space="preserve">Clegg, A., Young, J., Iliffe, S., Rikkert, M. O., &amp; Rockwood, K. (2013). Frailty in elderly people. The Lancet, 381(9868), 752-762.  </w:t>
      </w:r>
    </w:p>
    <w:p w:rsidR="007503A8" w:rsidRDefault="007503A8" w:rsidP="007503A8"/>
    <w:p w:rsidR="007503A8" w:rsidRDefault="007503A8" w:rsidP="007503A8">
      <w:r>
        <w:t xml:space="preserve">Coleman, S., Gorecki, C., Nelson, E. A., Closs, S. J., </w:t>
      </w:r>
      <w:proofErr w:type="spellStart"/>
      <w:r>
        <w:t>Defloor</w:t>
      </w:r>
      <w:proofErr w:type="spellEnd"/>
      <w:r>
        <w:t xml:space="preserve">, T., </w:t>
      </w:r>
      <w:proofErr w:type="spellStart"/>
      <w:r>
        <w:t>Halfens</w:t>
      </w:r>
      <w:proofErr w:type="spellEnd"/>
      <w:r>
        <w:t xml:space="preserve">, R., &amp; Nixon, J. (2014). Patient risk factors for pressure ulcer development: Systematic review. International Journal of Nursing Studies, 51(5), 947-962.  </w:t>
      </w:r>
    </w:p>
    <w:p w:rsidR="007503A8" w:rsidRDefault="007503A8" w:rsidP="007503A8"/>
    <w:p w:rsidR="007503A8" w:rsidRDefault="007503A8" w:rsidP="007503A8">
      <w:r>
        <w:t xml:space="preserve">Cornwell, E. Y., &amp; Waite, L. J. (2009). Social disconnectedness, perceived isolation, and health among older adults. Journal of Health and Social </w:t>
      </w:r>
      <w:proofErr w:type="spellStart"/>
      <w:r>
        <w:t>Behavior</w:t>
      </w:r>
      <w:proofErr w:type="spellEnd"/>
      <w:r>
        <w:t xml:space="preserve">, 50(1), 31-48.  </w:t>
      </w:r>
    </w:p>
    <w:p w:rsidR="007503A8" w:rsidRDefault="007503A8" w:rsidP="007503A8"/>
    <w:p w:rsidR="007503A8" w:rsidRDefault="007503A8" w:rsidP="007503A8">
      <w:r>
        <w:t>El-</w:t>
      </w:r>
      <w:proofErr w:type="spellStart"/>
      <w:r>
        <w:t>Sharkawy</w:t>
      </w:r>
      <w:proofErr w:type="spellEnd"/>
      <w:r>
        <w:t xml:space="preserve">, A. M., Watson, P., &amp; Jack, S. (2015). Hydration and outcome in older adults. Current Opinion in Clinical Nutrition &amp; Metabolic Care, 18(1), 17-22.  </w:t>
      </w:r>
    </w:p>
    <w:p w:rsidR="007503A8" w:rsidRDefault="007503A8" w:rsidP="007503A8"/>
    <w:p w:rsidR="007503A8" w:rsidRDefault="007503A8" w:rsidP="007503A8">
      <w:r>
        <w:t xml:space="preserve">Herr, K., Coyne, P. J., McCaffery, M., </w:t>
      </w:r>
      <w:proofErr w:type="spellStart"/>
      <w:r>
        <w:t>Manworren</w:t>
      </w:r>
      <w:proofErr w:type="spellEnd"/>
      <w:r>
        <w:t xml:space="preserve">, R., &amp; Merkel, S. (2011). Pain assessment in the patient unable to self-report: Position statement with clinical practice recommendations. Pain Management Nursing, 12(4), 230-250.  </w:t>
      </w:r>
    </w:p>
    <w:p w:rsidR="007503A8" w:rsidRDefault="007503A8" w:rsidP="007503A8"/>
    <w:p w:rsidR="007503A8" w:rsidRDefault="007503A8" w:rsidP="007503A8">
      <w:r>
        <w:t xml:space="preserve">Lacey, K., &amp; Pritchett, E. (2003). Nutritional assessment and intervention in older adults. British Journal of Nursing, 12(4), 237-241.  </w:t>
      </w:r>
    </w:p>
    <w:p w:rsidR="007503A8" w:rsidRDefault="007503A8" w:rsidP="007503A8"/>
    <w:p w:rsidR="007503A8" w:rsidRDefault="007503A8" w:rsidP="007503A8">
      <w:r>
        <w:t xml:space="preserve">National Institute for Health and Care Excellence (NICE) (2021). Respiratory tract infections (self-limiting): NICE clinical guideline. Available at: https://www.nice.org.uk (Accessed: 24 December 2024).  </w:t>
      </w:r>
    </w:p>
    <w:p w:rsidR="007503A8" w:rsidRDefault="007503A8" w:rsidP="007503A8"/>
    <w:p w:rsidR="007503A8" w:rsidRDefault="007503A8" w:rsidP="007503A8">
      <w:r>
        <w:t xml:space="preserve">National Institute of Mental Health (2020). Depression. Available at: https://www.nimh.nih.gov/health/topics/depression (Accessed: 24 December 2024).  </w:t>
      </w:r>
    </w:p>
    <w:p w:rsidR="007503A8" w:rsidRDefault="007503A8" w:rsidP="007503A8"/>
    <w:p w:rsidR="007503A8" w:rsidRDefault="007503A8" w:rsidP="007503A8">
      <w:r>
        <w:lastRenderedPageBreak/>
        <w:t>Royal College of Physicians (2017). National Early Warning Score (NEWS) 2. Improving detection and response to clinical deterioration in adults. Available at: https://www.rcplondon.ac.uk (Accessed: 24 December 2024).</w:t>
      </w:r>
    </w:p>
    <w:p w:rsidR="007503A8" w:rsidRDefault="007503A8" w:rsidP="007503A8"/>
    <w:p w:rsidR="007503A8" w:rsidRDefault="007503A8" w:rsidP="007503A8">
      <w:r>
        <w:t>---</w:t>
      </w:r>
    </w:p>
    <w:p w:rsidR="007503A8" w:rsidRDefault="007503A8" w:rsidP="007503A8"/>
    <w:p w:rsidR="007503A8" w:rsidRDefault="007503A8" w:rsidP="007503A8">
      <w:r>
        <w:t xml:space="preserve">### References  </w:t>
      </w:r>
    </w:p>
    <w:p w:rsidR="007503A8" w:rsidRDefault="007503A8" w:rsidP="007503A8"/>
    <w:p w:rsidR="007503A8" w:rsidRDefault="007503A8" w:rsidP="007503A8">
      <w:r>
        <w:t>Holt-</w:t>
      </w:r>
      <w:proofErr w:type="spellStart"/>
      <w:r>
        <w:t>Lunstad</w:t>
      </w:r>
      <w:proofErr w:type="spellEnd"/>
      <w:r>
        <w:t xml:space="preserve">, J., Smith, T. B., Baker, M., Harris, T., &amp; Stephenson, D. (2015). Loneliness and social isolation as risk factors for mortality: A meta-analytic review. Perspectives on Psychological Science, 10(2), 227-237.  </w:t>
      </w:r>
    </w:p>
    <w:p w:rsidR="007503A8" w:rsidRDefault="007503A8" w:rsidP="007503A8"/>
    <w:p w:rsidR="007503A8" w:rsidRDefault="007503A8" w:rsidP="007503A8">
      <w:r>
        <w:t xml:space="preserve">Lupton, D. (2018). Digital health: Critical and cross-disciplinary perspectives. Routledge.  </w:t>
      </w:r>
    </w:p>
    <w:p w:rsidR="007503A8" w:rsidRDefault="007503A8" w:rsidP="007503A8"/>
    <w:p w:rsidR="007503A8" w:rsidRDefault="007503A8" w:rsidP="007503A8">
      <w:r>
        <w:t xml:space="preserve">McCabe, C., &amp; Timmins, F. (2013). Communication skills for nursing practice. 2nd </w:t>
      </w:r>
      <w:proofErr w:type="spellStart"/>
      <w:r>
        <w:t>edn</w:t>
      </w:r>
      <w:proofErr w:type="spellEnd"/>
      <w:r>
        <w:t xml:space="preserve">. Palgrave Macmillan.  </w:t>
      </w:r>
    </w:p>
    <w:p w:rsidR="007503A8" w:rsidRDefault="007503A8" w:rsidP="007503A8"/>
    <w:p w:rsidR="007503A8" w:rsidRDefault="007503A8" w:rsidP="007503A8">
      <w:r>
        <w:t xml:space="preserve">McCormack, B., &amp; McCance, T. (2017). Person-centred practice in nursing and health care: Theory and practice. Wiley-Blackwell.  </w:t>
      </w:r>
    </w:p>
    <w:p w:rsidR="007503A8" w:rsidRDefault="007503A8" w:rsidP="007503A8"/>
    <w:p w:rsidR="007503A8" w:rsidRDefault="007503A8" w:rsidP="007503A8">
      <w:r>
        <w:t xml:space="preserve">NHS (2023). NHS weight loss plan. Available at: https://www.nhs.uk/live-well/healthy-weight/start-the-nhs-weight-loss-plan/ (Accessed: 24 December 2024).  </w:t>
      </w:r>
    </w:p>
    <w:p w:rsidR="007503A8" w:rsidRDefault="007503A8" w:rsidP="007503A8"/>
    <w:p w:rsidR="007503A8" w:rsidRDefault="007503A8" w:rsidP="007503A8">
      <w:r>
        <w:t xml:space="preserve">NICE (2016). Patient experience in adult NHS services: improving the experience of care for people using adult NHS services. National Institute for Health and Care Excellence.  </w:t>
      </w:r>
    </w:p>
    <w:p w:rsidR="007503A8" w:rsidRDefault="007503A8" w:rsidP="007503A8"/>
    <w:p w:rsidR="007503A8" w:rsidRDefault="007503A8" w:rsidP="007503A8">
      <w:r>
        <w:t xml:space="preserve">Vermeulen, J., Neyens, J. C., van Rossum, E., </w:t>
      </w:r>
      <w:proofErr w:type="spellStart"/>
      <w:r>
        <w:t>Spreeuwenberg</w:t>
      </w:r>
      <w:proofErr w:type="spellEnd"/>
      <w:r>
        <w:t xml:space="preserve">, M. D., &amp; de Witte, L. P. (2018). The use of assistive devices for independence in daily life: A review. Ageing Research Reviews, 5(1), 31-42.  </w:t>
      </w:r>
    </w:p>
    <w:p w:rsidR="007503A8" w:rsidRDefault="007503A8" w:rsidP="007503A8"/>
    <w:p w:rsidR="007503A8" w:rsidRDefault="007503A8" w:rsidP="007503A8">
      <w:r>
        <w:t>World Health Organization (2021). Promoting health and well-being. Available at: https://www.who.int/health-topics/health-promotion (Accessed: 24 December 2024).</w:t>
      </w:r>
    </w:p>
    <w:p w:rsidR="007503A8" w:rsidRDefault="007503A8" w:rsidP="007503A8"/>
    <w:p w:rsidR="007503A8" w:rsidRDefault="007503A8" w:rsidP="007503A8">
      <w:r>
        <w:lastRenderedPageBreak/>
        <w:t>---</w:t>
      </w:r>
    </w:p>
    <w:p w:rsidR="007503A8" w:rsidRDefault="007503A8" w:rsidP="007503A8"/>
    <w:p w:rsidR="007503A8" w:rsidRDefault="007503A8" w:rsidP="007503A8">
      <w:r>
        <w:t xml:space="preserve">### References  </w:t>
      </w:r>
    </w:p>
    <w:p w:rsidR="007503A8" w:rsidRDefault="007503A8" w:rsidP="007503A8"/>
    <w:p w:rsidR="007503A8" w:rsidRDefault="007503A8" w:rsidP="007503A8">
      <w:r>
        <w:t xml:space="preserve">Baumeister, R. F., &amp; Leary, M. R. (1995). The need to belong: Desire for interpersonal attachments as a fundamental human motivation. Psychological Bulletin, 117(3), 497-529.  </w:t>
      </w:r>
    </w:p>
    <w:p w:rsidR="007503A8" w:rsidRDefault="007503A8" w:rsidP="007503A8"/>
    <w:p w:rsidR="007503A8" w:rsidRDefault="007503A8" w:rsidP="007503A8">
      <w:r>
        <w:t>Fallowfield, L., Jenkins, V., Farewell, V., &amp; Solis-</w:t>
      </w:r>
      <w:proofErr w:type="spellStart"/>
      <w:r>
        <w:t>Trapala</w:t>
      </w:r>
      <w:proofErr w:type="spellEnd"/>
      <w:r>
        <w:t xml:space="preserve">, I. (2002). Endocrine therapy for older women with breast cancer: The impact on quality of life of women randomized to tamoxifen alone compared to tamoxifen and radiotherapy. British Journal of Cancer, 86(1), 65-71.  </w:t>
      </w:r>
    </w:p>
    <w:p w:rsidR="007503A8" w:rsidRDefault="007503A8" w:rsidP="007503A8"/>
    <w:p w:rsidR="007503A8" w:rsidRDefault="007503A8" w:rsidP="007503A8">
      <w:r>
        <w:t>Holt-</w:t>
      </w:r>
      <w:proofErr w:type="spellStart"/>
      <w:r>
        <w:t>Lunstad</w:t>
      </w:r>
      <w:proofErr w:type="spellEnd"/>
      <w:r>
        <w:t xml:space="preserve">, J., Smith, T. B., Baker, M., Harris, T., &amp; Stephenson, D. (2015). Loneliness and social isolation as risk factors for mortality: A meta-analytic review. Perspectives on Psychological Science, 10(2), 227-237.  </w:t>
      </w:r>
    </w:p>
    <w:p w:rsidR="007503A8" w:rsidRDefault="007503A8" w:rsidP="007503A8"/>
    <w:p w:rsidR="007503A8" w:rsidRDefault="007503A8" w:rsidP="007503A8">
      <w:r>
        <w:t xml:space="preserve">McCormack, B., &amp; McCance, T. (2017). Person-centred practice in nursing and health care: Theory and practice. Wiley-Blackwell.  </w:t>
      </w:r>
    </w:p>
    <w:p w:rsidR="007503A8" w:rsidRDefault="007503A8" w:rsidP="007503A8"/>
    <w:p w:rsidR="007503A8" w:rsidRDefault="007503A8" w:rsidP="007503A8">
      <w:r>
        <w:t xml:space="preserve">NICE (2018). Dementia: assessment, management and support for people living with dementia and their </w:t>
      </w:r>
      <w:proofErr w:type="spellStart"/>
      <w:r>
        <w:t>carers</w:t>
      </w:r>
      <w:proofErr w:type="spellEnd"/>
      <w:r>
        <w:t xml:space="preserve">. National Institute for Health and Care Excellence.  </w:t>
      </w:r>
    </w:p>
    <w:p w:rsidR="007503A8" w:rsidRDefault="007503A8" w:rsidP="007503A8"/>
    <w:p w:rsidR="007503A8" w:rsidRDefault="007503A8" w:rsidP="007503A8">
      <w:r>
        <w:t>Ryan, R. M., &amp; Deci, E. L. (2000). Self-determination theory and the facilitation of intrinsic motivation, social development, and well-being. American Psychologist, 55(1), 68-78.</w:t>
      </w:r>
    </w:p>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p w:rsidR="007503A8" w:rsidRDefault="007503A8"/>
    <w:sectPr w:rsidR="007503A8"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A8"/>
    <w:rsid w:val="000D019F"/>
    <w:rsid w:val="001066B1"/>
    <w:rsid w:val="002176F0"/>
    <w:rsid w:val="0034555F"/>
    <w:rsid w:val="005F4A37"/>
    <w:rsid w:val="00611A00"/>
    <w:rsid w:val="00631E83"/>
    <w:rsid w:val="006807A6"/>
    <w:rsid w:val="006A27F8"/>
    <w:rsid w:val="007503A8"/>
    <w:rsid w:val="008179D3"/>
    <w:rsid w:val="008B4EAC"/>
    <w:rsid w:val="009964A6"/>
    <w:rsid w:val="00BD3C38"/>
    <w:rsid w:val="00C06E90"/>
    <w:rsid w:val="00E31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A4AE7"/>
  <w15:chartTrackingRefBased/>
  <w15:docId w15:val="{72767978-0EC0-4F55-BC1F-C3A53783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3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03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03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03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03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0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03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03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03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03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0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3A8"/>
    <w:rPr>
      <w:rFonts w:eastAsiaTheme="majorEastAsia" w:cstheme="majorBidi"/>
      <w:color w:val="272727" w:themeColor="text1" w:themeTint="D8"/>
    </w:rPr>
  </w:style>
  <w:style w:type="paragraph" w:styleId="Title">
    <w:name w:val="Title"/>
    <w:basedOn w:val="Normal"/>
    <w:next w:val="Normal"/>
    <w:link w:val="TitleChar"/>
    <w:uiPriority w:val="10"/>
    <w:qFormat/>
    <w:rsid w:val="00750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3A8"/>
    <w:pPr>
      <w:spacing w:before="160"/>
      <w:jc w:val="center"/>
    </w:pPr>
    <w:rPr>
      <w:i/>
      <w:iCs/>
      <w:color w:val="404040" w:themeColor="text1" w:themeTint="BF"/>
    </w:rPr>
  </w:style>
  <w:style w:type="character" w:customStyle="1" w:styleId="QuoteChar">
    <w:name w:val="Quote Char"/>
    <w:basedOn w:val="DefaultParagraphFont"/>
    <w:link w:val="Quote"/>
    <w:uiPriority w:val="29"/>
    <w:rsid w:val="007503A8"/>
    <w:rPr>
      <w:i/>
      <w:iCs/>
      <w:color w:val="404040" w:themeColor="text1" w:themeTint="BF"/>
    </w:rPr>
  </w:style>
  <w:style w:type="paragraph" w:styleId="ListParagraph">
    <w:name w:val="List Paragraph"/>
    <w:basedOn w:val="Normal"/>
    <w:uiPriority w:val="34"/>
    <w:qFormat/>
    <w:rsid w:val="007503A8"/>
    <w:pPr>
      <w:ind w:left="720"/>
      <w:contextualSpacing/>
    </w:pPr>
  </w:style>
  <w:style w:type="character" w:styleId="IntenseEmphasis">
    <w:name w:val="Intense Emphasis"/>
    <w:basedOn w:val="DefaultParagraphFont"/>
    <w:uiPriority w:val="21"/>
    <w:qFormat/>
    <w:rsid w:val="007503A8"/>
    <w:rPr>
      <w:i/>
      <w:iCs/>
      <w:color w:val="2E74B5" w:themeColor="accent1" w:themeShade="BF"/>
    </w:rPr>
  </w:style>
  <w:style w:type="paragraph" w:styleId="IntenseQuote">
    <w:name w:val="Intense Quote"/>
    <w:basedOn w:val="Normal"/>
    <w:next w:val="Normal"/>
    <w:link w:val="IntenseQuoteChar"/>
    <w:uiPriority w:val="30"/>
    <w:qFormat/>
    <w:rsid w:val="007503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03A8"/>
    <w:rPr>
      <w:i/>
      <w:iCs/>
      <w:color w:val="2E74B5" w:themeColor="accent1" w:themeShade="BF"/>
    </w:rPr>
  </w:style>
  <w:style w:type="character" w:styleId="IntenseReference">
    <w:name w:val="Intense Reference"/>
    <w:basedOn w:val="DefaultParagraphFont"/>
    <w:uiPriority w:val="32"/>
    <w:qFormat/>
    <w:rsid w:val="007503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3368</Words>
  <Characters>21160</Characters>
  <Application>Microsoft Office Word</Application>
  <DocSecurity>0</DocSecurity>
  <Lines>580</Lines>
  <Paragraphs>219</Paragraphs>
  <ScaleCrop>false</ScaleCrop>
  <Company/>
  <LinksUpToDate>false</LinksUpToDate>
  <CharactersWithSpaces>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1</cp:revision>
  <dcterms:created xsi:type="dcterms:W3CDTF">2024-12-29T19:01:00Z</dcterms:created>
  <dcterms:modified xsi:type="dcterms:W3CDTF">2024-12-29T19:02:00Z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5fc4b2f3-4250-4971-9829-9764d34f2976</vt:lpwstr>
  </property>
</Properties>
</file>