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1B2A4A"/>
          <w:sz w:val="64"/>
          <w:szCs w:val="64"/>
        </w:rPr>
        <w:t xml:space="preserve">NoteFusion</w:t>
      </w:r>
    </w:p>
    <w:p>
      <w:pPr>
        <w:spacing w:after="120"/>
        <w:jc w:val="center"/>
      </w:pPr>
      <w:r>
        <w:rPr>
          <w:color w:val="0E7490"/>
          <w:sz w:val="32"/>
          <w:szCs w:val="32"/>
        </w:rPr>
        <w:t xml:space="preserve">Product Requirements Document (PRD)</w:t>
      </w:r>
    </w:p>
    <w:p>
      <w:pPr>
        <w:spacing w:after="80"/>
        <w:jc w:val="center"/>
      </w:pPr>
      <w:r>
        <w:rPr>
          <w:i/>
          <w:iCs/>
          <w:color w:val="595959"/>
          <w:sz w:val="24"/>
          <w:szCs w:val="24"/>
        </w:rPr>
        <w:t xml:space="preserve">Hear it. See it. Play it.</w:t>
      </w:r>
    </w:p>
    <w:p>
      <w:pPr>
        <w:spacing w:after="60" w:before="400"/>
        <w:jc w:val="center"/>
      </w:pPr>
      <w:r>
        <w:rPr>
          <w:color w:val="595959"/>
          <w:sz w:val="22"/>
          <w:szCs w:val="22"/>
        </w:rPr>
        <w:t xml:space="preserve">Version 1.0  •  July 2026</w:t>
      </w:r>
    </w:p>
    <w:p>
      <w:pPr>
        <w:spacing w:after="60"/>
        <w:jc w:val="center"/>
      </w:pPr>
      <w:r>
        <w:rPr>
          <w:color w:val="595959"/>
          <w:sz w:val="22"/>
          <w:szCs w:val="22"/>
        </w:rPr>
        <w:t xml:space="preserve">Prepared for: RealDiamond Digitals, Akure, Ondo State, Nigeria</w:t>
      </w:r>
    </w:p>
    <w:p>
      <w:pPr>
        <w:spacing w:after="60"/>
        <w:jc w:val="center"/>
      </w:pPr>
      <w:r>
        <w:rPr>
          <w:color w:val="595959"/>
          <w:sz w:val="22"/>
          <w:szCs w:val="22"/>
        </w:rPr>
        <w:t xml:space="preserve">Status: Draft — Idea Validation Phase</w:t>
      </w:r>
    </w:p>
    <w:p>
      <w:r>
        <w:br w:type="page"/>
      </w:r>
    </w:p>
    <w:p>
      <w:pPr>
        <w:pStyle w:val="Heading1"/>
        <w:spacing w:after="160" w:before="320"/>
      </w:pPr>
      <w:r>
        <w:rPr>
          <w:b/>
          <w:bCs/>
          <w:color w:val="1B2A4A"/>
          <w:sz w:val="30"/>
          <w:szCs w:val="30"/>
        </w:rPr>
        <w:t xml:space="preserve">1. Product Overview</w:t>
      </w:r>
    </w:p>
    <w:p>
      <w:pPr>
        <w:spacing w:after="120" w:line="300"/>
      </w:pPr>
      <w:r>
        <w:rPr>
          <w:sz w:val="22"/>
          <w:szCs w:val="22"/>
        </w:rPr>
        <w:t xml:space="preserve">NoteFusion is an Android application that listens to live or recorded music through the device microphone and automatically transcribes it into two notation systems: Tonic Solfa (movable-do solfège) and standard Staff Notation. The interaction model is deliberately simple and familiar — a single tap starts listening, similar to Shazam — but where Shazam identifies a song, NoteFusion tells the user exactly what notes are being played, in a form a musician can immediately read, sing, or play back.</w:t>
      </w:r>
    </w:p>
    <w:p>
      <w:pPr>
        <w:spacing w:after="120" w:line="300"/>
      </w:pPr>
      <w:r>
        <w:rPr>
          <w:sz w:val="22"/>
          <w:szCs w:val="22"/>
        </w:rPr>
        <w:t xml:space="preserve">The product targets a genuine gap: no mainstream transcription app produces Tonic Solfa output, despite solfa being the primary notation system for millions of choir singers, church instrumentalists, and music learners across Nigeria, West Africa, and much of the Commonwealth. Staff-notation transcription apps exist (ScoreCloud, AnthemScore, Piano2Notes), but they are desktop-first, subscription-heavy, and solfa-blind.</w:t>
      </w:r>
    </w:p>
    <w:p>
      <w:pPr>
        <w:pStyle w:val="Heading2"/>
        <w:spacing w:after="120" w:before="240"/>
      </w:pPr>
      <w:r>
        <w:rPr>
          <w:b/>
          <w:bCs/>
          <w:color w:val="0E7490"/>
          <w:sz w:val="25"/>
          <w:szCs w:val="25"/>
        </w:rPr>
        <w:t xml:space="preserve">1.1 Vision Statement</w:t>
      </w:r>
    </w:p>
    <w:p>
      <w:pPr>
        <w:spacing w:after="120" w:line="300"/>
      </w:pPr>
      <w:r>
        <w:rPr>
          <w:sz w:val="22"/>
          <w:szCs w:val="22"/>
        </w:rPr>
        <w:t xml:space="preserve">Every musician — from a choir director in Akure to a self-taught pianist anywhere in the world — should be able to capture the music around them and instantly see it written down in the notation they actually read.</w:t>
      </w:r>
    </w:p>
    <w:p>
      <w:pPr>
        <w:pStyle w:val="Heading2"/>
        <w:spacing w:after="120" w:before="240"/>
      </w:pPr>
      <w:r>
        <w:rPr>
          <w:b/>
          <w:bCs/>
          <w:color w:val="0E7490"/>
          <w:sz w:val="25"/>
          <w:szCs w:val="25"/>
        </w:rPr>
        <w:t xml:space="preserve">1.2 What NoteFusion Is Not</w:t>
      </w:r>
    </w:p>
    <w:p>
      <w:pPr>
        <w:pStyle w:val="ListParagraph"/>
        <w:numPr>
          <w:ilvl w:val="0"/>
          <w:numId w:val="2"/>
        </w:numPr>
        <w:spacing w:after="80" w:line="300"/>
      </w:pPr>
      <w:r>
        <w:rPr>
          <w:sz w:val="22"/>
          <w:szCs w:val="22"/>
        </w:rPr>
        <w:t xml:space="preserve">It is not a song-recognition app. It does not match audio against a database of recordings (the Shazam/Spotify model). It analyses the audio itself.</w:t>
      </w:r>
    </w:p>
    <w:p>
      <w:pPr>
        <w:pStyle w:val="ListParagraph"/>
        <w:numPr>
          <w:ilvl w:val="0"/>
          <w:numId w:val="2"/>
        </w:numPr>
        <w:spacing w:after="80" w:line="300"/>
      </w:pPr>
      <w:r>
        <w:rPr>
          <w:sz w:val="22"/>
          <w:szCs w:val="22"/>
        </w:rPr>
        <w:t xml:space="preserve">It is not a DAW or full score editor. Light editing is supported; deep engraving is out of scope for v1.</w:t>
      </w:r>
    </w:p>
    <w:p>
      <w:pPr>
        <w:pStyle w:val="ListParagraph"/>
        <w:numPr>
          <w:ilvl w:val="0"/>
          <w:numId w:val="2"/>
        </w:numPr>
        <w:spacing w:after="80" w:line="300"/>
      </w:pPr>
      <w:r>
        <w:rPr>
          <w:sz w:val="22"/>
          <w:szCs w:val="22"/>
        </w:rPr>
        <w:t xml:space="preserve">It is not limited to known songs. Original compositions, improvisations, and live playing are first-class inputs — this is precisely what fingerprinting apps cannot do.</w:t>
      </w:r>
    </w:p>
    <w:p>
      <w:pPr>
        <w:pStyle w:val="Heading1"/>
        <w:spacing w:after="160" w:before="320"/>
      </w:pPr>
      <w:r>
        <w:rPr>
          <w:b/>
          <w:bCs/>
          <w:color w:val="1B2A4A"/>
          <w:sz w:val="30"/>
          <w:szCs w:val="30"/>
        </w:rPr>
        <w:t xml:space="preserve">2. Problem Statement and Pain Points</w:t>
      </w:r>
    </w:p>
    <w:p>
      <w:pPr>
        <w:pStyle w:val="Heading2"/>
        <w:spacing w:after="120" w:before="240"/>
      </w:pPr>
      <w:r>
        <w:rPr>
          <w:b/>
          <w:bCs/>
          <w:color w:val="0E7490"/>
          <w:sz w:val="25"/>
          <w:szCs w:val="25"/>
        </w:rPr>
        <w:t xml:space="preserve">2.1 Pain Points</w:t>
      </w:r>
    </w:p>
    <w:p>
      <w:pPr>
        <w:pStyle w:val="ListParagraph"/>
        <w:numPr>
          <w:ilvl w:val="0"/>
          <w:numId w:val="2"/>
        </w:numPr>
        <w:spacing w:after="80" w:line="300"/>
      </w:pPr>
      <w:r>
        <w:rPr>
          <w:b/>
          <w:bCs/>
          <w:sz w:val="22"/>
          <w:szCs w:val="22"/>
        </w:rPr>
        <w:t xml:space="preserve">Transcription by ear is slow and skill-gated. </w:t>
      </w:r>
      <w:r>
        <w:rPr>
          <w:sz w:val="22"/>
          <w:szCs w:val="22"/>
        </w:rPr>
        <w:t xml:space="preserve">Working out a song's notes by ear takes hours and requires trained relative pitch. Most choir directors and instrumentalists transcribe manually, note by note, on paper.</w:t>
      </w:r>
    </w:p>
    <w:p>
      <w:pPr>
        <w:pStyle w:val="ListParagraph"/>
        <w:numPr>
          <w:ilvl w:val="0"/>
          <w:numId w:val="2"/>
        </w:numPr>
        <w:spacing w:after="80" w:line="300"/>
      </w:pPr>
      <w:r>
        <w:rPr>
          <w:b/>
          <w:bCs/>
          <w:sz w:val="22"/>
          <w:szCs w:val="22"/>
        </w:rPr>
        <w:t xml:space="preserve">Tonic Solfa is underserved by technology. </w:t>
      </w:r>
      <w:r>
        <w:rPr>
          <w:sz w:val="22"/>
          <w:szCs w:val="22"/>
        </w:rPr>
        <w:t xml:space="preserve">Solfa is the dominant working notation in Nigerian churches, school music programmes, and choral communities, yet virtually every music-tech tool assumes staff notation only. Users currently convert staff scores to solfa by hand.</w:t>
      </w:r>
    </w:p>
    <w:p>
      <w:pPr>
        <w:pStyle w:val="ListParagraph"/>
        <w:numPr>
          <w:ilvl w:val="0"/>
          <w:numId w:val="2"/>
        </w:numPr>
        <w:spacing w:after="80" w:line="300"/>
      </w:pPr>
      <w:r>
        <w:rPr>
          <w:b/>
          <w:bCs/>
          <w:sz w:val="22"/>
          <w:szCs w:val="22"/>
        </w:rPr>
        <w:t xml:space="preserve">Existing transcription tools are inaccessible. </w:t>
      </w:r>
      <w:r>
        <w:rPr>
          <w:sz w:val="22"/>
          <w:szCs w:val="22"/>
        </w:rPr>
        <w:t xml:space="preserve">AnthemScore is desktop software (~USD 30–100 licence). ScoreCloud is subscription-based and desktop/iOS-centred. Piano2Notes charges per transcription minute. None are built mobile-first for Android, which dominates the target market.</w:t>
      </w:r>
    </w:p>
    <w:p>
      <w:pPr>
        <w:pStyle w:val="ListParagraph"/>
        <w:numPr>
          <w:ilvl w:val="0"/>
          <w:numId w:val="2"/>
        </w:numPr>
        <w:spacing w:after="80" w:line="300"/>
      </w:pPr>
      <w:r>
        <w:rPr>
          <w:b/>
          <w:bCs/>
          <w:sz w:val="22"/>
          <w:szCs w:val="22"/>
        </w:rPr>
        <w:t xml:space="preserve">Learning materials do not match how people learn. </w:t>
      </w:r>
      <w:r>
        <w:rPr>
          <w:sz w:val="22"/>
          <w:szCs w:val="22"/>
        </w:rPr>
        <w:t xml:space="preserve">A pianist who hears a progression in a live service has no practical way to capture it as readable notation before it is forgotten.</w:t>
      </w:r>
    </w:p>
    <w:p>
      <w:pPr>
        <w:pStyle w:val="ListParagraph"/>
        <w:numPr>
          <w:ilvl w:val="0"/>
          <w:numId w:val="2"/>
        </w:numPr>
        <w:spacing w:after="80" w:line="300"/>
      </w:pPr>
      <w:r>
        <w:rPr>
          <w:b/>
          <w:bCs/>
          <w:sz w:val="22"/>
          <w:szCs w:val="22"/>
        </w:rPr>
        <w:t xml:space="preserve">Rehearsal preparation is a bottleneck. </w:t>
      </w:r>
      <w:r>
        <w:rPr>
          <w:sz w:val="22"/>
          <w:szCs w:val="22"/>
        </w:rPr>
        <w:t xml:space="preserve">Choir parts are often taught by rote because producing written solfa parts for each voice takes too long.</w:t>
      </w:r>
    </w:p>
    <w:p>
      <w:pPr>
        <w:pStyle w:val="Heading2"/>
        <w:spacing w:after="120" w:before="240"/>
      </w:pPr>
      <w:r>
        <w:rPr>
          <w:b/>
          <w:bCs/>
          <w:color w:val="0E7490"/>
          <w:sz w:val="25"/>
          <w:szCs w:val="25"/>
        </w:rPr>
        <w:t xml:space="preserve">2.2 Opportunity</w:t>
      </w:r>
    </w:p>
    <w:p>
      <w:pPr>
        <w:spacing w:after="120" w:line="300"/>
      </w:pPr>
      <w:r>
        <w:rPr>
          <w:sz w:val="22"/>
          <w:szCs w:val="22"/>
        </w:rPr>
        <w:t xml:space="preserve">Android holds an overwhelming share of the Nigerian smartphone market, and the gospel/choral music ecosystem is one of the most active music communities in the country. A mobile-first, solfa-first transcription tool has no direct competitor. The staff-notation output simultaneously makes the app relevant to the global market of students, hobbyists, and semi-professional musicians.</w:t>
      </w:r>
    </w:p>
    <w:p>
      <w:pPr>
        <w:pStyle w:val="Heading1"/>
        <w:spacing w:after="160" w:before="320"/>
      </w:pPr>
      <w:r>
        <w:rPr>
          <w:b/>
          <w:bCs/>
          <w:color w:val="1B2A4A"/>
          <w:sz w:val="30"/>
          <w:szCs w:val="30"/>
        </w:rPr>
        <w:t xml:space="preserve">3. Target Users and Personas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300"/>
        <w:gridCol w:w="4200"/>
        <w:gridCol w:w="3300"/>
      </w:tblGrid>
      <w:tr>
        <w:trPr>
          <w:tblHeader/>
        </w:trPr>
        <w:tc>
          <w:tcPr>
            <w:tcW w:type="dxa" w:w="2300"/>
            <w:shd w:fill="1B2A4A" w:val="clear"/>
            <w:tcMar>
              <w:top w:type="dxa" w:w="80"/>
              <w:left w:type="dxa" w:w="100"/>
              <w:bottom w:type="dxa" w:w="80"/>
              <w:right w:type="dxa" w:w="100"/>
            </w:tcMar>
          </w:tcPr>
          <w:p>
            <w:pPr>
              <w:spacing w:after="0" w:line="276"/>
            </w:pPr>
            <w:r>
              <w:rPr>
                <w:b/>
                <w:bCs/>
                <w:color w:val="FFFFFF"/>
                <w:sz w:val="20"/>
                <w:szCs w:val="20"/>
              </w:rPr>
              <w:t xml:space="preserve">Persona</w:t>
            </w:r>
          </w:p>
        </w:tc>
        <w:tc>
          <w:tcPr>
            <w:tcW w:type="dxa" w:w="4200"/>
            <w:shd w:fill="1B2A4A" w:val="clear"/>
            <w:tcMar>
              <w:top w:type="dxa" w:w="80"/>
              <w:left w:type="dxa" w:w="100"/>
              <w:bottom w:type="dxa" w:w="80"/>
              <w:right w:type="dxa" w:w="100"/>
            </w:tcMar>
          </w:tcPr>
          <w:p>
            <w:pPr>
              <w:spacing w:after="0" w:line="276"/>
            </w:pPr>
            <w:r>
              <w:rPr>
                <w:b/>
                <w:bCs/>
                <w:color w:val="FFFFFF"/>
                <w:sz w:val="20"/>
                <w:szCs w:val="20"/>
              </w:rPr>
              <w:t xml:space="preserve">Profile</w:t>
            </w:r>
          </w:p>
        </w:tc>
        <w:tc>
          <w:tcPr>
            <w:tcW w:type="dxa" w:w="3300"/>
            <w:shd w:fill="1B2A4A" w:val="clear"/>
            <w:tcMar>
              <w:top w:type="dxa" w:w="80"/>
              <w:left w:type="dxa" w:w="100"/>
              <w:bottom w:type="dxa" w:w="80"/>
              <w:right w:type="dxa" w:w="100"/>
            </w:tcMar>
          </w:tcPr>
          <w:p>
            <w:pPr>
              <w:spacing w:after="0" w:line="276"/>
            </w:pPr>
            <w:r>
              <w:rPr>
                <w:b/>
                <w:bCs/>
                <w:color w:val="FFFFFF"/>
                <w:sz w:val="20"/>
                <w:szCs w:val="20"/>
              </w:rPr>
              <w:t xml:space="preserve">Core Need</w:t>
            </w:r>
          </w:p>
        </w:tc>
      </w:tr>
      <w:tr>
        <w:tc>
          <w:tcPr>
            <w:tcW w:type="dxa" w:w="2300"/>
            <w:tcMar>
              <w:top w:type="dxa" w:w="80"/>
              <w:left w:type="dxa" w:w="100"/>
              <w:bottom w:type="dxa" w:w="80"/>
              <w:right w:type="dxa" w:w="100"/>
            </w:tcMar>
          </w:tcPr>
          <w:p>
            <w:pPr>
              <w:spacing w:after="0" w:line="276"/>
            </w:pPr>
            <w:r>
              <w:rPr>
                <w:b w:val="false"/>
                <w:bCs w:val="false"/>
                <w:color w:val="000000"/>
                <w:sz w:val="20"/>
                <w:szCs w:val="20"/>
              </w:rPr>
              <w:t xml:space="preserve">Choir Director / Music Minister</w:t>
            </w:r>
          </w:p>
        </w:tc>
        <w:tc>
          <w:tcPr>
            <w:tcW w:type="dxa" w:w="4200"/>
            <w:tcMar>
              <w:top w:type="dxa" w:w="80"/>
              <w:left w:type="dxa" w:w="100"/>
              <w:bottom w:type="dxa" w:w="80"/>
              <w:right w:type="dxa" w:w="100"/>
            </w:tcMar>
          </w:tcPr>
          <w:p>
            <w:pPr>
              <w:spacing w:after="0" w:line="276"/>
            </w:pPr>
            <w:r>
              <w:rPr>
                <w:b w:val="false"/>
                <w:bCs w:val="false"/>
                <w:color w:val="000000"/>
                <w:sz w:val="20"/>
                <w:szCs w:val="20"/>
              </w:rPr>
              <w:t xml:space="preserve">Leads a church or school choir; fluent in solfa; teaches parts to singers weekly</w:t>
            </w:r>
          </w:p>
        </w:tc>
        <w:tc>
          <w:tcPr>
            <w:tcW w:type="dxa" w:w="3300"/>
            <w:tcMar>
              <w:top w:type="dxa" w:w="80"/>
              <w:left w:type="dxa" w:w="100"/>
              <w:bottom w:type="dxa" w:w="80"/>
              <w:right w:type="dxa" w:w="100"/>
            </w:tcMar>
          </w:tcPr>
          <w:p>
            <w:pPr>
              <w:spacing w:after="0" w:line="276"/>
            </w:pPr>
            <w:r>
              <w:rPr>
                <w:b w:val="false"/>
                <w:bCs w:val="false"/>
                <w:color w:val="000000"/>
                <w:sz w:val="20"/>
                <w:szCs w:val="20"/>
              </w:rPr>
              <w:t xml:space="preserve">Capture a melody or part once and get clean solfa sheets to distribute</w:t>
            </w:r>
          </w:p>
        </w:tc>
      </w:tr>
      <w:tr>
        <w:tc>
          <w:tcPr>
            <w:tcW w:type="dxa" w:w="2300"/>
            <w:tcMar>
              <w:top w:type="dxa" w:w="80"/>
              <w:left w:type="dxa" w:w="100"/>
              <w:bottom w:type="dxa" w:w="80"/>
              <w:right w:type="dxa" w:w="100"/>
            </w:tcMar>
          </w:tcPr>
          <w:p>
            <w:pPr>
              <w:spacing w:after="0" w:line="276"/>
            </w:pPr>
            <w:r>
              <w:rPr>
                <w:b w:val="false"/>
                <w:bCs w:val="false"/>
                <w:color w:val="000000"/>
                <w:sz w:val="20"/>
                <w:szCs w:val="20"/>
              </w:rPr>
              <w:t xml:space="preserve">Pianist / Instrumentalist</w:t>
            </w:r>
          </w:p>
        </w:tc>
        <w:tc>
          <w:tcPr>
            <w:tcW w:type="dxa" w:w="4200"/>
            <w:tcMar>
              <w:top w:type="dxa" w:w="80"/>
              <w:left w:type="dxa" w:w="100"/>
              <w:bottom w:type="dxa" w:w="80"/>
              <w:right w:type="dxa" w:w="100"/>
            </w:tcMar>
          </w:tcPr>
          <w:p>
            <w:pPr>
              <w:spacing w:after="0" w:line="276"/>
            </w:pPr>
            <w:r>
              <w:rPr>
                <w:b w:val="false"/>
                <w:bCs w:val="false"/>
                <w:color w:val="000000"/>
                <w:sz w:val="20"/>
                <w:szCs w:val="20"/>
              </w:rPr>
              <w:t xml:space="preserve">Plays keyboard, sax, or guitar in bands and services; learns largely by ear</w:t>
            </w:r>
          </w:p>
        </w:tc>
        <w:tc>
          <w:tcPr>
            <w:tcW w:type="dxa" w:w="3300"/>
            <w:tcMar>
              <w:top w:type="dxa" w:w="80"/>
              <w:left w:type="dxa" w:w="100"/>
              <w:bottom w:type="dxa" w:w="80"/>
              <w:right w:type="dxa" w:w="100"/>
            </w:tcMar>
          </w:tcPr>
          <w:p>
            <w:pPr>
              <w:spacing w:after="0" w:line="276"/>
            </w:pPr>
            <w:r>
              <w:rPr>
                <w:b w:val="false"/>
                <w:bCs w:val="false"/>
                <w:color w:val="000000"/>
                <w:sz w:val="20"/>
                <w:szCs w:val="20"/>
              </w:rPr>
              <w:t xml:space="preserve">Turn what they hear (or improvise) into notation they can revisit and refine</w:t>
            </w:r>
          </w:p>
        </w:tc>
      </w:tr>
      <w:tr>
        <w:tc>
          <w:tcPr>
            <w:tcW w:type="dxa" w:w="2300"/>
            <w:tcMar>
              <w:top w:type="dxa" w:w="80"/>
              <w:left w:type="dxa" w:w="100"/>
              <w:bottom w:type="dxa" w:w="80"/>
              <w:right w:type="dxa" w:w="100"/>
            </w:tcMar>
          </w:tcPr>
          <w:p>
            <w:pPr>
              <w:spacing w:after="0" w:line="276"/>
            </w:pPr>
            <w:r>
              <w:rPr>
                <w:b w:val="false"/>
                <w:bCs w:val="false"/>
                <w:color w:val="000000"/>
                <w:sz w:val="20"/>
                <w:szCs w:val="20"/>
              </w:rPr>
              <w:t xml:space="preserve">Music Student / Learner</w:t>
            </w:r>
          </w:p>
        </w:tc>
        <w:tc>
          <w:tcPr>
            <w:tcW w:type="dxa" w:w="4200"/>
            <w:tcMar>
              <w:top w:type="dxa" w:w="80"/>
              <w:left w:type="dxa" w:w="100"/>
              <w:bottom w:type="dxa" w:w="80"/>
              <w:right w:type="dxa" w:w="100"/>
            </w:tcMar>
          </w:tcPr>
          <w:p>
            <w:pPr>
              <w:spacing w:after="0" w:line="276"/>
            </w:pPr>
            <w:r>
              <w:rPr>
                <w:b w:val="false"/>
                <w:bCs w:val="false"/>
                <w:color w:val="000000"/>
                <w:sz w:val="20"/>
                <w:szCs w:val="20"/>
              </w:rPr>
              <w:t xml:space="preserve">Learning theory, sight-singing, or an instrument; may read solfa, staff, or both</w:t>
            </w:r>
          </w:p>
        </w:tc>
        <w:tc>
          <w:tcPr>
            <w:tcW w:type="dxa" w:w="3300"/>
            <w:tcMar>
              <w:top w:type="dxa" w:w="80"/>
              <w:left w:type="dxa" w:w="100"/>
              <w:bottom w:type="dxa" w:w="80"/>
              <w:right w:type="dxa" w:w="100"/>
            </w:tcMar>
          </w:tcPr>
          <w:p>
            <w:pPr>
              <w:spacing w:after="0" w:line="276"/>
            </w:pPr>
            <w:r>
              <w:rPr>
                <w:b w:val="false"/>
                <w:bCs w:val="false"/>
                <w:color w:val="000000"/>
                <w:sz w:val="20"/>
                <w:szCs w:val="20"/>
              </w:rPr>
              <w:t xml:space="preserve">See the same music in both notations side by side to bridge the two systems</w:t>
            </w:r>
          </w:p>
        </w:tc>
      </w:tr>
      <w:tr>
        <w:tc>
          <w:tcPr>
            <w:tcW w:type="dxa" w:w="2300"/>
            <w:tcMar>
              <w:top w:type="dxa" w:w="80"/>
              <w:left w:type="dxa" w:w="100"/>
              <w:bottom w:type="dxa" w:w="80"/>
              <w:right w:type="dxa" w:w="100"/>
            </w:tcMar>
          </w:tcPr>
          <w:p>
            <w:pPr>
              <w:spacing w:after="0" w:line="276"/>
            </w:pPr>
            <w:r>
              <w:rPr>
                <w:b w:val="false"/>
                <w:bCs w:val="false"/>
                <w:color w:val="000000"/>
                <w:sz w:val="20"/>
                <w:szCs w:val="20"/>
              </w:rPr>
              <w:t xml:space="preserve">Composer / Songwriter</w:t>
            </w:r>
          </w:p>
        </w:tc>
        <w:tc>
          <w:tcPr>
            <w:tcW w:type="dxa" w:w="4200"/>
            <w:tcMar>
              <w:top w:type="dxa" w:w="80"/>
              <w:left w:type="dxa" w:w="100"/>
              <w:bottom w:type="dxa" w:w="80"/>
              <w:right w:type="dxa" w:w="100"/>
            </w:tcMar>
          </w:tcPr>
          <w:p>
            <w:pPr>
              <w:spacing w:after="0" w:line="276"/>
            </w:pPr>
            <w:r>
              <w:rPr>
                <w:b w:val="false"/>
                <w:bCs w:val="false"/>
                <w:color w:val="000000"/>
                <w:sz w:val="20"/>
                <w:szCs w:val="20"/>
              </w:rPr>
              <w:t xml:space="preserve">Writes original music, often away from a computer</w:t>
            </w:r>
          </w:p>
        </w:tc>
        <w:tc>
          <w:tcPr>
            <w:tcW w:type="dxa" w:w="3300"/>
            <w:tcMar>
              <w:top w:type="dxa" w:w="80"/>
              <w:left w:type="dxa" w:w="100"/>
              <w:bottom w:type="dxa" w:w="80"/>
              <w:right w:type="dxa" w:w="100"/>
            </w:tcMar>
          </w:tcPr>
          <w:p>
            <w:pPr>
              <w:spacing w:after="0" w:line="276"/>
            </w:pPr>
            <w:r>
              <w:rPr>
                <w:b w:val="false"/>
                <w:bCs w:val="false"/>
                <w:color w:val="000000"/>
                <w:sz w:val="20"/>
                <w:szCs w:val="20"/>
              </w:rPr>
              <w:t xml:space="preserve">Hum or play an idea and have it captured as notation before it is lost</w:t>
            </w:r>
          </w:p>
        </w:tc>
      </w:tr>
    </w:tbl>
    <w:p>
      <w:pPr>
        <w:spacing w:after="160"/>
      </w:pPr>
    </w:p>
    <w:p>
      <w:pPr>
        <w:pStyle w:val="Heading1"/>
        <w:spacing w:after="160" w:before="320"/>
      </w:pPr>
      <w:r>
        <w:rPr>
          <w:b/>
          <w:bCs/>
          <w:color w:val="1B2A4A"/>
          <w:sz w:val="30"/>
          <w:szCs w:val="30"/>
        </w:rPr>
        <w:t xml:space="preserve">4. Value Proposition and Differentiation</w:t>
      </w:r>
    </w:p>
    <w:p>
      <w:pPr>
        <w:pStyle w:val="ListParagraph"/>
        <w:numPr>
          <w:ilvl w:val="0"/>
          <w:numId w:val="2"/>
        </w:numPr>
        <w:spacing w:after="80" w:line="300"/>
      </w:pPr>
      <w:r>
        <w:rPr>
          <w:b/>
          <w:bCs/>
          <w:sz w:val="22"/>
          <w:szCs w:val="22"/>
        </w:rPr>
        <w:t xml:space="preserve">Dual notation output. </w:t>
      </w:r>
      <w:r>
        <w:rPr>
          <w:sz w:val="22"/>
          <w:szCs w:val="22"/>
        </w:rPr>
        <w:t xml:space="preserve">The only app producing Tonic Solfa and staff notation from the same tap — the defining differentiator.</w:t>
      </w:r>
    </w:p>
    <w:p>
      <w:pPr>
        <w:pStyle w:val="ListParagraph"/>
        <w:numPr>
          <w:ilvl w:val="0"/>
          <w:numId w:val="2"/>
        </w:numPr>
        <w:spacing w:after="80" w:line="300"/>
      </w:pPr>
      <w:r>
        <w:rPr>
          <w:b/>
          <w:bCs/>
          <w:sz w:val="22"/>
          <w:szCs w:val="22"/>
        </w:rPr>
        <w:t xml:space="preserve">Mobile-first, one-tap UX. </w:t>
      </w:r>
      <w:r>
        <w:rPr>
          <w:sz w:val="22"/>
          <w:szCs w:val="22"/>
        </w:rPr>
        <w:t xml:space="preserve">Shazam-grade simplicity applied to transcription rather than recognition.</w:t>
      </w:r>
    </w:p>
    <w:p>
      <w:pPr>
        <w:pStyle w:val="ListParagraph"/>
        <w:numPr>
          <w:ilvl w:val="0"/>
          <w:numId w:val="2"/>
        </w:numPr>
        <w:spacing w:after="80" w:line="300"/>
      </w:pPr>
      <w:r>
        <w:rPr>
          <w:b/>
          <w:bCs/>
          <w:sz w:val="22"/>
          <w:szCs w:val="22"/>
        </w:rPr>
        <w:t xml:space="preserve">Works on any music. </w:t>
      </w:r>
      <w:r>
        <w:rPr>
          <w:sz w:val="22"/>
          <w:szCs w:val="22"/>
        </w:rPr>
        <w:t xml:space="preserve">Live playing, humming, rehearsals, and original compositions — not just catalogued recordings.</w:t>
      </w:r>
    </w:p>
    <w:p>
      <w:pPr>
        <w:pStyle w:val="ListParagraph"/>
        <w:numPr>
          <w:ilvl w:val="0"/>
          <w:numId w:val="2"/>
        </w:numPr>
        <w:spacing w:after="80" w:line="300"/>
      </w:pPr>
      <w:r>
        <w:rPr>
          <w:b/>
          <w:bCs/>
          <w:sz w:val="22"/>
          <w:szCs w:val="22"/>
        </w:rPr>
        <w:t xml:space="preserve">Built on efficient open-source ML. </w:t>
      </w:r>
      <w:r>
        <w:rPr>
          <w:sz w:val="22"/>
          <w:szCs w:val="22"/>
        </w:rPr>
        <w:t xml:space="preserve">State-of-the-art transcription quality without per-minute cloud fees, keeping the product viable on freemium pricing.</w:t>
      </w:r>
    </w:p>
    <w:p>
      <w:pPr>
        <w:pStyle w:val="ListParagraph"/>
        <w:numPr>
          <w:ilvl w:val="0"/>
          <w:numId w:val="2"/>
        </w:numPr>
        <w:spacing w:after="80" w:line="300"/>
      </w:pPr>
      <w:r>
        <w:rPr>
          <w:b/>
          <w:bCs/>
          <w:sz w:val="22"/>
          <w:szCs w:val="22"/>
        </w:rPr>
        <w:t xml:space="preserve">Regional insight as moat. </w:t>
      </w:r>
      <w:r>
        <w:rPr>
          <w:sz w:val="22"/>
          <w:szCs w:val="22"/>
        </w:rPr>
        <w:t xml:space="preserve">Deep solfa support (key labelling, doh-is-X headers, voice-part conventions) reflects how solfa is actually used in Nigerian choral practice — knowledge global competitors lack.</w:t>
      </w:r>
    </w:p>
    <w:p>
      <w:pPr>
        <w:pStyle w:val="Heading1"/>
        <w:spacing w:after="160" w:before="320"/>
      </w:pPr>
      <w:r>
        <w:rPr>
          <w:b/>
          <w:bCs/>
          <w:color w:val="1B2A4A"/>
          <w:sz w:val="30"/>
          <w:szCs w:val="30"/>
        </w:rPr>
        <w:t xml:space="preserve">5. Features and Requirements</w:t>
      </w:r>
    </w:p>
    <w:p>
      <w:pPr>
        <w:pStyle w:val="Heading2"/>
        <w:spacing w:after="120" w:before="240"/>
      </w:pPr>
      <w:r>
        <w:rPr>
          <w:b/>
          <w:bCs/>
          <w:color w:val="0E7490"/>
          <w:sz w:val="25"/>
          <w:szCs w:val="25"/>
        </w:rPr>
        <w:t xml:space="preserve">5.1 MVP (v1.0) — Must Have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6100"/>
        <w:gridCol w:w="1100"/>
      </w:tblGrid>
      <w:tr>
        <w:trPr>
          <w:tblHeader/>
        </w:trPr>
        <w:tc>
          <w:tcPr>
            <w:tcW w:type="dxa" w:w="700"/>
            <w:shd w:fill="1B2A4A" w:val="clear"/>
            <w:tcMar>
              <w:top w:type="dxa" w:w="80"/>
              <w:left w:type="dxa" w:w="100"/>
              <w:bottom w:type="dxa" w:w="80"/>
              <w:right w:type="dxa" w:w="100"/>
            </w:tcMar>
          </w:tcPr>
          <w:p>
            <w:pPr>
              <w:spacing w:after="0" w:line="276"/>
            </w:pPr>
            <w:r>
              <w:rPr>
                <w:b/>
                <w:bCs/>
                <w:color w:val="FFFFFF"/>
                <w:sz w:val="20"/>
                <w:szCs w:val="20"/>
              </w:rPr>
              <w:t xml:space="preserve">ID</w:t>
            </w:r>
          </w:p>
        </w:tc>
        <w:tc>
          <w:tcPr>
            <w:tcW w:type="dxa" w:w="1900"/>
            <w:shd w:fill="1B2A4A" w:val="clear"/>
            <w:tcMar>
              <w:top w:type="dxa" w:w="80"/>
              <w:left w:type="dxa" w:w="100"/>
              <w:bottom w:type="dxa" w:w="80"/>
              <w:right w:type="dxa" w:w="100"/>
            </w:tcMar>
          </w:tcPr>
          <w:p>
            <w:pPr>
              <w:spacing w:after="0" w:line="276"/>
            </w:pPr>
            <w:r>
              <w:rPr>
                <w:b/>
                <w:bCs/>
                <w:color w:val="FFFFFF"/>
                <w:sz w:val="20"/>
                <w:szCs w:val="20"/>
              </w:rPr>
              <w:t xml:space="preserve">Feature</w:t>
            </w:r>
          </w:p>
        </w:tc>
        <w:tc>
          <w:tcPr>
            <w:tcW w:type="dxa" w:w="6100"/>
            <w:shd w:fill="1B2A4A" w:val="clear"/>
            <w:tcMar>
              <w:top w:type="dxa" w:w="80"/>
              <w:left w:type="dxa" w:w="100"/>
              <w:bottom w:type="dxa" w:w="80"/>
              <w:right w:type="dxa" w:w="100"/>
            </w:tcMar>
          </w:tcPr>
          <w:p>
            <w:pPr>
              <w:spacing w:after="0" w:line="276"/>
            </w:pPr>
            <w:r>
              <w:rPr>
                <w:b/>
                <w:bCs/>
                <w:color w:val="FFFFFF"/>
                <w:sz w:val="20"/>
                <w:szCs w:val="20"/>
              </w:rPr>
              <w:t xml:space="preserve">Description</w:t>
            </w:r>
          </w:p>
        </w:tc>
        <w:tc>
          <w:tcPr>
            <w:tcW w:type="dxa" w:w="1100"/>
            <w:shd w:fill="1B2A4A" w:val="clear"/>
            <w:tcMar>
              <w:top w:type="dxa" w:w="80"/>
              <w:left w:type="dxa" w:w="100"/>
              <w:bottom w:type="dxa" w:w="80"/>
              <w:right w:type="dxa" w:w="100"/>
            </w:tcMar>
          </w:tcPr>
          <w:p>
            <w:pPr>
              <w:spacing w:after="0" w:line="276"/>
            </w:pPr>
            <w:r>
              <w:rPr>
                <w:b/>
                <w:bCs/>
                <w:color w:val="FFFFFF"/>
                <w:sz w:val="20"/>
                <w:szCs w:val="20"/>
              </w:rPr>
              <w:t xml:space="preserve">Priority</w:t>
            </w:r>
          </w:p>
        </w:tc>
      </w:tr>
      <w:tr>
        <w:tc>
          <w:tcPr>
            <w:tcW w:type="dxa" w:w="700"/>
            <w:tcMar>
              <w:top w:type="dxa" w:w="80"/>
              <w:left w:type="dxa" w:w="100"/>
              <w:bottom w:type="dxa" w:w="80"/>
              <w:right w:type="dxa" w:w="100"/>
            </w:tcMar>
          </w:tcPr>
          <w:p>
            <w:pPr>
              <w:spacing w:after="0" w:line="276"/>
            </w:pPr>
            <w:r>
              <w:rPr>
                <w:b w:val="false"/>
                <w:bCs w:val="false"/>
                <w:color w:val="000000"/>
                <w:sz w:val="20"/>
                <w:szCs w:val="20"/>
              </w:rPr>
              <w:t xml:space="preserve">F-01</w:t>
            </w:r>
          </w:p>
        </w:tc>
        <w:tc>
          <w:tcPr>
            <w:tcW w:type="dxa" w:w="1900"/>
            <w:tcMar>
              <w:top w:type="dxa" w:w="80"/>
              <w:left w:type="dxa" w:w="100"/>
              <w:bottom w:type="dxa" w:w="80"/>
              <w:right w:type="dxa" w:w="100"/>
            </w:tcMar>
          </w:tcPr>
          <w:p>
            <w:pPr>
              <w:spacing w:after="0" w:line="276"/>
            </w:pPr>
            <w:r>
              <w:rPr>
                <w:b w:val="false"/>
                <w:bCs w:val="false"/>
                <w:color w:val="000000"/>
                <w:sz w:val="20"/>
                <w:szCs w:val="20"/>
              </w:rPr>
              <w:t xml:space="preserve">One-tap capture</w:t>
            </w:r>
          </w:p>
        </w:tc>
        <w:tc>
          <w:tcPr>
            <w:tcW w:type="dxa" w:w="6100"/>
            <w:tcMar>
              <w:top w:type="dxa" w:w="80"/>
              <w:left w:type="dxa" w:w="100"/>
              <w:bottom w:type="dxa" w:w="80"/>
              <w:right w:type="dxa" w:w="100"/>
            </w:tcMar>
          </w:tcPr>
          <w:p>
            <w:pPr>
              <w:spacing w:after="0" w:line="276"/>
            </w:pPr>
            <w:r>
              <w:rPr>
                <w:b w:val="false"/>
                <w:bCs w:val="false"/>
                <w:color w:val="000000"/>
                <w:sz w:val="20"/>
                <w:szCs w:val="20"/>
              </w:rPr>
              <w:t xml:space="preserve">Large central button starts/stops listening; live waveform feedback; 10s–3min clips; import of existing audio files (MP3/WAV/M4A)</w:t>
            </w:r>
          </w:p>
        </w:tc>
        <w:tc>
          <w:tcPr>
            <w:tcW w:type="dxa" w:w="1100"/>
            <w:tcMar>
              <w:top w:type="dxa" w:w="80"/>
              <w:left w:type="dxa" w:w="100"/>
              <w:bottom w:type="dxa" w:w="80"/>
              <w:right w:type="dxa" w:w="100"/>
            </w:tcMar>
          </w:tcPr>
          <w:p>
            <w:pPr>
              <w:spacing w:after="0" w:line="276"/>
            </w:pPr>
            <w:r>
              <w:rPr>
                <w:b w:val="false"/>
                <w:bCs w:val="false"/>
                <w:color w:val="000000"/>
                <w:sz w:val="20"/>
                <w:szCs w:val="20"/>
              </w:rPr>
              <w:t xml:space="preserve">P0</w:t>
            </w:r>
          </w:p>
        </w:tc>
      </w:tr>
      <w:tr>
        <w:tc>
          <w:tcPr>
            <w:tcW w:type="dxa" w:w="700"/>
            <w:tcMar>
              <w:top w:type="dxa" w:w="80"/>
              <w:left w:type="dxa" w:w="100"/>
              <w:bottom w:type="dxa" w:w="80"/>
              <w:right w:type="dxa" w:w="100"/>
            </w:tcMar>
          </w:tcPr>
          <w:p>
            <w:pPr>
              <w:spacing w:after="0" w:line="276"/>
            </w:pPr>
            <w:r>
              <w:rPr>
                <w:b w:val="false"/>
                <w:bCs w:val="false"/>
                <w:color w:val="000000"/>
                <w:sz w:val="20"/>
                <w:szCs w:val="20"/>
              </w:rPr>
              <w:t xml:space="preserve">F-02</w:t>
            </w:r>
          </w:p>
        </w:tc>
        <w:tc>
          <w:tcPr>
            <w:tcW w:type="dxa" w:w="1900"/>
            <w:tcMar>
              <w:top w:type="dxa" w:w="80"/>
              <w:left w:type="dxa" w:w="100"/>
              <w:bottom w:type="dxa" w:w="80"/>
              <w:right w:type="dxa" w:w="100"/>
            </w:tcMar>
          </w:tcPr>
          <w:p>
            <w:pPr>
              <w:spacing w:after="0" w:line="276"/>
            </w:pPr>
            <w:r>
              <w:rPr>
                <w:b w:val="false"/>
                <w:bCs w:val="false"/>
                <w:color w:val="000000"/>
                <w:sz w:val="20"/>
                <w:szCs w:val="20"/>
              </w:rPr>
              <w:t xml:space="preserve">Automatic transcription</w:t>
            </w:r>
          </w:p>
        </w:tc>
        <w:tc>
          <w:tcPr>
            <w:tcW w:type="dxa" w:w="6100"/>
            <w:tcMar>
              <w:top w:type="dxa" w:w="80"/>
              <w:left w:type="dxa" w:w="100"/>
              <w:bottom w:type="dxa" w:w="80"/>
              <w:right w:type="dxa" w:w="100"/>
            </w:tcMar>
          </w:tcPr>
          <w:p>
            <w:pPr>
              <w:spacing w:after="0" w:line="276"/>
            </w:pPr>
            <w:r>
              <w:rPr>
                <w:b w:val="false"/>
                <w:bCs w:val="false"/>
                <w:color w:val="000000"/>
                <w:sz w:val="20"/>
                <w:szCs w:val="20"/>
              </w:rPr>
              <w:t xml:space="preserve">Audio is converted to note events (pitch, onset, duration) using an ML transcription model; monophonic and moderately polyphonic music supported</w:t>
            </w:r>
          </w:p>
        </w:tc>
        <w:tc>
          <w:tcPr>
            <w:tcW w:type="dxa" w:w="1100"/>
            <w:tcMar>
              <w:top w:type="dxa" w:w="80"/>
              <w:left w:type="dxa" w:w="100"/>
              <w:bottom w:type="dxa" w:w="80"/>
              <w:right w:type="dxa" w:w="100"/>
            </w:tcMar>
          </w:tcPr>
          <w:p>
            <w:pPr>
              <w:spacing w:after="0" w:line="276"/>
            </w:pPr>
            <w:r>
              <w:rPr>
                <w:b w:val="false"/>
                <w:bCs w:val="false"/>
                <w:color w:val="000000"/>
                <w:sz w:val="20"/>
                <w:szCs w:val="20"/>
              </w:rPr>
              <w:t xml:space="preserve">P0</w:t>
            </w:r>
          </w:p>
        </w:tc>
      </w:tr>
      <w:tr>
        <w:tc>
          <w:tcPr>
            <w:tcW w:type="dxa" w:w="700"/>
            <w:tcMar>
              <w:top w:type="dxa" w:w="80"/>
              <w:left w:type="dxa" w:w="100"/>
              <w:bottom w:type="dxa" w:w="80"/>
              <w:right w:type="dxa" w:w="100"/>
            </w:tcMar>
          </w:tcPr>
          <w:p>
            <w:pPr>
              <w:spacing w:after="0" w:line="276"/>
            </w:pPr>
            <w:r>
              <w:rPr>
                <w:b w:val="false"/>
                <w:bCs w:val="false"/>
                <w:color w:val="000000"/>
                <w:sz w:val="20"/>
                <w:szCs w:val="20"/>
              </w:rPr>
              <w:t xml:space="preserve">F-03</w:t>
            </w:r>
          </w:p>
        </w:tc>
        <w:tc>
          <w:tcPr>
            <w:tcW w:type="dxa" w:w="1900"/>
            <w:tcMar>
              <w:top w:type="dxa" w:w="80"/>
              <w:left w:type="dxa" w:w="100"/>
              <w:bottom w:type="dxa" w:w="80"/>
              <w:right w:type="dxa" w:w="100"/>
            </w:tcMar>
          </w:tcPr>
          <w:p>
            <w:pPr>
              <w:spacing w:after="0" w:line="276"/>
            </w:pPr>
            <w:r>
              <w:rPr>
                <w:b w:val="false"/>
                <w:bCs w:val="false"/>
                <w:color w:val="000000"/>
                <w:sz w:val="20"/>
                <w:szCs w:val="20"/>
              </w:rPr>
              <w:t xml:space="preserve">Key detection + override</w:t>
            </w:r>
          </w:p>
        </w:tc>
        <w:tc>
          <w:tcPr>
            <w:tcW w:type="dxa" w:w="6100"/>
            <w:tcMar>
              <w:top w:type="dxa" w:w="80"/>
              <w:left w:type="dxa" w:w="100"/>
              <w:bottom w:type="dxa" w:w="80"/>
              <w:right w:type="dxa" w:w="100"/>
            </w:tcMar>
          </w:tcPr>
          <w:p>
            <w:pPr>
              <w:spacing w:after="0" w:line="276"/>
            </w:pPr>
            <w:r>
              <w:rPr>
                <w:b w:val="false"/>
                <w:bCs w:val="false"/>
                <w:color w:val="000000"/>
                <w:sz w:val="20"/>
                <w:szCs w:val="20"/>
              </w:rPr>
              <w:t xml:space="preserve">Automatic key estimation with a clearly visible, user-editable key (critical: solfa is movable-do, so a wrong key makes all solfa wrong)</w:t>
            </w:r>
          </w:p>
        </w:tc>
        <w:tc>
          <w:tcPr>
            <w:tcW w:type="dxa" w:w="1100"/>
            <w:tcMar>
              <w:top w:type="dxa" w:w="80"/>
              <w:left w:type="dxa" w:w="100"/>
              <w:bottom w:type="dxa" w:w="80"/>
              <w:right w:type="dxa" w:w="100"/>
            </w:tcMar>
          </w:tcPr>
          <w:p>
            <w:pPr>
              <w:spacing w:after="0" w:line="276"/>
            </w:pPr>
            <w:r>
              <w:rPr>
                <w:b w:val="false"/>
                <w:bCs w:val="false"/>
                <w:color w:val="000000"/>
                <w:sz w:val="20"/>
                <w:szCs w:val="20"/>
              </w:rPr>
              <w:t xml:space="preserve">P0</w:t>
            </w:r>
          </w:p>
        </w:tc>
      </w:tr>
      <w:tr>
        <w:tc>
          <w:tcPr>
            <w:tcW w:type="dxa" w:w="700"/>
            <w:tcMar>
              <w:top w:type="dxa" w:w="80"/>
              <w:left w:type="dxa" w:w="100"/>
              <w:bottom w:type="dxa" w:w="80"/>
              <w:right w:type="dxa" w:w="100"/>
            </w:tcMar>
          </w:tcPr>
          <w:p>
            <w:pPr>
              <w:spacing w:after="0" w:line="276"/>
            </w:pPr>
            <w:r>
              <w:rPr>
                <w:b w:val="false"/>
                <w:bCs w:val="false"/>
                <w:color w:val="000000"/>
                <w:sz w:val="20"/>
                <w:szCs w:val="20"/>
              </w:rPr>
              <w:t xml:space="preserve">F-04</w:t>
            </w:r>
          </w:p>
        </w:tc>
        <w:tc>
          <w:tcPr>
            <w:tcW w:type="dxa" w:w="1900"/>
            <w:tcMar>
              <w:top w:type="dxa" w:w="80"/>
              <w:left w:type="dxa" w:w="100"/>
              <w:bottom w:type="dxa" w:w="80"/>
              <w:right w:type="dxa" w:w="100"/>
            </w:tcMar>
          </w:tcPr>
          <w:p>
            <w:pPr>
              <w:spacing w:after="0" w:line="276"/>
            </w:pPr>
            <w:r>
              <w:rPr>
                <w:b w:val="false"/>
                <w:bCs w:val="false"/>
                <w:color w:val="000000"/>
                <w:sz w:val="20"/>
                <w:szCs w:val="20"/>
              </w:rPr>
              <w:t xml:space="preserve">Staff notation view</w:t>
            </w:r>
          </w:p>
        </w:tc>
        <w:tc>
          <w:tcPr>
            <w:tcW w:type="dxa" w:w="6100"/>
            <w:tcMar>
              <w:top w:type="dxa" w:w="80"/>
              <w:left w:type="dxa" w:w="100"/>
              <w:bottom w:type="dxa" w:w="80"/>
              <w:right w:type="dxa" w:w="100"/>
            </w:tcMar>
          </w:tcPr>
          <w:p>
            <w:pPr>
              <w:spacing w:after="0" w:line="276"/>
            </w:pPr>
            <w:r>
              <w:rPr>
                <w:b w:val="false"/>
                <w:bCs w:val="false"/>
                <w:color w:val="000000"/>
                <w:sz w:val="20"/>
                <w:szCs w:val="20"/>
              </w:rPr>
              <w:t xml:space="preserve">Rendered engraved score (treble/bass as appropriate) with correct key signature, time signature, and quantised rhythms</w:t>
            </w:r>
          </w:p>
        </w:tc>
        <w:tc>
          <w:tcPr>
            <w:tcW w:type="dxa" w:w="1100"/>
            <w:tcMar>
              <w:top w:type="dxa" w:w="80"/>
              <w:left w:type="dxa" w:w="100"/>
              <w:bottom w:type="dxa" w:w="80"/>
              <w:right w:type="dxa" w:w="100"/>
            </w:tcMar>
          </w:tcPr>
          <w:p>
            <w:pPr>
              <w:spacing w:after="0" w:line="276"/>
            </w:pPr>
            <w:r>
              <w:rPr>
                <w:b w:val="false"/>
                <w:bCs w:val="false"/>
                <w:color w:val="000000"/>
                <w:sz w:val="20"/>
                <w:szCs w:val="20"/>
              </w:rPr>
              <w:t xml:space="preserve">P0</w:t>
            </w:r>
          </w:p>
        </w:tc>
      </w:tr>
      <w:tr>
        <w:tc>
          <w:tcPr>
            <w:tcW w:type="dxa" w:w="700"/>
            <w:tcMar>
              <w:top w:type="dxa" w:w="80"/>
              <w:left w:type="dxa" w:w="100"/>
              <w:bottom w:type="dxa" w:w="80"/>
              <w:right w:type="dxa" w:w="100"/>
            </w:tcMar>
          </w:tcPr>
          <w:p>
            <w:pPr>
              <w:spacing w:after="0" w:line="276"/>
            </w:pPr>
            <w:r>
              <w:rPr>
                <w:b w:val="false"/>
                <w:bCs w:val="false"/>
                <w:color w:val="000000"/>
                <w:sz w:val="20"/>
                <w:szCs w:val="20"/>
              </w:rPr>
              <w:t xml:space="preserve">F-05</w:t>
            </w:r>
          </w:p>
        </w:tc>
        <w:tc>
          <w:tcPr>
            <w:tcW w:type="dxa" w:w="1900"/>
            <w:tcMar>
              <w:top w:type="dxa" w:w="80"/>
              <w:left w:type="dxa" w:w="100"/>
              <w:bottom w:type="dxa" w:w="80"/>
              <w:right w:type="dxa" w:w="100"/>
            </w:tcMar>
          </w:tcPr>
          <w:p>
            <w:pPr>
              <w:spacing w:after="0" w:line="276"/>
            </w:pPr>
            <w:r>
              <w:rPr>
                <w:b w:val="false"/>
                <w:bCs w:val="false"/>
                <w:color w:val="000000"/>
                <w:sz w:val="20"/>
                <w:szCs w:val="20"/>
              </w:rPr>
              <w:t xml:space="preserve">Tonic Solfa view</w:t>
            </w:r>
          </w:p>
        </w:tc>
        <w:tc>
          <w:tcPr>
            <w:tcW w:type="dxa" w:w="6100"/>
            <w:tcMar>
              <w:top w:type="dxa" w:w="80"/>
              <w:left w:type="dxa" w:w="100"/>
              <w:bottom w:type="dxa" w:w="80"/>
              <w:right w:type="dxa" w:w="100"/>
            </w:tcMar>
          </w:tcPr>
          <w:p>
            <w:pPr>
              <w:spacing w:after="0" w:line="276"/>
            </w:pPr>
            <w:r>
              <w:rPr>
                <w:b w:val="false"/>
                <w:bCs w:val="false"/>
                <w:color w:val="000000"/>
                <w:sz w:val="20"/>
                <w:szCs w:val="20"/>
              </w:rPr>
              <w:t xml:space="preserve">Movable-do solfa (d r m f s l t, with chromatic syllables de/ra etc.), octave marks, bar lines, and a 'Doh is C' style header; toggle or side-by-side with staff view</w:t>
            </w:r>
          </w:p>
        </w:tc>
        <w:tc>
          <w:tcPr>
            <w:tcW w:type="dxa" w:w="1100"/>
            <w:tcMar>
              <w:top w:type="dxa" w:w="80"/>
              <w:left w:type="dxa" w:w="100"/>
              <w:bottom w:type="dxa" w:w="80"/>
              <w:right w:type="dxa" w:w="100"/>
            </w:tcMar>
          </w:tcPr>
          <w:p>
            <w:pPr>
              <w:spacing w:after="0" w:line="276"/>
            </w:pPr>
            <w:r>
              <w:rPr>
                <w:b w:val="false"/>
                <w:bCs w:val="false"/>
                <w:color w:val="000000"/>
                <w:sz w:val="20"/>
                <w:szCs w:val="20"/>
              </w:rPr>
              <w:t xml:space="preserve">P0</w:t>
            </w:r>
          </w:p>
        </w:tc>
      </w:tr>
      <w:tr>
        <w:tc>
          <w:tcPr>
            <w:tcW w:type="dxa" w:w="700"/>
            <w:tcMar>
              <w:top w:type="dxa" w:w="80"/>
              <w:left w:type="dxa" w:w="100"/>
              <w:bottom w:type="dxa" w:w="80"/>
              <w:right w:type="dxa" w:w="100"/>
            </w:tcMar>
          </w:tcPr>
          <w:p>
            <w:pPr>
              <w:spacing w:after="0" w:line="276"/>
            </w:pPr>
            <w:r>
              <w:rPr>
                <w:b w:val="false"/>
                <w:bCs w:val="false"/>
                <w:color w:val="000000"/>
                <w:sz w:val="20"/>
                <w:szCs w:val="20"/>
              </w:rPr>
              <w:t xml:space="preserve">F-06</w:t>
            </w:r>
          </w:p>
        </w:tc>
        <w:tc>
          <w:tcPr>
            <w:tcW w:type="dxa" w:w="1900"/>
            <w:tcMar>
              <w:top w:type="dxa" w:w="80"/>
              <w:left w:type="dxa" w:w="100"/>
              <w:bottom w:type="dxa" w:w="80"/>
              <w:right w:type="dxa" w:w="100"/>
            </w:tcMar>
          </w:tcPr>
          <w:p>
            <w:pPr>
              <w:spacing w:after="0" w:line="276"/>
            </w:pPr>
            <w:r>
              <w:rPr>
                <w:b w:val="false"/>
                <w:bCs w:val="false"/>
                <w:color w:val="000000"/>
                <w:sz w:val="20"/>
                <w:szCs w:val="20"/>
              </w:rPr>
              <w:t xml:space="preserve">Playback</w:t>
            </w:r>
          </w:p>
        </w:tc>
        <w:tc>
          <w:tcPr>
            <w:tcW w:type="dxa" w:w="6100"/>
            <w:tcMar>
              <w:top w:type="dxa" w:w="80"/>
              <w:left w:type="dxa" w:w="100"/>
              <w:bottom w:type="dxa" w:w="80"/>
              <w:right w:type="dxa" w:w="100"/>
            </w:tcMar>
          </w:tcPr>
          <w:p>
            <w:pPr>
              <w:spacing w:after="0" w:line="276"/>
            </w:pPr>
            <w:r>
              <w:rPr>
                <w:b w:val="false"/>
                <w:bCs w:val="false"/>
                <w:color w:val="000000"/>
                <w:sz w:val="20"/>
                <w:szCs w:val="20"/>
              </w:rPr>
              <w:t xml:space="preserve">Play back the transcription as synthesised audio with a moving cursor, so users can verify accuracy by ear</w:t>
            </w:r>
          </w:p>
        </w:tc>
        <w:tc>
          <w:tcPr>
            <w:tcW w:type="dxa" w:w="1100"/>
            <w:tcMar>
              <w:top w:type="dxa" w:w="80"/>
              <w:left w:type="dxa" w:w="100"/>
              <w:bottom w:type="dxa" w:w="80"/>
              <w:right w:type="dxa" w:w="100"/>
            </w:tcMar>
          </w:tcPr>
          <w:p>
            <w:pPr>
              <w:spacing w:after="0" w:line="276"/>
            </w:pPr>
            <w:r>
              <w:rPr>
                <w:b w:val="false"/>
                <w:bCs w:val="false"/>
                <w:color w:val="000000"/>
                <w:sz w:val="20"/>
                <w:szCs w:val="20"/>
              </w:rPr>
              <w:t xml:space="preserve">P0</w:t>
            </w:r>
          </w:p>
        </w:tc>
      </w:tr>
      <w:tr>
        <w:tc>
          <w:tcPr>
            <w:tcW w:type="dxa" w:w="700"/>
            <w:tcMar>
              <w:top w:type="dxa" w:w="80"/>
              <w:left w:type="dxa" w:w="100"/>
              <w:bottom w:type="dxa" w:w="80"/>
              <w:right w:type="dxa" w:w="100"/>
            </w:tcMar>
          </w:tcPr>
          <w:p>
            <w:pPr>
              <w:spacing w:after="0" w:line="276"/>
            </w:pPr>
            <w:r>
              <w:rPr>
                <w:b w:val="false"/>
                <w:bCs w:val="false"/>
                <w:color w:val="000000"/>
                <w:sz w:val="20"/>
                <w:szCs w:val="20"/>
              </w:rPr>
              <w:t xml:space="preserve">F-07</w:t>
            </w:r>
          </w:p>
        </w:tc>
        <w:tc>
          <w:tcPr>
            <w:tcW w:type="dxa" w:w="1900"/>
            <w:tcMar>
              <w:top w:type="dxa" w:w="80"/>
              <w:left w:type="dxa" w:w="100"/>
              <w:bottom w:type="dxa" w:w="80"/>
              <w:right w:type="dxa" w:w="100"/>
            </w:tcMar>
          </w:tcPr>
          <w:p>
            <w:pPr>
              <w:spacing w:after="0" w:line="276"/>
            </w:pPr>
            <w:r>
              <w:rPr>
                <w:b w:val="false"/>
                <w:bCs w:val="false"/>
                <w:color w:val="000000"/>
                <w:sz w:val="20"/>
                <w:szCs w:val="20"/>
              </w:rPr>
              <w:t xml:space="preserve">Basic editing</w:t>
            </w:r>
          </w:p>
        </w:tc>
        <w:tc>
          <w:tcPr>
            <w:tcW w:type="dxa" w:w="6100"/>
            <w:tcMar>
              <w:top w:type="dxa" w:w="80"/>
              <w:left w:type="dxa" w:w="100"/>
              <w:bottom w:type="dxa" w:w="80"/>
              <w:right w:type="dxa" w:w="100"/>
            </w:tcMar>
          </w:tcPr>
          <w:p>
            <w:pPr>
              <w:spacing w:after="0" w:line="276"/>
            </w:pPr>
            <w:r>
              <w:rPr>
                <w:b w:val="false"/>
                <w:bCs w:val="false"/>
                <w:color w:val="000000"/>
                <w:sz w:val="20"/>
                <w:szCs w:val="20"/>
              </w:rPr>
              <w:t xml:space="preserve">Tap a note to correct pitch or duration; transpose; change detected key/tempo; edits update both notation views</w:t>
            </w:r>
          </w:p>
        </w:tc>
        <w:tc>
          <w:tcPr>
            <w:tcW w:type="dxa" w:w="1100"/>
            <w:tcMar>
              <w:top w:type="dxa" w:w="80"/>
              <w:left w:type="dxa" w:w="100"/>
              <w:bottom w:type="dxa" w:w="80"/>
              <w:right w:type="dxa" w:w="100"/>
            </w:tcMar>
          </w:tcPr>
          <w:p>
            <w:pPr>
              <w:spacing w:after="0" w:line="276"/>
            </w:pPr>
            <w:r>
              <w:rPr>
                <w:b w:val="false"/>
                <w:bCs w:val="false"/>
                <w:color w:val="000000"/>
                <w:sz w:val="20"/>
                <w:szCs w:val="20"/>
              </w:rPr>
              <w:t xml:space="preserve">P0</w:t>
            </w:r>
          </w:p>
        </w:tc>
      </w:tr>
      <w:tr>
        <w:tc>
          <w:tcPr>
            <w:tcW w:type="dxa" w:w="700"/>
            <w:tcMar>
              <w:top w:type="dxa" w:w="80"/>
              <w:left w:type="dxa" w:w="100"/>
              <w:bottom w:type="dxa" w:w="80"/>
              <w:right w:type="dxa" w:w="100"/>
            </w:tcMar>
          </w:tcPr>
          <w:p>
            <w:pPr>
              <w:spacing w:after="0" w:line="276"/>
            </w:pPr>
            <w:r>
              <w:rPr>
                <w:b w:val="false"/>
                <w:bCs w:val="false"/>
                <w:color w:val="000000"/>
                <w:sz w:val="20"/>
                <w:szCs w:val="20"/>
              </w:rPr>
              <w:t xml:space="preserve">F-08</w:t>
            </w:r>
          </w:p>
        </w:tc>
        <w:tc>
          <w:tcPr>
            <w:tcW w:type="dxa" w:w="1900"/>
            <w:tcMar>
              <w:top w:type="dxa" w:w="80"/>
              <w:left w:type="dxa" w:w="100"/>
              <w:bottom w:type="dxa" w:w="80"/>
              <w:right w:type="dxa" w:w="100"/>
            </w:tcMar>
          </w:tcPr>
          <w:p>
            <w:pPr>
              <w:spacing w:after="0" w:line="276"/>
            </w:pPr>
            <w:r>
              <w:rPr>
                <w:b w:val="false"/>
                <w:bCs w:val="false"/>
                <w:color w:val="000000"/>
                <w:sz w:val="20"/>
                <w:szCs w:val="20"/>
              </w:rPr>
              <w:t xml:space="preserve">Save &amp; library</w:t>
            </w:r>
          </w:p>
        </w:tc>
        <w:tc>
          <w:tcPr>
            <w:tcW w:type="dxa" w:w="6100"/>
            <w:tcMar>
              <w:top w:type="dxa" w:w="80"/>
              <w:left w:type="dxa" w:w="100"/>
              <w:bottom w:type="dxa" w:w="80"/>
              <w:right w:type="dxa" w:w="100"/>
            </w:tcMar>
          </w:tcPr>
          <w:p>
            <w:pPr>
              <w:spacing w:after="0" w:line="276"/>
            </w:pPr>
            <w:r>
              <w:rPr>
                <w:b w:val="false"/>
                <w:bCs w:val="false"/>
                <w:color w:val="000000"/>
                <w:sz w:val="20"/>
                <w:szCs w:val="20"/>
              </w:rPr>
              <w:t xml:space="preserve">Local library of transcriptions with titles, dates, and detected key</w:t>
            </w:r>
          </w:p>
        </w:tc>
        <w:tc>
          <w:tcPr>
            <w:tcW w:type="dxa" w:w="1100"/>
            <w:tcMar>
              <w:top w:type="dxa" w:w="80"/>
              <w:left w:type="dxa" w:w="100"/>
              <w:bottom w:type="dxa" w:w="80"/>
              <w:right w:type="dxa" w:w="100"/>
            </w:tcMar>
          </w:tcPr>
          <w:p>
            <w:pPr>
              <w:spacing w:after="0" w:line="276"/>
            </w:pPr>
            <w:r>
              <w:rPr>
                <w:b w:val="false"/>
                <w:bCs w:val="false"/>
                <w:color w:val="000000"/>
                <w:sz w:val="20"/>
                <w:szCs w:val="20"/>
              </w:rPr>
              <w:t xml:space="preserve">P0</w:t>
            </w:r>
          </w:p>
        </w:tc>
      </w:tr>
      <w:tr>
        <w:tc>
          <w:tcPr>
            <w:tcW w:type="dxa" w:w="700"/>
            <w:tcMar>
              <w:top w:type="dxa" w:w="80"/>
              <w:left w:type="dxa" w:w="100"/>
              <w:bottom w:type="dxa" w:w="80"/>
              <w:right w:type="dxa" w:w="100"/>
            </w:tcMar>
          </w:tcPr>
          <w:p>
            <w:pPr>
              <w:spacing w:after="0" w:line="276"/>
            </w:pPr>
            <w:r>
              <w:rPr>
                <w:b w:val="false"/>
                <w:bCs w:val="false"/>
                <w:color w:val="000000"/>
                <w:sz w:val="20"/>
                <w:szCs w:val="20"/>
              </w:rPr>
              <w:t xml:space="preserve">F-09</w:t>
            </w:r>
          </w:p>
        </w:tc>
        <w:tc>
          <w:tcPr>
            <w:tcW w:type="dxa" w:w="1900"/>
            <w:tcMar>
              <w:top w:type="dxa" w:w="80"/>
              <w:left w:type="dxa" w:w="100"/>
              <w:bottom w:type="dxa" w:w="80"/>
              <w:right w:type="dxa" w:w="100"/>
            </w:tcMar>
          </w:tcPr>
          <w:p>
            <w:pPr>
              <w:spacing w:after="0" w:line="276"/>
            </w:pPr>
            <w:r>
              <w:rPr>
                <w:b w:val="false"/>
                <w:bCs w:val="false"/>
                <w:color w:val="000000"/>
                <w:sz w:val="20"/>
                <w:szCs w:val="20"/>
              </w:rPr>
              <w:t xml:space="preserve">Export &amp; share</w:t>
            </w:r>
          </w:p>
        </w:tc>
        <w:tc>
          <w:tcPr>
            <w:tcW w:type="dxa" w:w="6100"/>
            <w:tcMar>
              <w:top w:type="dxa" w:w="80"/>
              <w:left w:type="dxa" w:w="100"/>
              <w:bottom w:type="dxa" w:w="80"/>
              <w:right w:type="dxa" w:w="100"/>
            </w:tcMar>
          </w:tcPr>
          <w:p>
            <w:pPr>
              <w:spacing w:after="0" w:line="276"/>
            </w:pPr>
            <w:r>
              <w:rPr>
                <w:b w:val="false"/>
                <w:bCs w:val="false"/>
                <w:color w:val="000000"/>
                <w:sz w:val="20"/>
                <w:szCs w:val="20"/>
              </w:rPr>
              <w:t xml:space="preserve">Export as PDF (staff, solfa, or both), MusicXML, and MIDI; share sheet integration (WhatsApp is the primary sharing channel for the target market)</w:t>
            </w:r>
          </w:p>
        </w:tc>
        <w:tc>
          <w:tcPr>
            <w:tcW w:type="dxa" w:w="1100"/>
            <w:tcMar>
              <w:top w:type="dxa" w:w="80"/>
              <w:left w:type="dxa" w:w="100"/>
              <w:bottom w:type="dxa" w:w="80"/>
              <w:right w:type="dxa" w:w="100"/>
            </w:tcMar>
          </w:tcPr>
          <w:p>
            <w:pPr>
              <w:spacing w:after="0" w:line="276"/>
            </w:pPr>
            <w:r>
              <w:rPr>
                <w:b w:val="false"/>
                <w:bCs w:val="false"/>
                <w:color w:val="000000"/>
                <w:sz w:val="20"/>
                <w:szCs w:val="20"/>
              </w:rPr>
              <w:t xml:space="preserve">P0</w:t>
            </w:r>
          </w:p>
        </w:tc>
      </w:tr>
    </w:tbl>
    <w:p>
      <w:pPr>
        <w:spacing w:after="160"/>
      </w:pPr>
    </w:p>
    <w:p>
      <w:pPr>
        <w:pStyle w:val="Heading2"/>
        <w:spacing w:after="120" w:before="240"/>
      </w:pPr>
      <w:r>
        <w:rPr>
          <w:b/>
          <w:bCs/>
          <w:color w:val="0E7490"/>
          <w:sz w:val="25"/>
          <w:szCs w:val="25"/>
        </w:rPr>
        <w:t xml:space="preserve">5.2 v1.x — Should Have</w:t>
      </w:r>
    </w:p>
    <w:p>
      <w:pPr>
        <w:pStyle w:val="ListParagraph"/>
        <w:numPr>
          <w:ilvl w:val="0"/>
          <w:numId w:val="2"/>
        </w:numPr>
        <w:spacing w:after="80" w:line="300"/>
      </w:pPr>
      <w:r>
        <w:rPr>
          <w:sz w:val="22"/>
          <w:szCs w:val="22"/>
        </w:rPr>
        <w:t xml:space="preserve">Tempo tap-in and metronome-guided recording for cleaner rhythm quantisation.</w:t>
      </w:r>
    </w:p>
    <w:p>
      <w:pPr>
        <w:pStyle w:val="ListParagraph"/>
        <w:numPr>
          <w:ilvl w:val="0"/>
          <w:numId w:val="2"/>
        </w:numPr>
        <w:spacing w:after="80" w:line="300"/>
      </w:pPr>
      <w:r>
        <w:rPr>
          <w:sz w:val="22"/>
          <w:szCs w:val="22"/>
        </w:rPr>
        <w:t xml:space="preserve">Voice-part labelling for choral work (Soprano/Alto/Tenor/Bass headers on exported solfa sheets).</w:t>
      </w:r>
    </w:p>
    <w:p>
      <w:pPr>
        <w:pStyle w:val="ListParagraph"/>
        <w:numPr>
          <w:ilvl w:val="0"/>
          <w:numId w:val="2"/>
        </w:numPr>
        <w:spacing w:after="80" w:line="300"/>
      </w:pPr>
      <w:r>
        <w:rPr>
          <w:sz w:val="22"/>
          <w:szCs w:val="22"/>
        </w:rPr>
        <w:t xml:space="preserve">Simple chord symbol detection above the staff.</w:t>
      </w:r>
    </w:p>
    <w:p>
      <w:pPr>
        <w:pStyle w:val="ListParagraph"/>
        <w:numPr>
          <w:ilvl w:val="0"/>
          <w:numId w:val="2"/>
        </w:numPr>
        <w:spacing w:after="80" w:line="300"/>
      </w:pPr>
      <w:r>
        <w:rPr>
          <w:sz w:val="22"/>
          <w:szCs w:val="22"/>
        </w:rPr>
        <w:t xml:space="preserve">Offline transcription mode (on-device model) for low-connectivity environments.</w:t>
      </w:r>
    </w:p>
    <w:p>
      <w:pPr>
        <w:pStyle w:val="Heading2"/>
        <w:spacing w:after="120" w:before="240"/>
      </w:pPr>
      <w:r>
        <w:rPr>
          <w:b/>
          <w:bCs/>
          <w:color w:val="0E7490"/>
          <w:sz w:val="25"/>
          <w:szCs w:val="25"/>
        </w:rPr>
        <w:t xml:space="preserve">5.3 v2+ — Roadmap</w:t>
      </w:r>
    </w:p>
    <w:p>
      <w:pPr>
        <w:pStyle w:val="ListParagraph"/>
        <w:numPr>
          <w:ilvl w:val="0"/>
          <w:numId w:val="2"/>
        </w:numPr>
        <w:spacing w:after="80" w:line="300"/>
      </w:pPr>
      <w:r>
        <w:rPr>
          <w:sz w:val="22"/>
          <w:szCs w:val="22"/>
        </w:rPr>
        <w:t xml:space="preserve">Real-time streaming transcription (notes appear as you play).</w:t>
      </w:r>
    </w:p>
    <w:p>
      <w:pPr>
        <w:pStyle w:val="ListParagraph"/>
        <w:numPr>
          <w:ilvl w:val="0"/>
          <w:numId w:val="2"/>
        </w:numPr>
        <w:spacing w:after="80" w:line="300"/>
      </w:pPr>
      <w:r>
        <w:rPr>
          <w:sz w:val="22"/>
          <w:szCs w:val="22"/>
        </w:rPr>
        <w:t xml:space="preserve">Instrument/vocal source separation so users can transcribe one part out of a full mix.</w:t>
      </w:r>
    </w:p>
    <w:p>
      <w:pPr>
        <w:pStyle w:val="ListParagraph"/>
        <w:numPr>
          <w:ilvl w:val="0"/>
          <w:numId w:val="2"/>
        </w:numPr>
        <w:spacing w:after="80" w:line="300"/>
      </w:pPr>
      <w:r>
        <w:rPr>
          <w:sz w:val="22"/>
          <w:szCs w:val="22"/>
        </w:rPr>
        <w:t xml:space="preserve">Multi-voice polyphonic separation into SATB parts.</w:t>
      </w:r>
    </w:p>
    <w:p>
      <w:pPr>
        <w:pStyle w:val="ListParagraph"/>
        <w:numPr>
          <w:ilvl w:val="0"/>
          <w:numId w:val="2"/>
        </w:numPr>
        <w:spacing w:after="80" w:line="300"/>
      </w:pPr>
      <w:r>
        <w:rPr>
          <w:sz w:val="22"/>
          <w:szCs w:val="22"/>
        </w:rPr>
        <w:t xml:space="preserve">Cloud sync, collaboration, and a shared library for choirs.</w:t>
      </w:r>
    </w:p>
    <w:p>
      <w:pPr>
        <w:pStyle w:val="ListParagraph"/>
        <w:numPr>
          <w:ilvl w:val="0"/>
          <w:numId w:val="2"/>
        </w:numPr>
        <w:spacing w:after="80" w:line="300"/>
      </w:pPr>
      <w:r>
        <w:rPr>
          <w:sz w:val="22"/>
          <w:szCs w:val="22"/>
        </w:rPr>
        <w:t xml:space="preserve">iOS release once the Android product is validated.</w:t>
      </w:r>
    </w:p>
    <w:p>
      <w:pPr>
        <w:pStyle w:val="Heading2"/>
        <w:spacing w:after="120" w:before="240"/>
      </w:pPr>
      <w:r>
        <w:rPr>
          <w:b/>
          <w:bCs/>
          <w:color w:val="0E7490"/>
          <w:sz w:val="25"/>
          <w:szCs w:val="25"/>
        </w:rPr>
        <w:t xml:space="preserve">5.4 Non-Functional Requirements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000"/>
        <w:gridCol w:w="7800"/>
      </w:tblGrid>
      <w:tr>
        <w:trPr>
          <w:tblHeader/>
        </w:trPr>
        <w:tc>
          <w:tcPr>
            <w:tcW w:type="dxa" w:w="2000"/>
            <w:shd w:fill="1B2A4A" w:val="clear"/>
            <w:tcMar>
              <w:top w:type="dxa" w:w="80"/>
              <w:left w:type="dxa" w:w="100"/>
              <w:bottom w:type="dxa" w:w="80"/>
              <w:right w:type="dxa" w:w="100"/>
            </w:tcMar>
          </w:tcPr>
          <w:p>
            <w:pPr>
              <w:spacing w:after="0" w:line="276"/>
            </w:pPr>
            <w:r>
              <w:rPr>
                <w:b/>
                <w:bCs/>
                <w:color w:val="FFFFFF"/>
                <w:sz w:val="20"/>
                <w:szCs w:val="20"/>
              </w:rPr>
              <w:t xml:space="preserve">Category</w:t>
            </w:r>
          </w:p>
        </w:tc>
        <w:tc>
          <w:tcPr>
            <w:tcW w:type="dxa" w:w="7800"/>
            <w:shd w:fill="1B2A4A" w:val="clear"/>
            <w:tcMar>
              <w:top w:type="dxa" w:w="80"/>
              <w:left w:type="dxa" w:w="100"/>
              <w:bottom w:type="dxa" w:w="80"/>
              <w:right w:type="dxa" w:w="100"/>
            </w:tcMar>
          </w:tcPr>
          <w:p>
            <w:pPr>
              <w:spacing w:after="0" w:line="276"/>
            </w:pPr>
            <w:r>
              <w:rPr>
                <w:b/>
                <w:bCs/>
                <w:color w:val="FFFFFF"/>
                <w:sz w:val="20"/>
                <w:szCs w:val="20"/>
              </w:rPr>
              <w:t xml:space="preserve">Requirement</w:t>
            </w:r>
          </w:p>
        </w:tc>
      </w:tr>
      <w:tr>
        <w:tc>
          <w:tcPr>
            <w:tcW w:type="dxa" w:w="2000"/>
            <w:tcMar>
              <w:top w:type="dxa" w:w="80"/>
              <w:left w:type="dxa" w:w="100"/>
              <w:bottom w:type="dxa" w:w="80"/>
              <w:right w:type="dxa" w:w="100"/>
            </w:tcMar>
          </w:tcPr>
          <w:p>
            <w:pPr>
              <w:spacing w:after="0" w:line="276"/>
            </w:pPr>
            <w:r>
              <w:rPr>
                <w:b w:val="false"/>
                <w:bCs w:val="false"/>
                <w:color w:val="000000"/>
                <w:sz w:val="20"/>
                <w:szCs w:val="20"/>
              </w:rPr>
              <w:t xml:space="preserve">Accuracy</w:t>
            </w:r>
          </w:p>
        </w:tc>
        <w:tc>
          <w:tcPr>
            <w:tcW w:type="dxa" w:w="7800"/>
            <w:tcMar>
              <w:top w:type="dxa" w:w="80"/>
              <w:left w:type="dxa" w:w="100"/>
              <w:bottom w:type="dxa" w:w="80"/>
              <w:right w:type="dxa" w:w="100"/>
            </w:tcMar>
          </w:tcPr>
          <w:p>
            <w:pPr>
              <w:spacing w:after="0" w:line="276"/>
            </w:pPr>
            <w:r>
              <w:rPr>
                <w:b w:val="false"/>
                <w:bCs w:val="false"/>
                <w:color w:val="000000"/>
                <w:sz w:val="20"/>
                <w:szCs w:val="20"/>
              </w:rPr>
              <w:t xml:space="preserve">≥ 90% note-level F1 on clean monophonic recordings; ≥ 75% on clean piano polyphony (measured against reference datasets — see TRD)</w:t>
            </w:r>
          </w:p>
        </w:tc>
      </w:tr>
      <w:tr>
        <w:tc>
          <w:tcPr>
            <w:tcW w:type="dxa" w:w="2000"/>
            <w:tcMar>
              <w:top w:type="dxa" w:w="80"/>
              <w:left w:type="dxa" w:w="100"/>
              <w:bottom w:type="dxa" w:w="80"/>
              <w:right w:type="dxa" w:w="100"/>
            </w:tcMar>
          </w:tcPr>
          <w:p>
            <w:pPr>
              <w:spacing w:after="0" w:line="276"/>
            </w:pPr>
            <w:r>
              <w:rPr>
                <w:b w:val="false"/>
                <w:bCs w:val="false"/>
                <w:color w:val="000000"/>
                <w:sz w:val="20"/>
                <w:szCs w:val="20"/>
              </w:rPr>
              <w:t xml:space="preserve">Latency</w:t>
            </w:r>
          </w:p>
        </w:tc>
        <w:tc>
          <w:tcPr>
            <w:tcW w:type="dxa" w:w="7800"/>
            <w:tcMar>
              <w:top w:type="dxa" w:w="80"/>
              <w:left w:type="dxa" w:w="100"/>
              <w:bottom w:type="dxa" w:w="80"/>
              <w:right w:type="dxa" w:w="100"/>
            </w:tcMar>
          </w:tcPr>
          <w:p>
            <w:pPr>
              <w:spacing w:after="0" w:line="276"/>
            </w:pPr>
            <w:r>
              <w:rPr>
                <w:b w:val="false"/>
                <w:bCs w:val="false"/>
                <w:color w:val="000000"/>
                <w:sz w:val="20"/>
                <w:szCs w:val="20"/>
              </w:rPr>
              <w:t xml:space="preserve">Transcription result for a 30-second clip returned in ≤ 15 seconds on a mid-range connection (server mode) or ≤ 30 seconds on-device</w:t>
            </w:r>
          </w:p>
        </w:tc>
      </w:tr>
      <w:tr>
        <w:tc>
          <w:tcPr>
            <w:tcW w:type="dxa" w:w="2000"/>
            <w:tcMar>
              <w:top w:type="dxa" w:w="80"/>
              <w:left w:type="dxa" w:w="100"/>
              <w:bottom w:type="dxa" w:w="80"/>
              <w:right w:type="dxa" w:w="100"/>
            </w:tcMar>
          </w:tcPr>
          <w:p>
            <w:pPr>
              <w:spacing w:after="0" w:line="276"/>
            </w:pPr>
            <w:r>
              <w:rPr>
                <w:b w:val="false"/>
                <w:bCs w:val="false"/>
                <w:color w:val="000000"/>
                <w:sz w:val="20"/>
                <w:szCs w:val="20"/>
              </w:rPr>
              <w:t xml:space="preserve">Device support</w:t>
            </w:r>
          </w:p>
        </w:tc>
        <w:tc>
          <w:tcPr>
            <w:tcW w:type="dxa" w:w="7800"/>
            <w:tcMar>
              <w:top w:type="dxa" w:w="80"/>
              <w:left w:type="dxa" w:w="100"/>
              <w:bottom w:type="dxa" w:w="80"/>
              <w:right w:type="dxa" w:w="100"/>
            </w:tcMar>
          </w:tcPr>
          <w:p>
            <w:pPr>
              <w:spacing w:after="0" w:line="276"/>
            </w:pPr>
            <w:r>
              <w:rPr>
                <w:b w:val="false"/>
                <w:bCs w:val="false"/>
                <w:color w:val="000000"/>
                <w:sz w:val="20"/>
                <w:szCs w:val="20"/>
              </w:rPr>
              <w:t xml:space="preserve">Android 8.0 (API 26)+; must run acceptably on 2–3 GB RAM devices common in the target market</w:t>
            </w:r>
          </w:p>
        </w:tc>
      </w:tr>
      <w:tr>
        <w:tc>
          <w:tcPr>
            <w:tcW w:type="dxa" w:w="2000"/>
            <w:tcMar>
              <w:top w:type="dxa" w:w="80"/>
              <w:left w:type="dxa" w:w="100"/>
              <w:bottom w:type="dxa" w:w="80"/>
              <w:right w:type="dxa" w:w="100"/>
            </w:tcMar>
          </w:tcPr>
          <w:p>
            <w:pPr>
              <w:spacing w:after="0" w:line="276"/>
            </w:pPr>
            <w:r>
              <w:rPr>
                <w:b w:val="false"/>
                <w:bCs w:val="false"/>
                <w:color w:val="000000"/>
                <w:sz w:val="20"/>
                <w:szCs w:val="20"/>
              </w:rPr>
              <w:t xml:space="preserve">Data efficiency</w:t>
            </w:r>
          </w:p>
        </w:tc>
        <w:tc>
          <w:tcPr>
            <w:tcW w:type="dxa" w:w="7800"/>
            <w:tcMar>
              <w:top w:type="dxa" w:w="80"/>
              <w:left w:type="dxa" w:w="100"/>
              <w:bottom w:type="dxa" w:w="80"/>
              <w:right w:type="dxa" w:w="100"/>
            </w:tcMar>
          </w:tcPr>
          <w:p>
            <w:pPr>
              <w:spacing w:after="0" w:line="276"/>
            </w:pPr>
            <w:r>
              <w:rPr>
                <w:b w:val="false"/>
                <w:bCs w:val="false"/>
                <w:color w:val="000000"/>
                <w:sz w:val="20"/>
                <w:szCs w:val="20"/>
              </w:rPr>
              <w:t xml:space="preserve">Uploaded audio compressed (≤ ~1 MB per 30s clip); app size ≤ 60 MB without offline model, offline model an optional download</w:t>
            </w:r>
          </w:p>
        </w:tc>
      </w:tr>
      <w:tr>
        <w:tc>
          <w:tcPr>
            <w:tcW w:type="dxa" w:w="2000"/>
            <w:tcMar>
              <w:top w:type="dxa" w:w="80"/>
              <w:left w:type="dxa" w:w="100"/>
              <w:bottom w:type="dxa" w:w="80"/>
              <w:right w:type="dxa" w:w="100"/>
            </w:tcMar>
          </w:tcPr>
          <w:p>
            <w:pPr>
              <w:spacing w:after="0" w:line="276"/>
            </w:pPr>
            <w:r>
              <w:rPr>
                <w:b w:val="false"/>
                <w:bCs w:val="false"/>
                <w:color w:val="000000"/>
                <w:sz w:val="20"/>
                <w:szCs w:val="20"/>
              </w:rPr>
              <w:t xml:space="preserve">Privacy</w:t>
            </w:r>
          </w:p>
        </w:tc>
        <w:tc>
          <w:tcPr>
            <w:tcW w:type="dxa" w:w="7800"/>
            <w:tcMar>
              <w:top w:type="dxa" w:w="80"/>
              <w:left w:type="dxa" w:w="100"/>
              <w:bottom w:type="dxa" w:w="80"/>
              <w:right w:type="dxa" w:w="100"/>
            </w:tcMar>
          </w:tcPr>
          <w:p>
            <w:pPr>
              <w:spacing w:after="0" w:line="276"/>
            </w:pPr>
            <w:r>
              <w:rPr>
                <w:b w:val="false"/>
                <w:bCs w:val="false"/>
                <w:color w:val="000000"/>
                <w:sz w:val="20"/>
                <w:szCs w:val="20"/>
              </w:rPr>
              <w:t xml:space="preserve">Recordings processed transiently; deleted from the server after transcription unless the user opts into cloud backup</w:t>
            </w:r>
          </w:p>
        </w:tc>
      </w:tr>
      <w:tr>
        <w:tc>
          <w:tcPr>
            <w:tcW w:type="dxa" w:w="2000"/>
            <w:tcMar>
              <w:top w:type="dxa" w:w="80"/>
              <w:left w:type="dxa" w:w="100"/>
              <w:bottom w:type="dxa" w:w="80"/>
              <w:right w:type="dxa" w:w="100"/>
            </w:tcMar>
          </w:tcPr>
          <w:p>
            <w:pPr>
              <w:spacing w:after="0" w:line="276"/>
            </w:pPr>
            <w:r>
              <w:rPr>
                <w:b w:val="false"/>
                <w:bCs w:val="false"/>
                <w:color w:val="000000"/>
                <w:sz w:val="20"/>
                <w:szCs w:val="20"/>
              </w:rPr>
              <w:t xml:space="preserve">Reliability</w:t>
            </w:r>
          </w:p>
        </w:tc>
        <w:tc>
          <w:tcPr>
            <w:tcW w:type="dxa" w:w="7800"/>
            <w:tcMar>
              <w:top w:type="dxa" w:w="80"/>
              <w:left w:type="dxa" w:w="100"/>
              <w:bottom w:type="dxa" w:w="80"/>
              <w:right w:type="dxa" w:w="100"/>
            </w:tcMar>
          </w:tcPr>
          <w:p>
            <w:pPr>
              <w:spacing w:after="0" w:line="276"/>
            </w:pPr>
            <w:r>
              <w:rPr>
                <w:b w:val="false"/>
                <w:bCs w:val="false"/>
                <w:color w:val="000000"/>
                <w:sz w:val="20"/>
                <w:szCs w:val="20"/>
              </w:rPr>
              <w:t xml:space="preserve">Graceful degradation: if transcription confidence is low, tell the user honestly and suggest a cleaner re-record rather than returning garbage</w:t>
            </w:r>
          </w:p>
        </w:tc>
      </w:tr>
    </w:tbl>
    <w:p>
      <w:pPr>
        <w:spacing w:after="160"/>
      </w:pPr>
    </w:p>
    <w:p>
      <w:pPr>
        <w:pStyle w:val="Heading1"/>
        <w:spacing w:after="160" w:before="320"/>
      </w:pPr>
      <w:r>
        <w:rPr>
          <w:b/>
          <w:bCs/>
          <w:color w:val="1B2A4A"/>
          <w:sz w:val="30"/>
          <w:szCs w:val="30"/>
        </w:rPr>
        <w:t xml:space="preserve">6. Primary User Flow</w:t>
      </w:r>
    </w:p>
    <w:p>
      <w:pPr>
        <w:pStyle w:val="ListParagraph"/>
        <w:numPr>
          <w:ilvl w:val="0"/>
          <w:numId w:val="3"/>
        </w:numPr>
        <w:spacing w:after="80" w:line="300"/>
      </w:pPr>
      <w:r>
        <w:rPr>
          <w:sz w:val="22"/>
          <w:szCs w:val="22"/>
        </w:rPr>
        <w:t xml:space="preserve">User opens NoteFusion and taps the central Listen button.</w:t>
      </w:r>
    </w:p>
    <w:p>
      <w:pPr>
        <w:pStyle w:val="ListParagraph"/>
        <w:numPr>
          <w:ilvl w:val="0"/>
          <w:numId w:val="3"/>
        </w:numPr>
        <w:spacing w:after="80" w:line="300"/>
      </w:pPr>
      <w:r>
        <w:rPr>
          <w:sz w:val="22"/>
          <w:szCs w:val="22"/>
        </w:rPr>
        <w:t xml:space="preserve">App records audio with a live waveform; user taps again to stop (or auto-stop at silence).</w:t>
      </w:r>
    </w:p>
    <w:p>
      <w:pPr>
        <w:pStyle w:val="ListParagraph"/>
        <w:numPr>
          <w:ilvl w:val="0"/>
          <w:numId w:val="3"/>
        </w:numPr>
        <w:spacing w:after="80" w:line="300"/>
      </w:pPr>
      <w:r>
        <w:rPr>
          <w:sz w:val="22"/>
          <w:szCs w:val="22"/>
        </w:rPr>
        <w:t xml:space="preserve">A processing screen shows staged progress (Analysing audio → Detecting notes → Detecting key → Building score).</w:t>
      </w:r>
    </w:p>
    <w:p>
      <w:pPr>
        <w:pStyle w:val="ListParagraph"/>
        <w:numPr>
          <w:ilvl w:val="0"/>
          <w:numId w:val="3"/>
        </w:numPr>
        <w:spacing w:after="80" w:line="300"/>
      </w:pPr>
      <w:r>
        <w:rPr>
          <w:sz w:val="22"/>
          <w:szCs w:val="22"/>
        </w:rPr>
        <w:t xml:space="preserve">Result screen shows staff notation by default with a Solfa toggle; the detected key ('Doh is F') is shown prominently and is tappable to change.</w:t>
      </w:r>
    </w:p>
    <w:p>
      <w:pPr>
        <w:pStyle w:val="ListParagraph"/>
        <w:numPr>
          <w:ilvl w:val="0"/>
          <w:numId w:val="3"/>
        </w:numPr>
        <w:spacing w:after="80" w:line="300"/>
      </w:pPr>
      <w:r>
        <w:rPr>
          <w:sz w:val="22"/>
          <w:szCs w:val="22"/>
        </w:rPr>
        <w:t xml:space="preserve">User plays back the result, makes quick corrections, renames, and saves.</w:t>
      </w:r>
    </w:p>
    <w:p>
      <w:pPr>
        <w:pStyle w:val="ListParagraph"/>
        <w:numPr>
          <w:ilvl w:val="0"/>
          <w:numId w:val="3"/>
        </w:numPr>
        <w:spacing w:after="80" w:line="300"/>
      </w:pPr>
      <w:r>
        <w:rPr>
          <w:sz w:val="22"/>
          <w:szCs w:val="22"/>
        </w:rPr>
        <w:t xml:space="preserve">User exports a solfa PDF and shares it to the choir WhatsApp group.</w:t>
      </w:r>
    </w:p>
    <w:p>
      <w:pPr>
        <w:pStyle w:val="Heading1"/>
        <w:spacing w:after="160" w:before="320"/>
      </w:pPr>
      <w:r>
        <w:rPr>
          <w:b/>
          <w:bCs/>
          <w:color w:val="1B2A4A"/>
          <w:sz w:val="30"/>
          <w:szCs w:val="30"/>
        </w:rPr>
        <w:t xml:space="preserve">7. Success Metrics</w:t>
      </w:r>
    </w:p>
    <w:p>
      <w:pPr>
        <w:pStyle w:val="Heading2"/>
        <w:spacing w:after="120" w:before="240"/>
      </w:pPr>
      <w:r>
        <w:rPr>
          <w:b/>
          <w:bCs/>
          <w:color w:val="0E7490"/>
          <w:sz w:val="25"/>
          <w:szCs w:val="25"/>
        </w:rPr>
        <w:t xml:space="preserve">7.1 Validation-Phase Metrics (first 90 days)</w:t>
      </w:r>
    </w:p>
    <w:p>
      <w:pPr>
        <w:pStyle w:val="ListParagraph"/>
        <w:numPr>
          <w:ilvl w:val="0"/>
          <w:numId w:val="2"/>
        </w:numPr>
        <w:spacing w:after="80" w:line="300"/>
      </w:pPr>
      <w:r>
        <w:rPr>
          <w:sz w:val="22"/>
          <w:szCs w:val="22"/>
        </w:rPr>
        <w:t xml:space="preserve">≥ 500 installs from organic/community channels (choirs, music schools, social media) without paid acquisition.</w:t>
      </w:r>
    </w:p>
    <w:p>
      <w:pPr>
        <w:pStyle w:val="ListParagraph"/>
        <w:numPr>
          <w:ilvl w:val="0"/>
          <w:numId w:val="2"/>
        </w:numPr>
        <w:spacing w:after="80" w:line="300"/>
      </w:pPr>
      <w:r>
        <w:rPr>
          <w:sz w:val="22"/>
          <w:szCs w:val="22"/>
        </w:rPr>
        <w:t xml:space="preserve">≥ 40% of new users complete a first transcription within one session (activation).</w:t>
      </w:r>
    </w:p>
    <w:p>
      <w:pPr>
        <w:pStyle w:val="ListParagraph"/>
        <w:numPr>
          <w:ilvl w:val="0"/>
          <w:numId w:val="2"/>
        </w:numPr>
        <w:spacing w:after="80" w:line="300"/>
      </w:pPr>
      <w:r>
        <w:rPr>
          <w:sz w:val="22"/>
          <w:szCs w:val="22"/>
        </w:rPr>
        <w:t xml:space="preserve">≥ 25% of activated users export or share at least one transcription (the 'it actually worked for me' signal).</w:t>
      </w:r>
    </w:p>
    <w:p>
      <w:pPr>
        <w:pStyle w:val="ListParagraph"/>
        <w:numPr>
          <w:ilvl w:val="0"/>
          <w:numId w:val="2"/>
        </w:numPr>
        <w:spacing w:after="80" w:line="300"/>
      </w:pPr>
      <w:r>
        <w:rPr>
          <w:sz w:val="22"/>
          <w:szCs w:val="22"/>
        </w:rPr>
        <w:t xml:space="preserve">Qualitative: 15+ structured interviews with choir directors and instrumentalists on output accuracy and solfa correctness.</w:t>
      </w:r>
    </w:p>
    <w:p>
      <w:pPr>
        <w:pStyle w:val="Heading2"/>
        <w:spacing w:after="120" w:before="240"/>
      </w:pPr>
      <w:r>
        <w:rPr>
          <w:b/>
          <w:bCs/>
          <w:color w:val="0E7490"/>
          <w:sz w:val="25"/>
          <w:szCs w:val="25"/>
        </w:rPr>
        <w:t xml:space="preserve">7.2 Growth-Phase Metrics</w:t>
      </w:r>
    </w:p>
    <w:p>
      <w:pPr>
        <w:pStyle w:val="ListParagraph"/>
        <w:numPr>
          <w:ilvl w:val="0"/>
          <w:numId w:val="2"/>
        </w:numPr>
        <w:spacing w:after="80" w:line="300"/>
      </w:pPr>
      <w:r>
        <w:rPr>
          <w:sz w:val="22"/>
          <w:szCs w:val="22"/>
        </w:rPr>
        <w:t xml:space="preserve">Week-4 retention ≥ 20%; average ≥ 3 transcriptions per active user per month.</w:t>
      </w:r>
    </w:p>
    <w:p>
      <w:pPr>
        <w:pStyle w:val="ListParagraph"/>
        <w:numPr>
          <w:ilvl w:val="0"/>
          <w:numId w:val="2"/>
        </w:numPr>
        <w:spacing w:after="80" w:line="300"/>
      </w:pPr>
      <w:r>
        <w:rPr>
          <w:sz w:val="22"/>
          <w:szCs w:val="22"/>
        </w:rPr>
        <w:t xml:space="preserve">Median user-rated transcription quality ≥ 4/5 on in-app feedback prompt.</w:t>
      </w:r>
    </w:p>
    <w:p>
      <w:pPr>
        <w:pStyle w:val="ListParagraph"/>
        <w:numPr>
          <w:ilvl w:val="0"/>
          <w:numId w:val="2"/>
        </w:numPr>
        <w:spacing w:after="80" w:line="300"/>
      </w:pPr>
      <w:r>
        <w:rPr>
          <w:sz w:val="22"/>
          <w:szCs w:val="22"/>
        </w:rPr>
        <w:t xml:space="preserve">Free-to-paid conversion ≥ 3% once premium tier launches (unlimited length, batch export, offline mode).</w:t>
      </w:r>
    </w:p>
    <w:p>
      <w:pPr>
        <w:pStyle w:val="Heading1"/>
        <w:spacing w:after="160" w:before="320"/>
      </w:pPr>
      <w:r>
        <w:rPr>
          <w:b/>
          <w:bCs/>
          <w:color w:val="1B2A4A"/>
          <w:sz w:val="30"/>
          <w:szCs w:val="30"/>
        </w:rPr>
        <w:t xml:space="preserve">8. Monetisation (Proposed)</w:t>
      </w:r>
    </w:p>
    <w:p>
      <w:pPr>
        <w:pStyle w:val="ListParagraph"/>
        <w:numPr>
          <w:ilvl w:val="0"/>
          <w:numId w:val="2"/>
        </w:numPr>
        <w:spacing w:after="80" w:line="300"/>
      </w:pPr>
      <w:r>
        <w:rPr>
          <w:b/>
          <w:bCs/>
          <w:sz w:val="22"/>
          <w:szCs w:val="22"/>
        </w:rPr>
        <w:t xml:space="preserve">Freemium: </w:t>
      </w:r>
      <w:r>
        <w:rPr>
          <w:sz w:val="22"/>
          <w:szCs w:val="22"/>
        </w:rPr>
        <w:t xml:space="preserve">Free tier — clips up to ~60 seconds, watermark-free PDF export of a limited number of scores per month. Premium (monthly/annual, priced for the Nigerian market with regional pricing elsewhere) — longer recordings, unlimited exports, offline mode, choir voice-part sheets.</w:t>
      </w:r>
    </w:p>
    <w:p>
      <w:pPr>
        <w:pStyle w:val="ListParagraph"/>
        <w:numPr>
          <w:ilvl w:val="0"/>
          <w:numId w:val="2"/>
        </w:numPr>
        <w:spacing w:after="80" w:line="300"/>
      </w:pPr>
      <w:r>
        <w:rPr>
          <w:b/>
          <w:bCs/>
          <w:sz w:val="22"/>
          <w:szCs w:val="22"/>
        </w:rPr>
        <w:t xml:space="preserve">No per-transcription charges. </w:t>
      </w:r>
      <w:r>
        <w:rPr>
          <w:sz w:val="22"/>
          <w:szCs w:val="22"/>
        </w:rPr>
        <w:t xml:space="preserve">Competitors charging per minute create anxiety; open-source self-hosted ML keeps marginal cost near zero, making flat pricing viable and a marketing weapon.</w:t>
      </w:r>
    </w:p>
    <w:p>
      <w:pPr>
        <w:pStyle w:val="Heading1"/>
        <w:spacing w:after="160" w:before="320"/>
      </w:pPr>
      <w:r>
        <w:rPr>
          <w:b/>
          <w:bCs/>
          <w:color w:val="1B2A4A"/>
          <w:sz w:val="30"/>
          <w:szCs w:val="30"/>
        </w:rPr>
        <w:t xml:space="preserve">9. Competitive Landscape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700"/>
        <w:gridCol w:w="3500"/>
      </w:tblGrid>
      <w:tr>
        <w:trPr>
          <w:tblHeader/>
        </w:trPr>
        <w:tc>
          <w:tcPr>
            <w:tcW w:type="dxa" w:w="2200"/>
            <w:shd w:fill="1B2A4A" w:val="clear"/>
            <w:tcMar>
              <w:top w:type="dxa" w:w="80"/>
              <w:left w:type="dxa" w:w="100"/>
              <w:bottom w:type="dxa" w:w="80"/>
              <w:right w:type="dxa" w:w="100"/>
            </w:tcMar>
          </w:tcPr>
          <w:p>
            <w:pPr>
              <w:spacing w:after="0" w:line="276"/>
            </w:pPr>
            <w:r>
              <w:rPr>
                <w:b/>
                <w:bCs/>
                <w:color w:val="FFFFFF"/>
                <w:sz w:val="20"/>
                <w:szCs w:val="20"/>
              </w:rPr>
              <w:t xml:space="preserve">Product</w:t>
            </w:r>
          </w:p>
        </w:tc>
        <w:tc>
          <w:tcPr>
            <w:tcW w:type="dxa" w:w="2400"/>
            <w:shd w:fill="1B2A4A" w:val="clear"/>
            <w:tcMar>
              <w:top w:type="dxa" w:w="80"/>
              <w:left w:type="dxa" w:w="100"/>
              <w:bottom w:type="dxa" w:w="80"/>
              <w:right w:type="dxa" w:w="100"/>
            </w:tcMar>
          </w:tcPr>
          <w:p>
            <w:pPr>
              <w:spacing w:after="0" w:line="276"/>
            </w:pPr>
            <w:r>
              <w:rPr>
                <w:b/>
                <w:bCs/>
                <w:color w:val="FFFFFF"/>
                <w:sz w:val="20"/>
                <w:szCs w:val="20"/>
              </w:rPr>
              <w:t xml:space="preserve">Platform</w:t>
            </w:r>
          </w:p>
        </w:tc>
        <w:tc>
          <w:tcPr>
            <w:tcW w:type="dxa" w:w="1700"/>
            <w:shd w:fill="1B2A4A" w:val="clear"/>
            <w:tcMar>
              <w:top w:type="dxa" w:w="80"/>
              <w:left w:type="dxa" w:w="100"/>
              <w:bottom w:type="dxa" w:w="80"/>
              <w:right w:type="dxa" w:w="100"/>
            </w:tcMar>
          </w:tcPr>
          <w:p>
            <w:pPr>
              <w:spacing w:after="0" w:line="276"/>
            </w:pPr>
            <w:r>
              <w:rPr>
                <w:b/>
                <w:bCs/>
                <w:color w:val="FFFFFF"/>
                <w:sz w:val="20"/>
                <w:szCs w:val="20"/>
              </w:rPr>
              <w:t xml:space="preserve">Solfa?</w:t>
            </w:r>
          </w:p>
        </w:tc>
        <w:tc>
          <w:tcPr>
            <w:tcW w:type="dxa" w:w="3500"/>
            <w:shd w:fill="1B2A4A" w:val="clear"/>
            <w:tcMar>
              <w:top w:type="dxa" w:w="80"/>
              <w:left w:type="dxa" w:w="100"/>
              <w:bottom w:type="dxa" w:w="80"/>
              <w:right w:type="dxa" w:w="100"/>
            </w:tcMar>
          </w:tcPr>
          <w:p>
            <w:pPr>
              <w:spacing w:after="0" w:line="276"/>
            </w:pPr>
            <w:r>
              <w:rPr>
                <w:b/>
                <w:bCs/>
                <w:color w:val="FFFFFF"/>
                <w:sz w:val="20"/>
                <w:szCs w:val="20"/>
              </w:rPr>
              <w:t xml:space="preserve">Notes</w:t>
            </w:r>
          </w:p>
        </w:tc>
      </w:tr>
      <w:tr>
        <w:tc>
          <w:tcPr>
            <w:tcW w:type="dxa" w:w="2200"/>
            <w:tcMar>
              <w:top w:type="dxa" w:w="80"/>
              <w:left w:type="dxa" w:w="100"/>
              <w:bottom w:type="dxa" w:w="80"/>
              <w:right w:type="dxa" w:w="100"/>
            </w:tcMar>
          </w:tcPr>
          <w:p>
            <w:pPr>
              <w:spacing w:after="0" w:line="276"/>
            </w:pPr>
            <w:r>
              <w:rPr>
                <w:b w:val="false"/>
                <w:bCs w:val="false"/>
                <w:color w:val="000000"/>
                <w:sz w:val="20"/>
                <w:szCs w:val="20"/>
              </w:rPr>
              <w:t xml:space="preserve">ScoreCloud</w:t>
            </w:r>
          </w:p>
        </w:tc>
        <w:tc>
          <w:tcPr>
            <w:tcW w:type="dxa" w:w="2400"/>
            <w:tcMar>
              <w:top w:type="dxa" w:w="80"/>
              <w:left w:type="dxa" w:w="100"/>
              <w:bottom w:type="dxa" w:w="80"/>
              <w:right w:type="dxa" w:w="100"/>
            </w:tcMar>
          </w:tcPr>
          <w:p>
            <w:pPr>
              <w:spacing w:after="0" w:line="276"/>
            </w:pPr>
            <w:r>
              <w:rPr>
                <w:b w:val="false"/>
                <w:bCs w:val="false"/>
                <w:color w:val="000000"/>
                <w:sz w:val="20"/>
                <w:szCs w:val="20"/>
              </w:rPr>
              <w:t xml:space="preserve">Desktop, iOS</w:t>
            </w:r>
          </w:p>
        </w:tc>
        <w:tc>
          <w:tcPr>
            <w:tcW w:type="dxa" w:w="1700"/>
            <w:tcMar>
              <w:top w:type="dxa" w:w="80"/>
              <w:left w:type="dxa" w:w="100"/>
              <w:bottom w:type="dxa" w:w="80"/>
              <w:right w:type="dxa" w:w="100"/>
            </w:tcMar>
          </w:tcPr>
          <w:p>
            <w:pPr>
              <w:spacing w:after="0" w:line="276"/>
            </w:pPr>
            <w:r>
              <w:rPr>
                <w:b w:val="false"/>
                <w:bCs w:val="false"/>
                <w:color w:val="000000"/>
                <w:sz w:val="20"/>
                <w:szCs w:val="20"/>
              </w:rPr>
              <w:t xml:space="preserve">No</w:t>
            </w:r>
          </w:p>
        </w:tc>
        <w:tc>
          <w:tcPr>
            <w:tcW w:type="dxa" w:w="3500"/>
            <w:tcMar>
              <w:top w:type="dxa" w:w="80"/>
              <w:left w:type="dxa" w:w="100"/>
              <w:bottom w:type="dxa" w:w="80"/>
              <w:right w:type="dxa" w:w="100"/>
            </w:tcMar>
          </w:tcPr>
          <w:p>
            <w:pPr>
              <w:spacing w:after="0" w:line="276"/>
            </w:pPr>
            <w:r>
              <w:rPr>
                <w:b w:val="false"/>
                <w:bCs w:val="false"/>
                <w:color w:val="000000"/>
                <w:sz w:val="20"/>
                <w:szCs w:val="20"/>
              </w:rPr>
              <w:t xml:space="preserve">Strong staff transcription; subscription; no Android focus</w:t>
            </w:r>
          </w:p>
        </w:tc>
      </w:tr>
      <w:tr>
        <w:tc>
          <w:tcPr>
            <w:tcW w:type="dxa" w:w="2200"/>
            <w:tcMar>
              <w:top w:type="dxa" w:w="80"/>
              <w:left w:type="dxa" w:w="100"/>
              <w:bottom w:type="dxa" w:w="80"/>
              <w:right w:type="dxa" w:w="100"/>
            </w:tcMar>
          </w:tcPr>
          <w:p>
            <w:pPr>
              <w:spacing w:after="0" w:line="276"/>
            </w:pPr>
            <w:r>
              <w:rPr>
                <w:b w:val="false"/>
                <w:bCs w:val="false"/>
                <w:color w:val="000000"/>
                <w:sz w:val="20"/>
                <w:szCs w:val="20"/>
              </w:rPr>
              <w:t xml:space="preserve">AnthemScore</w:t>
            </w:r>
          </w:p>
        </w:tc>
        <w:tc>
          <w:tcPr>
            <w:tcW w:type="dxa" w:w="2400"/>
            <w:tcMar>
              <w:top w:type="dxa" w:w="80"/>
              <w:left w:type="dxa" w:w="100"/>
              <w:bottom w:type="dxa" w:w="80"/>
              <w:right w:type="dxa" w:w="100"/>
            </w:tcMar>
          </w:tcPr>
          <w:p>
            <w:pPr>
              <w:spacing w:after="0" w:line="276"/>
            </w:pPr>
            <w:r>
              <w:rPr>
                <w:b w:val="false"/>
                <w:bCs w:val="false"/>
                <w:color w:val="000000"/>
                <w:sz w:val="20"/>
                <w:szCs w:val="20"/>
              </w:rPr>
              <w:t xml:space="preserve">Desktop (Win/Mac/Linux)</w:t>
            </w:r>
          </w:p>
        </w:tc>
        <w:tc>
          <w:tcPr>
            <w:tcW w:type="dxa" w:w="1700"/>
            <w:tcMar>
              <w:top w:type="dxa" w:w="80"/>
              <w:left w:type="dxa" w:w="100"/>
              <w:bottom w:type="dxa" w:w="80"/>
              <w:right w:type="dxa" w:w="100"/>
            </w:tcMar>
          </w:tcPr>
          <w:p>
            <w:pPr>
              <w:spacing w:after="0" w:line="276"/>
            </w:pPr>
            <w:r>
              <w:rPr>
                <w:b w:val="false"/>
                <w:bCs w:val="false"/>
                <w:color w:val="000000"/>
                <w:sz w:val="20"/>
                <w:szCs w:val="20"/>
              </w:rPr>
              <w:t xml:space="preserve">No</w:t>
            </w:r>
          </w:p>
        </w:tc>
        <w:tc>
          <w:tcPr>
            <w:tcW w:type="dxa" w:w="3500"/>
            <w:tcMar>
              <w:top w:type="dxa" w:w="80"/>
              <w:left w:type="dxa" w:w="100"/>
              <w:bottom w:type="dxa" w:w="80"/>
              <w:right w:type="dxa" w:w="100"/>
            </w:tcMar>
          </w:tcPr>
          <w:p>
            <w:pPr>
              <w:spacing w:after="0" w:line="276"/>
            </w:pPr>
            <w:r>
              <w:rPr>
                <w:b w:val="false"/>
                <w:bCs w:val="false"/>
                <w:color w:val="000000"/>
                <w:sz w:val="20"/>
                <w:szCs w:val="20"/>
              </w:rPr>
              <w:t xml:space="preserve">ML-based audio-to-score; one-time licence; desktop-only</w:t>
            </w:r>
          </w:p>
        </w:tc>
      </w:tr>
      <w:tr>
        <w:tc>
          <w:tcPr>
            <w:tcW w:type="dxa" w:w="2200"/>
            <w:tcMar>
              <w:top w:type="dxa" w:w="80"/>
              <w:left w:type="dxa" w:w="100"/>
              <w:bottom w:type="dxa" w:w="80"/>
              <w:right w:type="dxa" w:w="100"/>
            </w:tcMar>
          </w:tcPr>
          <w:p>
            <w:pPr>
              <w:spacing w:after="0" w:line="276"/>
            </w:pPr>
            <w:r>
              <w:rPr>
                <w:b w:val="false"/>
                <w:bCs w:val="false"/>
                <w:color w:val="000000"/>
                <w:sz w:val="20"/>
                <w:szCs w:val="20"/>
              </w:rPr>
              <w:t xml:space="preserve">Piano2Notes (Klangio)</w:t>
            </w:r>
          </w:p>
        </w:tc>
        <w:tc>
          <w:tcPr>
            <w:tcW w:type="dxa" w:w="2400"/>
            <w:tcMar>
              <w:top w:type="dxa" w:w="80"/>
              <w:left w:type="dxa" w:w="100"/>
              <w:bottom w:type="dxa" w:w="80"/>
              <w:right w:type="dxa" w:w="100"/>
            </w:tcMar>
          </w:tcPr>
          <w:p>
            <w:pPr>
              <w:spacing w:after="0" w:line="276"/>
            </w:pPr>
            <w:r>
              <w:rPr>
                <w:b w:val="false"/>
                <w:bCs w:val="false"/>
                <w:color w:val="000000"/>
                <w:sz w:val="20"/>
                <w:szCs w:val="20"/>
              </w:rPr>
              <w:t xml:space="preserve">Web/mobile</w:t>
            </w:r>
          </w:p>
        </w:tc>
        <w:tc>
          <w:tcPr>
            <w:tcW w:type="dxa" w:w="1700"/>
            <w:tcMar>
              <w:top w:type="dxa" w:w="80"/>
              <w:left w:type="dxa" w:w="100"/>
              <w:bottom w:type="dxa" w:w="80"/>
              <w:right w:type="dxa" w:w="100"/>
            </w:tcMar>
          </w:tcPr>
          <w:p>
            <w:pPr>
              <w:spacing w:after="0" w:line="276"/>
            </w:pPr>
            <w:r>
              <w:rPr>
                <w:b w:val="false"/>
                <w:bCs w:val="false"/>
                <w:color w:val="000000"/>
                <w:sz w:val="20"/>
                <w:szCs w:val="20"/>
              </w:rPr>
              <w:t xml:space="preserve">No</w:t>
            </w:r>
          </w:p>
        </w:tc>
        <w:tc>
          <w:tcPr>
            <w:tcW w:type="dxa" w:w="3500"/>
            <w:tcMar>
              <w:top w:type="dxa" w:w="80"/>
              <w:left w:type="dxa" w:w="100"/>
              <w:bottom w:type="dxa" w:w="80"/>
              <w:right w:type="dxa" w:w="100"/>
            </w:tcMar>
          </w:tcPr>
          <w:p>
            <w:pPr>
              <w:spacing w:after="0" w:line="276"/>
            </w:pPr>
            <w:r>
              <w:rPr>
                <w:b w:val="false"/>
                <w:bCs w:val="false"/>
                <w:color w:val="000000"/>
                <w:sz w:val="20"/>
                <w:szCs w:val="20"/>
              </w:rPr>
              <w:t xml:space="preserve">Pay-per-minute cloud transcription; piano-focused</w:t>
            </w:r>
          </w:p>
        </w:tc>
      </w:tr>
      <w:tr>
        <w:tc>
          <w:tcPr>
            <w:tcW w:type="dxa" w:w="2200"/>
            <w:tcMar>
              <w:top w:type="dxa" w:w="80"/>
              <w:left w:type="dxa" w:w="100"/>
              <w:bottom w:type="dxa" w:w="80"/>
              <w:right w:type="dxa" w:w="100"/>
            </w:tcMar>
          </w:tcPr>
          <w:p>
            <w:pPr>
              <w:spacing w:after="0" w:line="276"/>
            </w:pPr>
            <w:r>
              <w:rPr>
                <w:b w:val="false"/>
                <w:bCs w:val="false"/>
                <w:color w:val="000000"/>
                <w:sz w:val="20"/>
                <w:szCs w:val="20"/>
              </w:rPr>
              <w:t xml:space="preserve">MuseScore + plugins</w:t>
            </w:r>
          </w:p>
        </w:tc>
        <w:tc>
          <w:tcPr>
            <w:tcW w:type="dxa" w:w="2400"/>
            <w:tcMar>
              <w:top w:type="dxa" w:w="80"/>
              <w:left w:type="dxa" w:w="100"/>
              <w:bottom w:type="dxa" w:w="80"/>
              <w:right w:type="dxa" w:w="100"/>
            </w:tcMar>
          </w:tcPr>
          <w:p>
            <w:pPr>
              <w:spacing w:after="0" w:line="276"/>
            </w:pPr>
            <w:r>
              <w:rPr>
                <w:b w:val="false"/>
                <w:bCs w:val="false"/>
                <w:color w:val="000000"/>
                <w:sz w:val="20"/>
                <w:szCs w:val="20"/>
              </w:rPr>
              <w:t xml:space="preserve">Desktop</w:t>
            </w:r>
          </w:p>
        </w:tc>
        <w:tc>
          <w:tcPr>
            <w:tcW w:type="dxa" w:w="1700"/>
            <w:tcMar>
              <w:top w:type="dxa" w:w="80"/>
              <w:left w:type="dxa" w:w="100"/>
              <w:bottom w:type="dxa" w:w="80"/>
              <w:right w:type="dxa" w:w="100"/>
            </w:tcMar>
          </w:tcPr>
          <w:p>
            <w:pPr>
              <w:spacing w:after="0" w:line="276"/>
            </w:pPr>
            <w:r>
              <w:rPr>
                <w:b w:val="false"/>
                <w:bCs w:val="false"/>
                <w:color w:val="000000"/>
                <w:sz w:val="20"/>
                <w:szCs w:val="20"/>
              </w:rPr>
              <w:t xml:space="preserve">Partial (plugins)</w:t>
            </w:r>
          </w:p>
        </w:tc>
        <w:tc>
          <w:tcPr>
            <w:tcW w:type="dxa" w:w="3500"/>
            <w:tcMar>
              <w:top w:type="dxa" w:w="80"/>
              <w:left w:type="dxa" w:w="100"/>
              <w:bottom w:type="dxa" w:w="80"/>
              <w:right w:type="dxa" w:w="100"/>
            </w:tcMar>
          </w:tcPr>
          <w:p>
            <w:pPr>
              <w:spacing w:after="0" w:line="276"/>
            </w:pPr>
            <w:r>
              <w:rPr>
                <w:b w:val="false"/>
                <w:bCs w:val="false"/>
                <w:color w:val="000000"/>
                <w:sz w:val="20"/>
                <w:szCs w:val="20"/>
              </w:rPr>
              <w:t xml:space="preserve">Notation editor, not a transcriber; solfa via community plugins only</w:t>
            </w:r>
          </w:p>
        </w:tc>
      </w:tr>
      <w:tr>
        <w:tc>
          <w:tcPr>
            <w:tcW w:type="dxa" w:w="2200"/>
            <w:tcMar>
              <w:top w:type="dxa" w:w="80"/>
              <w:left w:type="dxa" w:w="100"/>
              <w:bottom w:type="dxa" w:w="80"/>
              <w:right w:type="dxa" w:w="100"/>
            </w:tcMar>
          </w:tcPr>
          <w:p>
            <w:pPr>
              <w:spacing w:after="0" w:line="276"/>
            </w:pPr>
            <w:r>
              <w:rPr>
                <w:b w:val="false"/>
                <w:bCs w:val="false"/>
                <w:color w:val="000000"/>
                <w:sz w:val="20"/>
                <w:szCs w:val="20"/>
              </w:rPr>
              <w:t xml:space="preserve">NoteFusion</w:t>
            </w:r>
          </w:p>
        </w:tc>
        <w:tc>
          <w:tcPr>
            <w:tcW w:type="dxa" w:w="2400"/>
            <w:tcMar>
              <w:top w:type="dxa" w:w="80"/>
              <w:left w:type="dxa" w:w="100"/>
              <w:bottom w:type="dxa" w:w="80"/>
              <w:right w:type="dxa" w:w="100"/>
            </w:tcMar>
          </w:tcPr>
          <w:p>
            <w:pPr>
              <w:spacing w:after="0" w:line="276"/>
            </w:pPr>
            <w:r>
              <w:rPr>
                <w:b w:val="false"/>
                <w:bCs w:val="false"/>
                <w:color w:val="000000"/>
                <w:sz w:val="20"/>
                <w:szCs w:val="20"/>
              </w:rPr>
              <w:t xml:space="preserve">Android-first</w:t>
            </w:r>
          </w:p>
        </w:tc>
        <w:tc>
          <w:tcPr>
            <w:tcW w:type="dxa" w:w="1700"/>
            <w:tcMar>
              <w:top w:type="dxa" w:w="80"/>
              <w:left w:type="dxa" w:w="100"/>
              <w:bottom w:type="dxa" w:w="80"/>
              <w:right w:type="dxa" w:w="100"/>
            </w:tcMar>
          </w:tcPr>
          <w:p>
            <w:pPr>
              <w:spacing w:after="0" w:line="276"/>
            </w:pPr>
            <w:r>
              <w:rPr>
                <w:b w:val="false"/>
                <w:bCs w:val="false"/>
                <w:color w:val="000000"/>
                <w:sz w:val="20"/>
                <w:szCs w:val="20"/>
              </w:rPr>
              <w:t xml:space="preserve">Yes — core feature</w:t>
            </w:r>
          </w:p>
        </w:tc>
        <w:tc>
          <w:tcPr>
            <w:tcW w:type="dxa" w:w="3500"/>
            <w:tcMar>
              <w:top w:type="dxa" w:w="80"/>
              <w:left w:type="dxa" w:w="100"/>
              <w:bottom w:type="dxa" w:w="80"/>
              <w:right w:type="dxa" w:w="100"/>
            </w:tcMar>
          </w:tcPr>
          <w:p>
            <w:pPr>
              <w:spacing w:after="0" w:line="276"/>
            </w:pPr>
            <w:r>
              <w:rPr>
                <w:b w:val="false"/>
                <w:bCs w:val="false"/>
                <w:color w:val="000000"/>
                <w:sz w:val="20"/>
                <w:szCs w:val="20"/>
              </w:rPr>
              <w:t xml:space="preserve">One-tap mobile transcription with native dual notation</w:t>
            </w:r>
          </w:p>
        </w:tc>
      </w:tr>
    </w:tbl>
    <w:p>
      <w:pPr>
        <w:spacing w:after="160"/>
      </w:pPr>
    </w:p>
    <w:p>
      <w:pPr>
        <w:pStyle w:val="Heading1"/>
        <w:spacing w:after="160" w:before="320"/>
      </w:pPr>
      <w:r>
        <w:rPr>
          <w:b/>
          <w:bCs/>
          <w:color w:val="1B2A4A"/>
          <w:sz w:val="30"/>
          <w:szCs w:val="30"/>
        </w:rPr>
        <w:t xml:space="preserve">10. Risks and Assumptions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5000"/>
      </w:tblGrid>
      <w:tr>
        <w:trPr>
          <w:tblHeader/>
        </w:trPr>
        <w:tc>
          <w:tcPr>
            <w:tcW w:type="dxa" w:w="3600"/>
            <w:shd w:fill="1B2A4A" w:val="clear"/>
            <w:tcMar>
              <w:top w:type="dxa" w:w="80"/>
              <w:left w:type="dxa" w:w="100"/>
              <w:bottom w:type="dxa" w:w="80"/>
              <w:right w:type="dxa" w:w="100"/>
            </w:tcMar>
          </w:tcPr>
          <w:p>
            <w:pPr>
              <w:spacing w:after="0" w:line="276"/>
            </w:pPr>
            <w:r>
              <w:rPr>
                <w:b/>
                <w:bCs/>
                <w:color w:val="FFFFFF"/>
                <w:sz w:val="20"/>
                <w:szCs w:val="20"/>
              </w:rPr>
              <w:t xml:space="preserve">Risk</w:t>
            </w:r>
          </w:p>
        </w:tc>
        <w:tc>
          <w:tcPr>
            <w:tcW w:type="dxa" w:w="1200"/>
            <w:shd w:fill="1B2A4A" w:val="clear"/>
            <w:tcMar>
              <w:top w:type="dxa" w:w="80"/>
              <w:left w:type="dxa" w:w="100"/>
              <w:bottom w:type="dxa" w:w="80"/>
              <w:right w:type="dxa" w:w="100"/>
            </w:tcMar>
          </w:tcPr>
          <w:p>
            <w:pPr>
              <w:spacing w:after="0" w:line="276"/>
            </w:pPr>
            <w:r>
              <w:rPr>
                <w:b/>
                <w:bCs/>
                <w:color w:val="FFFFFF"/>
                <w:sz w:val="20"/>
                <w:szCs w:val="20"/>
              </w:rPr>
              <w:t xml:space="preserve">Impact</w:t>
            </w:r>
          </w:p>
        </w:tc>
        <w:tc>
          <w:tcPr>
            <w:tcW w:type="dxa" w:w="5000"/>
            <w:shd w:fill="1B2A4A" w:val="clear"/>
            <w:tcMar>
              <w:top w:type="dxa" w:w="80"/>
              <w:left w:type="dxa" w:w="100"/>
              <w:bottom w:type="dxa" w:w="80"/>
              <w:right w:type="dxa" w:w="100"/>
            </w:tcMar>
          </w:tcPr>
          <w:p>
            <w:pPr>
              <w:spacing w:after="0" w:line="276"/>
            </w:pPr>
            <w:r>
              <w:rPr>
                <w:b/>
                <w:bCs/>
                <w:color w:val="FFFFFF"/>
                <w:sz w:val="20"/>
                <w:szCs w:val="20"/>
              </w:rPr>
              <w:t xml:space="preserve">Mitigation</w:t>
            </w:r>
          </w:p>
        </w:tc>
      </w:tr>
      <w:tr>
        <w:tc>
          <w:tcPr>
            <w:tcW w:type="dxa" w:w="3600"/>
            <w:tcMar>
              <w:top w:type="dxa" w:w="80"/>
              <w:left w:type="dxa" w:w="100"/>
              <w:bottom w:type="dxa" w:w="80"/>
              <w:right w:type="dxa" w:w="100"/>
            </w:tcMar>
          </w:tcPr>
          <w:p>
            <w:pPr>
              <w:spacing w:after="0" w:line="276"/>
            </w:pPr>
            <w:r>
              <w:rPr>
                <w:b w:val="false"/>
                <w:bCs w:val="false"/>
                <w:color w:val="000000"/>
                <w:sz w:val="20"/>
                <w:szCs w:val="20"/>
              </w:rPr>
              <w:t xml:space="preserve">Transcription accuracy disappoints on noisy, real-world audio (phone mics, church reverb, congregational noise)</w:t>
            </w:r>
          </w:p>
        </w:tc>
        <w:tc>
          <w:tcPr>
            <w:tcW w:type="dxa" w:w="1200"/>
            <w:tcMar>
              <w:top w:type="dxa" w:w="80"/>
              <w:left w:type="dxa" w:w="100"/>
              <w:bottom w:type="dxa" w:w="80"/>
              <w:right w:type="dxa" w:w="100"/>
            </w:tcMar>
          </w:tcPr>
          <w:p>
            <w:pPr>
              <w:spacing w:after="0" w:line="276"/>
            </w:pPr>
            <w:r>
              <w:rPr>
                <w:b w:val="false"/>
                <w:bCs w:val="false"/>
                <w:color w:val="000000"/>
                <w:sz w:val="20"/>
                <w:szCs w:val="20"/>
              </w:rPr>
              <w:t xml:space="preserve">High</w:t>
            </w:r>
          </w:p>
        </w:tc>
        <w:tc>
          <w:tcPr>
            <w:tcW w:type="dxa" w:w="5000"/>
            <w:tcMar>
              <w:top w:type="dxa" w:w="80"/>
              <w:left w:type="dxa" w:w="100"/>
              <w:bottom w:type="dxa" w:w="80"/>
              <w:right w:type="dxa" w:w="100"/>
            </w:tcMar>
          </w:tcPr>
          <w:p>
            <w:pPr>
              <w:spacing w:after="0" w:line="276"/>
            </w:pPr>
            <w:r>
              <w:rPr>
                <w:b w:val="false"/>
                <w:bCs w:val="false"/>
                <w:color w:val="000000"/>
                <w:sz w:val="20"/>
                <w:szCs w:val="20"/>
              </w:rPr>
              <w:t xml:space="preserve">Set expectations in UX; guide users to record close to the source; show confidence indicators; make correction fast; improve models iteratively</w:t>
            </w:r>
          </w:p>
        </w:tc>
      </w:tr>
      <w:tr>
        <w:tc>
          <w:tcPr>
            <w:tcW w:type="dxa" w:w="3600"/>
            <w:tcMar>
              <w:top w:type="dxa" w:w="80"/>
              <w:left w:type="dxa" w:w="100"/>
              <w:bottom w:type="dxa" w:w="80"/>
              <w:right w:type="dxa" w:w="100"/>
            </w:tcMar>
          </w:tcPr>
          <w:p>
            <w:pPr>
              <w:spacing w:after="0" w:line="276"/>
            </w:pPr>
            <w:r>
              <w:rPr>
                <w:b w:val="false"/>
                <w:bCs w:val="false"/>
                <w:color w:val="000000"/>
                <w:sz w:val="20"/>
                <w:szCs w:val="20"/>
              </w:rPr>
              <w:t xml:space="preserve">Wrong key detection corrupts all solfa output</w:t>
            </w:r>
          </w:p>
        </w:tc>
        <w:tc>
          <w:tcPr>
            <w:tcW w:type="dxa" w:w="1200"/>
            <w:tcMar>
              <w:top w:type="dxa" w:w="80"/>
              <w:left w:type="dxa" w:w="100"/>
              <w:bottom w:type="dxa" w:w="80"/>
              <w:right w:type="dxa" w:w="100"/>
            </w:tcMar>
          </w:tcPr>
          <w:p>
            <w:pPr>
              <w:spacing w:after="0" w:line="276"/>
            </w:pPr>
            <w:r>
              <w:rPr>
                <w:b w:val="false"/>
                <w:bCs w:val="false"/>
                <w:color w:val="000000"/>
                <w:sz w:val="20"/>
                <w:szCs w:val="20"/>
              </w:rPr>
              <w:t xml:space="preserve">High</w:t>
            </w:r>
          </w:p>
        </w:tc>
        <w:tc>
          <w:tcPr>
            <w:tcW w:type="dxa" w:w="5000"/>
            <w:tcMar>
              <w:top w:type="dxa" w:w="80"/>
              <w:left w:type="dxa" w:w="100"/>
              <w:bottom w:type="dxa" w:w="80"/>
              <w:right w:type="dxa" w:w="100"/>
            </w:tcMar>
          </w:tcPr>
          <w:p>
            <w:pPr>
              <w:spacing w:after="0" w:line="276"/>
            </w:pPr>
            <w:r>
              <w:rPr>
                <w:b w:val="false"/>
                <w:bCs w:val="false"/>
                <w:color w:val="000000"/>
                <w:sz w:val="20"/>
                <w:szCs w:val="20"/>
              </w:rPr>
              <w:t xml:space="preserve">Always show detected key prominently; one-tap key change instantly re-renders solfa; allow 'Doh is X' manual entry before recording</w:t>
            </w:r>
          </w:p>
        </w:tc>
      </w:tr>
      <w:tr>
        <w:tc>
          <w:tcPr>
            <w:tcW w:type="dxa" w:w="3600"/>
            <w:tcMar>
              <w:top w:type="dxa" w:w="80"/>
              <w:left w:type="dxa" w:w="100"/>
              <w:bottom w:type="dxa" w:w="80"/>
              <w:right w:type="dxa" w:w="100"/>
            </w:tcMar>
          </w:tcPr>
          <w:p>
            <w:pPr>
              <w:spacing w:after="0" w:line="276"/>
            </w:pPr>
            <w:r>
              <w:rPr>
                <w:b w:val="false"/>
                <w:bCs w:val="false"/>
                <w:color w:val="000000"/>
                <w:sz w:val="20"/>
                <w:szCs w:val="20"/>
              </w:rPr>
              <w:t xml:space="preserve">Complex polyphony (full band + vocals) transcribes poorly</w:t>
            </w:r>
          </w:p>
        </w:tc>
        <w:tc>
          <w:tcPr>
            <w:tcW w:type="dxa" w:w="1200"/>
            <w:tcMar>
              <w:top w:type="dxa" w:w="80"/>
              <w:left w:type="dxa" w:w="100"/>
              <w:bottom w:type="dxa" w:w="80"/>
              <w:right w:type="dxa" w:w="100"/>
            </w:tcMar>
          </w:tcPr>
          <w:p>
            <w:pPr>
              <w:spacing w:after="0" w:line="276"/>
            </w:pPr>
            <w:r>
              <w:rPr>
                <w:b w:val="false"/>
                <w:bCs w:val="false"/>
                <w:color w:val="000000"/>
                <w:sz w:val="20"/>
                <w:szCs w:val="20"/>
              </w:rPr>
              <w:t xml:space="preserve">Medium</w:t>
            </w:r>
          </w:p>
        </w:tc>
        <w:tc>
          <w:tcPr>
            <w:tcW w:type="dxa" w:w="5000"/>
            <w:tcMar>
              <w:top w:type="dxa" w:w="80"/>
              <w:left w:type="dxa" w:w="100"/>
              <w:bottom w:type="dxa" w:w="80"/>
              <w:right w:type="dxa" w:w="100"/>
            </w:tcMar>
          </w:tcPr>
          <w:p>
            <w:pPr>
              <w:spacing w:after="0" w:line="276"/>
            </w:pPr>
            <w:r>
              <w:rPr>
                <w:b w:val="false"/>
                <w:bCs w:val="false"/>
                <w:color w:val="000000"/>
                <w:sz w:val="20"/>
                <w:szCs w:val="20"/>
              </w:rPr>
              <w:t xml:space="preserve">Position v1 for melody, solo instrument, and piano; source separation is an explicit v2 feature, not an implied v1 promise</w:t>
            </w:r>
          </w:p>
        </w:tc>
      </w:tr>
      <w:tr>
        <w:tc>
          <w:tcPr>
            <w:tcW w:type="dxa" w:w="3600"/>
            <w:tcMar>
              <w:top w:type="dxa" w:w="80"/>
              <w:left w:type="dxa" w:w="100"/>
              <w:bottom w:type="dxa" w:w="80"/>
              <w:right w:type="dxa" w:w="100"/>
            </w:tcMar>
          </w:tcPr>
          <w:p>
            <w:pPr>
              <w:spacing w:after="0" w:line="276"/>
            </w:pPr>
            <w:r>
              <w:rPr>
                <w:b w:val="false"/>
                <w:bCs w:val="false"/>
                <w:color w:val="000000"/>
                <w:sz w:val="20"/>
                <w:szCs w:val="20"/>
              </w:rPr>
              <w:t xml:space="preserve">Server costs grow with usage</w:t>
            </w:r>
          </w:p>
        </w:tc>
        <w:tc>
          <w:tcPr>
            <w:tcW w:type="dxa" w:w="1200"/>
            <w:tcMar>
              <w:top w:type="dxa" w:w="80"/>
              <w:left w:type="dxa" w:w="100"/>
              <w:bottom w:type="dxa" w:w="80"/>
              <w:right w:type="dxa" w:w="100"/>
            </w:tcMar>
          </w:tcPr>
          <w:p>
            <w:pPr>
              <w:spacing w:after="0" w:line="276"/>
            </w:pPr>
            <w:r>
              <w:rPr>
                <w:b w:val="false"/>
                <w:bCs w:val="false"/>
                <w:color w:val="000000"/>
                <w:sz w:val="20"/>
                <w:szCs w:val="20"/>
              </w:rPr>
              <w:t xml:space="preserve">Medium</w:t>
            </w:r>
          </w:p>
        </w:tc>
        <w:tc>
          <w:tcPr>
            <w:tcW w:type="dxa" w:w="5000"/>
            <w:tcMar>
              <w:top w:type="dxa" w:w="80"/>
              <w:left w:type="dxa" w:w="100"/>
              <w:bottom w:type="dxa" w:w="80"/>
              <w:right w:type="dxa" w:w="100"/>
            </w:tcMar>
          </w:tcPr>
          <w:p>
            <w:pPr>
              <w:spacing w:after="0" w:line="276"/>
            </w:pPr>
            <w:r>
              <w:rPr>
                <w:b w:val="false"/>
                <w:bCs w:val="false"/>
                <w:color w:val="000000"/>
                <w:sz w:val="20"/>
                <w:szCs w:val="20"/>
              </w:rPr>
              <w:t xml:space="preserve">Efficient model (CPU-friendly), audio compression, queueing; migrate heavy users to on-device inference</w:t>
            </w:r>
          </w:p>
        </w:tc>
      </w:tr>
      <w:tr>
        <w:tc>
          <w:tcPr>
            <w:tcW w:type="dxa" w:w="3600"/>
            <w:tcMar>
              <w:top w:type="dxa" w:w="80"/>
              <w:left w:type="dxa" w:w="100"/>
              <w:bottom w:type="dxa" w:w="80"/>
              <w:right w:type="dxa" w:w="100"/>
            </w:tcMar>
          </w:tcPr>
          <w:p>
            <w:pPr>
              <w:spacing w:after="0" w:line="276"/>
            </w:pPr>
            <w:r>
              <w:rPr>
                <w:b w:val="false"/>
                <w:bCs w:val="false"/>
                <w:color w:val="000000"/>
                <w:sz w:val="20"/>
                <w:szCs w:val="20"/>
              </w:rPr>
              <w:t xml:space="preserve">Users expect Shazam-style song identification</w:t>
            </w:r>
          </w:p>
        </w:tc>
        <w:tc>
          <w:tcPr>
            <w:tcW w:type="dxa" w:w="1200"/>
            <w:tcMar>
              <w:top w:type="dxa" w:w="80"/>
              <w:left w:type="dxa" w:w="100"/>
              <w:bottom w:type="dxa" w:w="80"/>
              <w:right w:type="dxa" w:w="100"/>
            </w:tcMar>
          </w:tcPr>
          <w:p>
            <w:pPr>
              <w:spacing w:after="0" w:line="276"/>
            </w:pPr>
            <w:r>
              <w:rPr>
                <w:b w:val="false"/>
                <w:bCs w:val="false"/>
                <w:color w:val="000000"/>
                <w:sz w:val="20"/>
                <w:szCs w:val="20"/>
              </w:rPr>
              <w:t xml:space="preserve">Low/Medium</w:t>
            </w:r>
          </w:p>
        </w:tc>
        <w:tc>
          <w:tcPr>
            <w:tcW w:type="dxa" w:w="5000"/>
            <w:tcMar>
              <w:top w:type="dxa" w:w="80"/>
              <w:left w:type="dxa" w:w="100"/>
              <w:bottom w:type="dxa" w:w="80"/>
              <w:right w:type="dxa" w:w="100"/>
            </w:tcMar>
          </w:tcPr>
          <w:p>
            <w:pPr>
              <w:spacing w:after="0" w:line="276"/>
            </w:pPr>
            <w:r>
              <w:rPr>
                <w:b w:val="false"/>
                <w:bCs w:val="false"/>
                <w:color w:val="000000"/>
                <w:sz w:val="20"/>
                <w:szCs w:val="20"/>
              </w:rPr>
              <w:t xml:space="preserve">Onboarding copy and store listing explicitly frame the product as 'writes down the notes', not 'names the song'</w:t>
            </w:r>
          </w:p>
        </w:tc>
      </w:tr>
    </w:tbl>
    <w:p>
      <w:pPr>
        <w:spacing w:after="160"/>
      </w:pPr>
    </w:p>
    <w:p>
      <w:pPr>
        <w:pStyle w:val="Heading2"/>
        <w:spacing w:after="120" w:before="240"/>
      </w:pPr>
      <w:r>
        <w:rPr>
          <w:b/>
          <w:bCs/>
          <w:color w:val="0E7490"/>
          <w:sz w:val="25"/>
          <w:szCs w:val="25"/>
        </w:rPr>
        <w:t xml:space="preserve">Key Assumptions to Validate</w:t>
      </w:r>
    </w:p>
    <w:p>
      <w:pPr>
        <w:pStyle w:val="ListParagraph"/>
        <w:numPr>
          <w:ilvl w:val="0"/>
          <w:numId w:val="3"/>
        </w:numPr>
        <w:spacing w:after="80" w:line="300"/>
      </w:pPr>
      <w:r>
        <w:rPr>
          <w:sz w:val="22"/>
          <w:szCs w:val="22"/>
        </w:rPr>
        <w:t xml:space="preserve">Solfa-literate musicians will trust and use machine-generated solfa (validate with choir-director interviews and printed sample outputs).</w:t>
      </w:r>
    </w:p>
    <w:p>
      <w:pPr>
        <w:pStyle w:val="ListParagraph"/>
        <w:numPr>
          <w:ilvl w:val="0"/>
          <w:numId w:val="3"/>
        </w:numPr>
        <w:spacing w:after="80" w:line="300"/>
      </w:pPr>
      <w:r>
        <w:rPr>
          <w:sz w:val="22"/>
          <w:szCs w:val="22"/>
        </w:rPr>
        <w:t xml:space="preserve">One-tap capture on a phone mic yields audio clean enough for usable transcription in typical rehearsal settings.</w:t>
      </w:r>
    </w:p>
    <w:p>
      <w:pPr>
        <w:pStyle w:val="ListParagraph"/>
        <w:numPr>
          <w:ilvl w:val="0"/>
          <w:numId w:val="3"/>
        </w:numPr>
        <w:spacing w:after="80" w:line="300"/>
      </w:pPr>
      <w:r>
        <w:rPr>
          <w:sz w:val="22"/>
          <w:szCs w:val="22"/>
        </w:rPr>
        <w:t xml:space="preserve">Users will pay a modest subscription for longer recordings and choir features.</w:t>
      </w:r>
    </w:p>
    <w:p>
      <w:pPr>
        <w:pStyle w:val="Heading1"/>
        <w:spacing w:after="160" w:before="320"/>
      </w:pPr>
      <w:r>
        <w:rPr>
          <w:b/>
          <w:bCs/>
          <w:color w:val="1B2A4A"/>
          <w:sz w:val="30"/>
          <w:szCs w:val="30"/>
        </w:rPr>
        <w:t xml:space="preserve">11. Idea Validation Plan (Pre-Build and MVP)</w:t>
      </w:r>
    </w:p>
    <w:p>
      <w:pPr>
        <w:pStyle w:val="ListParagraph"/>
        <w:numPr>
          <w:ilvl w:val="0"/>
          <w:numId w:val="3"/>
        </w:numPr>
        <w:spacing w:after="80" w:line="300"/>
      </w:pPr>
      <w:r>
        <w:rPr>
          <w:sz w:val="22"/>
          <w:szCs w:val="22"/>
        </w:rPr>
        <w:t xml:space="preserve">Week 1–2 — Technical spike: run open-source transcription models (see TRD) on 20 representative recordings — solo keyboard, sung melody, choir rehearsal, phone-mic quality — and manually grade the output. This answers the 'is the core magic good enough?' question before any app code is written.</w:t>
      </w:r>
    </w:p>
    <w:p>
      <w:pPr>
        <w:pStyle w:val="ListParagraph"/>
        <w:numPr>
          <w:ilvl w:val="0"/>
          <w:numId w:val="3"/>
        </w:numPr>
        <w:spacing w:after="80" w:line="300"/>
      </w:pPr>
      <w:r>
        <w:rPr>
          <w:sz w:val="22"/>
          <w:szCs w:val="22"/>
        </w:rPr>
        <w:t xml:space="preserve">Week 2–3 — Concept test: show 10–15 choir directors/instrumentalists a clickable prototype plus real sample outputs (staff + solfa PDFs generated in the spike). Measure willingness to use and pay.</w:t>
      </w:r>
    </w:p>
    <w:p>
      <w:pPr>
        <w:pStyle w:val="ListParagraph"/>
        <w:numPr>
          <w:ilvl w:val="0"/>
          <w:numId w:val="3"/>
        </w:numPr>
        <w:spacing w:after="80" w:line="300"/>
      </w:pPr>
      <w:r>
        <w:rPr>
          <w:sz w:val="22"/>
          <w:szCs w:val="22"/>
        </w:rPr>
        <w:t xml:space="preserve">Week 4–10 — Build MVP per this PRD and the TRD.</w:t>
      </w:r>
    </w:p>
    <w:p>
      <w:pPr>
        <w:pStyle w:val="ListParagraph"/>
        <w:numPr>
          <w:ilvl w:val="0"/>
          <w:numId w:val="3"/>
        </w:numPr>
        <w:spacing w:after="80" w:line="300"/>
      </w:pPr>
      <w:r>
        <w:rPr>
          <w:sz w:val="22"/>
          <w:szCs w:val="22"/>
        </w:rPr>
        <w:t xml:space="preserve">Week 10–14 — Closed beta with 30–50 musicians from local choirs and music communities; instrument the funnel (record → transcribe → edit → export).</w:t>
      </w:r>
    </w:p>
    <w:p>
      <w:pPr>
        <w:pStyle w:val="ListParagraph"/>
        <w:numPr>
          <w:ilvl w:val="0"/>
          <w:numId w:val="3"/>
        </w:numPr>
        <w:spacing w:after="80" w:line="300"/>
      </w:pPr>
      <w:r>
        <w:rPr>
          <w:sz w:val="22"/>
          <w:szCs w:val="22"/>
        </w:rPr>
        <w:t xml:space="preserve">Decision gate: proceed to public Play Store launch if activation ≥ 40% and median quality rating ≥ 3.5/5 in beta.</w:t>
      </w:r>
    </w:p>
    <w:p>
      <w:pPr>
        <w:pStyle w:val="Heading1"/>
        <w:spacing w:after="160" w:before="320"/>
      </w:pPr>
      <w:r>
        <w:rPr>
          <w:b/>
          <w:bCs/>
          <w:color w:val="1B2A4A"/>
          <w:sz w:val="30"/>
          <w:szCs w:val="30"/>
        </w:rPr>
        <w:t xml:space="preserve">12. Open Questions</w:t>
      </w:r>
    </w:p>
    <w:p>
      <w:pPr>
        <w:pStyle w:val="ListParagraph"/>
        <w:numPr>
          <w:ilvl w:val="0"/>
          <w:numId w:val="2"/>
        </w:numPr>
        <w:spacing w:after="80" w:line="300"/>
      </w:pPr>
      <w:r>
        <w:rPr>
          <w:sz w:val="22"/>
          <w:szCs w:val="22"/>
        </w:rPr>
        <w:t xml:space="preserve">Should solfa rhythm marks follow the full Curwen notation (colons, dots, dashes) in v1, or a simplified bar-and-beat layout? (Recommend simplified in v1, Curwen-complete as a premium 'formal solfa' export.)</w:t>
      </w:r>
    </w:p>
    <w:p>
      <w:pPr>
        <w:pStyle w:val="ListParagraph"/>
        <w:numPr>
          <w:ilvl w:val="0"/>
          <w:numId w:val="2"/>
        </w:numPr>
        <w:spacing w:after="80" w:line="300"/>
      </w:pPr>
      <w:r>
        <w:rPr>
          <w:sz w:val="22"/>
          <w:szCs w:val="22"/>
        </w:rPr>
        <w:t xml:space="preserve">Minimum recording length UX — should there be a guided 'record 8 bars' mode for beginners?</w:t>
      </w:r>
    </w:p>
    <w:p>
      <w:pPr>
        <w:pStyle w:val="ListParagraph"/>
        <w:numPr>
          <w:ilvl w:val="0"/>
          <w:numId w:val="2"/>
        </w:numPr>
        <w:spacing w:after="80" w:line="300"/>
      </w:pPr>
      <w:r>
        <w:rPr>
          <w:sz w:val="22"/>
          <w:szCs w:val="22"/>
        </w:rPr>
        <w:t xml:space="preserve">Brand/legal check on the name 'NoteFusion' for Play Store and trademark availability.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2026-07-04T00:34:05.405Z</dcterms:created>
  <dcterms:modified xsi:type="dcterms:W3CDTF">2026-07-04T00:34:05.420Z</dcterms:modified>
</cp:coreProperties>
</file>

<file path=docProps/custom.xml><?xml version="1.0" encoding="utf-8"?>
<Properties xmlns="http://schemas.openxmlformats.org/officeDocument/2006/custom-properties" xmlns:vt="http://schemas.openxmlformats.org/officeDocument/2006/docPropsVTypes"/>
</file>