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specifications-graded-units"/>
    <w:p>
      <w:pPr>
        <w:pStyle w:val="Heading2"/>
      </w:pPr>
      <w:r>
        <w:t xml:space="preserve">Specifications-Graded Units</w:t>
      </w:r>
    </w:p>
    <w:p>
      <w:pPr>
        <w:pStyle w:val="FirstParagraph"/>
      </w:pPr>
      <w:r>
        <w:t xml:space="preserve">The homework sequence is</w:t>
      </w:r>
      <w:r>
        <w:t xml:space="preserve"> </w:t>
      </w:r>
      <w:r>
        <w:rPr>
          <w:b/>
          <w:bCs/>
        </w:rPr>
        <w:t xml:space="preserve">7 deliverables</w:t>
      </w:r>
      <w:r>
        <w:t xml:space="preserve"> </w:t>
      </w:r>
      <w:r>
        <w:t xml:space="preserve">— Unit 0 plus six core units, of which your</w:t>
      </w:r>
      <w:r>
        <w:t xml:space="preserve"> </w:t>
      </w:r>
      <w:r>
        <w:rPr>
          <w:b/>
          <w:bCs/>
        </w:rPr>
        <w:t xml:space="preserve">best five count</w:t>
      </w:r>
      <w:r>
        <w:t xml:space="preserve"> </w:t>
      </w:r>
      <w:r>
        <w:t xml:space="preserve">(one drop built in; Unit 0 is always required) —</w:t>
      </w:r>
      <w:r>
        <w:t xml:space="preserve"> </w:t>
      </w:r>
      <w:r>
        <w:t xml:space="preserve">consolidated into connected arcs rather than isolated weekly problem sets. Every deliverable</w:t>
      </w:r>
      <w:r>
        <w:t xml:space="preserve"> </w:t>
      </w:r>
      <w:r>
        <w:t xml:space="preserve">is graded</w:t>
      </w:r>
      <w:r>
        <w:t xml:space="preserve"> </w:t>
      </w:r>
      <w:r>
        <w:rPr>
          <w:b/>
          <w:bCs/>
        </w:rPr>
        <w:t xml:space="preserve">pass / not-yet</w:t>
      </w:r>
      <w:r>
        <w:t xml:space="preserve"> </w:t>
      </w:r>
      <w:r>
        <w:t xml:space="preserve">against published specifications: no points, no partial credit,</w:t>
      </w:r>
      <w:r>
        <w:t xml:space="preserve"> </w:t>
      </w:r>
      <w:r>
        <w:t xml:space="preserve">revise-and-resubmit.</w:t>
      </w:r>
    </w:p>
    <w:p>
      <w:pPr>
        <w:pStyle w:val="BodyText"/>
      </w:pPr>
      <w:r>
        <w:t xml:space="preserve">Each unit page below gives its objectives, what you’ll build, prerequisites, what to submit,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rubric</w:t>
      </w:r>
      <w:r>
        <w:t xml:space="preserve"> </w:t>
      </w:r>
      <w:r>
        <w:t xml:space="preserve">(the same pages are posted in</w:t>
      </w:r>
      <w:r>
        <w:t xml:space="preserve"> </w:t>
      </w:r>
      <w:r>
        <w:rPr>
          <w:b/>
          <w:bCs/>
        </w:rPr>
        <w:t xml:space="preserve">D2L</w:t>
      </w:r>
      <w:r>
        <w:t xml:space="preserve">). Assignment materials — starter</w:t>
      </w:r>
      <w:r>
        <w:t xml:space="preserve"> </w:t>
      </w:r>
      <w:r>
        <w:t xml:space="preserve">code, autograder, data — are distributed via</w:t>
      </w:r>
      <w:r>
        <w:t xml:space="preserve"> </w:t>
      </w:r>
      <w:r>
        <w:rPr>
          <w:b/>
          <w:bCs/>
        </w:rPr>
        <w:t xml:space="preserve">Classroom 50</w:t>
      </w:r>
      <w:r>
        <w:t xml:space="preserve">; your submissions live in a</w:t>
      </w:r>
      <w:r>
        <w:t xml:space="preserve"> </w:t>
      </w:r>
      <w:r>
        <w:t xml:space="preserve">private repo visible only to you and the instructor. See</w:t>
      </w:r>
      <w:r>
        <w:t xml:space="preserve"> </w:t>
      </w:r>
      <w:hyperlink r:id="rId20">
        <w:r>
          <w:rPr>
            <w:rStyle w:val="Hyperlink"/>
          </w:rPr>
          <w:t xml:space="preserve">Assessment</w:t>
        </w:r>
      </w:hyperlink>
      <w:r>
        <w:t xml:space="preserve"> </w:t>
      </w:r>
      <w:r>
        <w:t xml:space="preserve">for how</w:t>
      </w:r>
      <w:r>
        <w:t xml:space="preserve"> </w:t>
      </w:r>
      <w:r>
        <w:t xml:space="preserve">the core units set your letter grade: A = any 5, B = 4, C = 3, D = 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053"/>
        <w:gridCol w:w="410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You’ll build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21">
              <w:r>
                <w:rPr>
                  <w:rStyle w:val="Hyperlink"/>
                </w:rPr>
                <w:t xml:space="preserve">U0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Tooling &amp; Reproducibility</w:t>
            </w:r>
          </w:p>
        </w:tc>
        <w:tc>
          <w:tcPr/>
          <w:p>
            <w:pPr>
              <w:pStyle w:val="Compact"/>
            </w:pPr>
            <w:r>
              <w:t xml:space="preserve">A working pipeline (clone →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→ render → push) and the seed policy every later unit assumes.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22">
              <w:r>
                <w:rPr>
                  <w:rStyle w:val="Hyperlink"/>
                </w:rPr>
                <w:t xml:space="preserve">U1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Linear Models &amp; Model Selection</w:t>
            </w:r>
          </w:p>
        </w:tc>
        <w:tc>
          <w:tcPr/>
          <w:p>
            <w:pPr>
              <w:pStyle w:val="Compact"/>
            </w:pPr>
            <w:r>
              <w:t xml:space="preserve">One dataset, three fits: scalar least squares → matrix normal equations → cross-validated polynomial.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23">
              <w:r>
                <w:rPr>
                  <w:rStyle w:val="Hyperlink"/>
                </w:rPr>
                <w:t xml:space="preserve">U2a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Probability &amp; Estimation Foundations (I)</w:t>
            </w:r>
          </w:p>
        </w:tc>
        <w:tc>
          <w:tcPr/>
          <w:p>
            <w:pPr>
              <w:pStyle w:val="Compact"/>
            </w:pPr>
            <w:r>
              <w:t xml:space="preserve">Poisson probabilities + derivations: the Bernoulli MLE and its Fisher-information floor.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24">
              <w:r>
                <w:rPr>
                  <w:rStyle w:val="Hyperlink"/>
                </w:rPr>
                <w:t xml:space="preserve">U2b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Probability &amp; Estimation Foundations (II)</w:t>
            </w:r>
          </w:p>
        </w:tc>
        <w:tc>
          <w:tcPr/>
          <w:p>
            <w:pPr>
              <w:pStyle w:val="Compact"/>
            </w:pPr>
            <w:r>
              <w:t xml:space="preserve">Written-only: the matrix-calculus identities Unit 1 applies, Gaussian independence, MLE unbiasedness, Beta moments.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25">
              <w:r>
                <w:rPr>
                  <w:rStyle w:val="Hyperlink"/>
                </w:rPr>
                <w:t xml:space="preserve">U3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Monte Carlo &amp; Estimators</w:t>
            </w:r>
          </w:p>
        </w:tc>
        <w:tc>
          <w:tcPr/>
          <w:p>
            <w:pPr>
              <w:pStyle w:val="Compact"/>
            </w:pPr>
            <w:r>
              <w:t xml:space="preserve">Estimating 𝔼[f(X)] and π by sampling; O(1/√N) convergence and the curse of dimensionality.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26">
              <w:r>
                <w:rPr>
                  <w:rStyle w:val="Hyperlink"/>
                </w:rPr>
                <w:t xml:space="preserve">U4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Bayesian Inference, Exact &amp; Conjugate</w:t>
            </w:r>
          </w:p>
        </w:tc>
        <w:tc>
          <w:tcPr/>
          <w:p>
            <w:pPr>
              <w:pStyle w:val="Compact"/>
            </w:pPr>
            <w:r>
              <w:t xml:space="preserve">Predictive-variance error bars, the exact coin-game posterior, Inverse-Gamma conjugacy.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27">
              <w:r>
                <w:rPr>
                  <w:rStyle w:val="Hyperlink"/>
                </w:rPr>
                <w:t xml:space="preserve">U5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Approximate Bayesian Inference</w:t>
            </w:r>
          </w:p>
        </w:tc>
        <w:tc>
          <w:tcPr/>
          <w:p>
            <w:pPr>
              <w:pStyle w:val="Compact"/>
            </w:pPr>
            <w:r>
              <w:t xml:space="preserve">One posterior four ways: PGM, MAP (Newton), Laplace, MCMC — and why mode ≠ mean.</w:t>
            </w:r>
          </w:p>
        </w:tc>
      </w:tr>
    </w:tbl>
    <w:bookmarkEnd w:id="28"/>
    <w:bookmarkStart w:id="29" w:name="how-the-units-connect"/>
    <w:p>
      <w:pPr>
        <w:pStyle w:val="Heading2"/>
      </w:pPr>
      <w:r>
        <w:t xml:space="preserve">How the units connect</w:t>
      </w:r>
    </w:p>
    <w:p>
      <w:pPr>
        <w:pStyle w:val="FirstParagraph"/>
      </w:pPr>
      <w:r>
        <w:t xml:space="preserve">The sequence spirals rather than resets:</w:t>
      </w:r>
      <w:r>
        <w:t xml:space="preserve"> </w:t>
      </w:r>
      <w:r>
        <w:rPr>
          <w:b/>
          <w:bCs/>
        </w:rPr>
        <w:t xml:space="preserve">U0</w:t>
      </w:r>
      <w:r>
        <w:t xml:space="preserve">’s seed policy is graded again in U3 and U5 ·</w:t>
      </w:r>
      <w:r>
        <w:t xml:space="preserve"> </w:t>
      </w:r>
      <w:r>
        <w:rPr>
          <w:b/>
          <w:bCs/>
        </w:rPr>
        <w:t xml:space="preserve">U2b proves</w:t>
      </w:r>
      <w:r>
        <w:t xml:space="preserve"> </w:t>
      </w:r>
      <w:r>
        <w:t xml:space="preserve">the matrix-calculus identities</w:t>
      </w:r>
      <w:r>
        <w:t xml:space="preserve"> </w:t>
      </w:r>
      <w:r>
        <w:rPr>
          <w:b/>
          <w:bCs/>
        </w:rPr>
        <w:t xml:space="preserve">U1 applies</w:t>
      </w:r>
      <w:r>
        <w:t xml:space="preserve"> </w:t>
      </w:r>
      <w:r>
        <w:t xml:space="preserve">· U2b’s Beta moments power</w:t>
      </w:r>
      <w:r>
        <w:t xml:space="preserve"> </w:t>
      </w:r>
      <w:r>
        <w:rPr>
          <w:b/>
          <w:bCs/>
        </w:rPr>
        <w:t xml:space="preserve">U4</w:t>
      </w:r>
      <w:r>
        <w:t xml:space="preserve">’s conjugate priors, and its Hessian identity returns in</w:t>
      </w:r>
      <w:r>
        <w:t xml:space="preserve"> </w:t>
      </w:r>
      <w:r>
        <w:rPr>
          <w:b/>
          <w:bCs/>
        </w:rPr>
        <w:t xml:space="preserve">U5</w:t>
      </w:r>
      <w:r>
        <w:t xml:space="preserve"> </w:t>
      </w:r>
      <w:r>
        <w:t xml:space="preserve">· U4’s exact posteriors</w:t>
      </w:r>
      <w:r>
        <w:t xml:space="preserve"> </w:t>
      </w:r>
      <w:r>
        <w:t xml:space="preserve">become the targets</w:t>
      </w:r>
      <w:r>
        <w:t xml:space="preserve"> </w:t>
      </w:r>
      <w:r>
        <w:rPr>
          <w:b/>
          <w:bCs/>
        </w:rPr>
        <w:t xml:space="preserve">U5 approximates</w:t>
      </w:r>
      <w:r>
        <w:t xml:space="preserve"> </w:t>
      </w:r>
      <w:r>
        <w:t xml:space="preserve">· U4 + U5 together are the method menu the</w:t>
      </w:r>
      <w:r>
        <w:t xml:space="preserve"> </w:t>
      </w:r>
      <w:r>
        <w:t xml:space="preserve">project’s Part 2 draws on.</w:t>
      </w:r>
    </w:p>
    <w:bookmarkEnd w:id="29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ssessment.qmd" TargetMode="External" /><Relationship Type="http://schemas.openxmlformats.org/officeDocument/2006/relationships/hyperlink" Id="rId21" Target="homeworks/unit0.html" TargetMode="External" /><Relationship Type="http://schemas.openxmlformats.org/officeDocument/2006/relationships/hyperlink" Id="rId22" Target="homeworks/unit1.html" TargetMode="External" /><Relationship Type="http://schemas.openxmlformats.org/officeDocument/2006/relationships/hyperlink" Id="rId23" Target="homeworks/unit2a.html" TargetMode="External" /><Relationship Type="http://schemas.openxmlformats.org/officeDocument/2006/relationships/hyperlink" Id="rId24" Target="homeworks/unit2b.html" TargetMode="External" /><Relationship Type="http://schemas.openxmlformats.org/officeDocument/2006/relationships/hyperlink" Id="rId25" Target="homeworks/unit3.html" TargetMode="External" /><Relationship Type="http://schemas.openxmlformats.org/officeDocument/2006/relationships/hyperlink" Id="rId26" Target="homeworks/unit4.html" TargetMode="External" /><Relationship Type="http://schemas.openxmlformats.org/officeDocument/2006/relationships/hyperlink" Id="rId27" Target="homeworks/unit5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ssessment.qmd" TargetMode="External" /><Relationship Type="http://schemas.openxmlformats.org/officeDocument/2006/relationships/hyperlink" Id="rId21" Target="homeworks/unit0.html" TargetMode="External" /><Relationship Type="http://schemas.openxmlformats.org/officeDocument/2006/relationships/hyperlink" Id="rId22" Target="homeworks/unit1.html" TargetMode="External" /><Relationship Type="http://schemas.openxmlformats.org/officeDocument/2006/relationships/hyperlink" Id="rId23" Target="homeworks/unit2a.html" TargetMode="External" /><Relationship Type="http://schemas.openxmlformats.org/officeDocument/2006/relationships/hyperlink" Id="rId24" Target="homeworks/unit2b.html" TargetMode="External" /><Relationship Type="http://schemas.openxmlformats.org/officeDocument/2006/relationships/hyperlink" Id="rId25" Target="homeworks/unit3.html" TargetMode="External" /><Relationship Type="http://schemas.openxmlformats.org/officeDocument/2006/relationships/hyperlink" Id="rId26" Target="homeworks/unit4.html" TargetMode="External" /><Relationship Type="http://schemas.openxmlformats.org/officeDocument/2006/relationships/hyperlink" Id="rId27" Target="homeworks/unit5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Homeworks</dc:title>
  <dc:creator/>
  <cp:keywords/>
  <dcterms:created xsi:type="dcterms:W3CDTF">2026-08-13T14:58:06Z</dcterms:created>
  <dcterms:modified xsi:type="dcterms:W3CDTF">2026-08-13T14:58:06Z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ge-layout">
    <vt:lpwstr>full</vt:lpwstr>
  </property>
  <property fmtid="{D5CDD505-2E9C-101B-9397-08002B2CF9AE}" pid="9" name="toc-title">
    <vt:lpwstr>Table of contents</vt:lpwstr>
  </property>
</Properties>
</file>