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BA5" w:rsidRDefault="00FB7BA5"/>
    <w:p w:rsidR="000D20B2" w:rsidRPr="002136FE" w:rsidRDefault="002136FE" w:rsidP="002136FE">
      <w:pPr>
        <w:spacing w:line="360" w:lineRule="auto"/>
        <w:jc w:val="center"/>
        <w:rPr>
          <w:rFonts w:ascii="Courier" w:hAnsi="Courier" w:cs="Arial"/>
          <w:b/>
          <w:sz w:val="32"/>
        </w:rPr>
      </w:pPr>
      <w:r w:rsidRPr="002136FE">
        <w:rPr>
          <w:rFonts w:ascii="Courier" w:hAnsi="Courier" w:cs="Arial"/>
          <w:b/>
          <w:sz w:val="32"/>
        </w:rPr>
        <w:t xml:space="preserve">Planes Patrocinio - </w:t>
      </w:r>
      <w:r w:rsidR="000D20B2" w:rsidRPr="002136FE">
        <w:rPr>
          <w:rFonts w:ascii="Courier" w:hAnsi="Courier" w:cs="Arial"/>
          <w:b/>
          <w:sz w:val="32"/>
        </w:rPr>
        <w:t xml:space="preserve">Java Day Guatemala </w:t>
      </w:r>
      <w:r w:rsidRPr="002136FE">
        <w:rPr>
          <w:rFonts w:ascii="Courier" w:hAnsi="Courier" w:cs="Arial"/>
          <w:b/>
          <w:sz w:val="32"/>
        </w:rPr>
        <w:t>2014</w:t>
      </w:r>
    </w:p>
    <w:p w:rsidR="000D20B2" w:rsidRPr="002136FE" w:rsidRDefault="000D20B2" w:rsidP="002136FE">
      <w:pPr>
        <w:spacing w:line="360" w:lineRule="auto"/>
        <w:ind w:firstLine="720"/>
        <w:jc w:val="both"/>
        <w:rPr>
          <w:rFonts w:ascii="Courier" w:hAnsi="Courier" w:cs="Arial"/>
          <w:sz w:val="24"/>
        </w:rPr>
      </w:pPr>
      <w:r w:rsidRPr="002136FE">
        <w:rPr>
          <w:rFonts w:ascii="Courier" w:hAnsi="Courier" w:cs="Arial"/>
          <w:sz w:val="24"/>
        </w:rPr>
        <w:t xml:space="preserve">El Java Day Guatemala es un evento que reúne a los líderes y entusiastas de Java en Guatemala. El evento es promovido por la Comunidad de Usuarios de Java en Guatemala, </w:t>
      </w:r>
      <w:proofErr w:type="spellStart"/>
      <w:r w:rsidRPr="002136FE">
        <w:rPr>
          <w:rFonts w:ascii="Courier" w:hAnsi="Courier" w:cs="Arial"/>
          <w:b/>
          <w:sz w:val="24"/>
        </w:rPr>
        <w:t>GuateJUG</w:t>
      </w:r>
      <w:proofErr w:type="spellEnd"/>
      <w:r w:rsidRPr="002136FE">
        <w:rPr>
          <w:rFonts w:ascii="Courier" w:hAnsi="Courier" w:cs="Arial"/>
          <w:sz w:val="24"/>
        </w:rPr>
        <w:t xml:space="preserve"> la cual promueve reuniones mensuales abiertas a todo público en las cuales se discuten temas relacionados con tecnologías de punta Java y emergente. El objetivo del </w:t>
      </w:r>
      <w:proofErr w:type="spellStart"/>
      <w:r w:rsidRPr="002136FE">
        <w:rPr>
          <w:rFonts w:ascii="Courier" w:hAnsi="Courier" w:cs="Arial"/>
          <w:sz w:val="24"/>
        </w:rPr>
        <w:t>GuateJUG</w:t>
      </w:r>
      <w:proofErr w:type="spellEnd"/>
      <w:r w:rsidRPr="002136FE">
        <w:rPr>
          <w:rFonts w:ascii="Courier" w:hAnsi="Courier" w:cs="Arial"/>
          <w:sz w:val="24"/>
        </w:rPr>
        <w:t xml:space="preserve"> es la difusión del conocimiento de tecnologías de vanguardia, al mismo tiempo, promueve en Guatemala, un espacio para los líderes de la tecnología como los ya existentes en las grandes ciudades del mundo. Las actividades que promueve </w:t>
      </w:r>
      <w:proofErr w:type="spellStart"/>
      <w:r w:rsidRPr="002136FE">
        <w:rPr>
          <w:rFonts w:ascii="Courier" w:hAnsi="Courier" w:cs="Arial"/>
          <w:sz w:val="24"/>
        </w:rPr>
        <w:t>GuateJUG</w:t>
      </w:r>
      <w:proofErr w:type="spellEnd"/>
      <w:r w:rsidRPr="002136FE">
        <w:rPr>
          <w:rFonts w:ascii="Courier" w:hAnsi="Courier" w:cs="Arial"/>
          <w:sz w:val="24"/>
        </w:rPr>
        <w:t xml:space="preserve"> tienen siempre admisión gratuita dado que su fin no es lucrar sino promover el desarrollo tecnológico en el país. </w:t>
      </w:r>
    </w:p>
    <w:p w:rsidR="000D20B2" w:rsidRPr="002136FE" w:rsidRDefault="000D20B2" w:rsidP="002136FE">
      <w:pPr>
        <w:spacing w:line="360" w:lineRule="auto"/>
        <w:ind w:firstLine="720"/>
        <w:jc w:val="both"/>
        <w:rPr>
          <w:rFonts w:ascii="Courier" w:hAnsi="Courier" w:cs="Arial"/>
          <w:sz w:val="24"/>
        </w:rPr>
      </w:pPr>
      <w:r w:rsidRPr="002136FE">
        <w:rPr>
          <w:rFonts w:ascii="Courier" w:hAnsi="Courier" w:cs="Arial"/>
          <w:sz w:val="24"/>
        </w:rPr>
        <w:t>La primera edición del Java Day se llevó a cabo en Octubre del año 2011 con el objetivo de crear un espacio en el cual los usuarios de Java y sus tecnologías pudieran reunirse a intercambiar conocimientos. Personas de diferentes lugares del país se dieron cita en este evento. Más de 25 charlas fueron propuestas a los asistentes. Gracias al éxito alcanzado con este evento el movimiento de Java en Guatemala fue puesto en el plano internacional, logrando como resultado haber sido contactados por líderes de Oracle interesados en conocer los detalles de nuestra organización.</w:t>
      </w:r>
    </w:p>
    <w:p w:rsidR="000D20B2" w:rsidRPr="002136FE" w:rsidRDefault="000D20B2" w:rsidP="002136FE">
      <w:pPr>
        <w:spacing w:line="360" w:lineRule="auto"/>
        <w:ind w:firstLine="720"/>
        <w:jc w:val="both"/>
        <w:rPr>
          <w:rFonts w:ascii="Courier" w:hAnsi="Courier" w:cs="Arial"/>
          <w:sz w:val="24"/>
        </w:rPr>
      </w:pPr>
      <w:r w:rsidRPr="002136FE">
        <w:rPr>
          <w:rFonts w:ascii="Courier" w:hAnsi="Courier" w:cs="Arial"/>
          <w:sz w:val="24"/>
        </w:rPr>
        <w:t xml:space="preserve">La segunda edición de este evento se llevó a cabo en el 2012, en las instalaciones del Centro </w:t>
      </w:r>
      <w:proofErr w:type="spellStart"/>
      <w:r w:rsidRPr="002136FE">
        <w:rPr>
          <w:rFonts w:ascii="Courier" w:hAnsi="Courier" w:cs="Arial"/>
          <w:sz w:val="24"/>
        </w:rPr>
        <w:t>TICs</w:t>
      </w:r>
      <w:proofErr w:type="spellEnd"/>
      <w:r w:rsidRPr="002136FE">
        <w:rPr>
          <w:rFonts w:ascii="Courier" w:hAnsi="Courier" w:cs="Arial"/>
          <w:sz w:val="24"/>
        </w:rPr>
        <w:t xml:space="preserve"> del INTECAP. Con la experiencia del año anterior se llegó a una audiencia de más de 150 personas que disfrutaron de más de 30 charlas de alta calidad. Este evento permitió la consolidación de la comunidad de Java en Guatemala. </w:t>
      </w:r>
    </w:p>
    <w:p w:rsidR="000D20B2" w:rsidRPr="002136FE" w:rsidRDefault="000D20B2" w:rsidP="002136FE">
      <w:pPr>
        <w:spacing w:line="360" w:lineRule="auto"/>
        <w:ind w:firstLine="720"/>
        <w:jc w:val="both"/>
        <w:rPr>
          <w:rFonts w:ascii="Courier" w:hAnsi="Courier" w:cs="Arial"/>
          <w:sz w:val="24"/>
        </w:rPr>
      </w:pPr>
      <w:r w:rsidRPr="002136FE">
        <w:rPr>
          <w:rFonts w:ascii="Courier" w:hAnsi="Courier" w:cs="Arial"/>
          <w:sz w:val="24"/>
        </w:rPr>
        <w:t>La tercera edición del Java Day Guatemala se llevó a cabo en noviembre de 2013, en las instalaciones de INTECAP Centro TICS</w:t>
      </w:r>
      <w:r w:rsidR="002726E0" w:rsidRPr="002136FE">
        <w:rPr>
          <w:rFonts w:ascii="Courier" w:hAnsi="Courier" w:cs="Arial"/>
          <w:sz w:val="24"/>
        </w:rPr>
        <w:t>. Luego de tres años consecutivos se llegó a una audiencia de más de 250 personas, en esta edición se llegó a difundir el evento a los medios escritos como a las radios nacionales.</w:t>
      </w:r>
    </w:p>
    <w:p w:rsidR="000D20B2" w:rsidRPr="002136FE" w:rsidRDefault="000D20B2" w:rsidP="002136FE">
      <w:pPr>
        <w:spacing w:line="360" w:lineRule="auto"/>
        <w:ind w:firstLine="720"/>
        <w:jc w:val="both"/>
        <w:rPr>
          <w:rFonts w:ascii="Courier" w:hAnsi="Courier" w:cs="Arial"/>
          <w:sz w:val="24"/>
        </w:rPr>
      </w:pPr>
      <w:r w:rsidRPr="002136FE">
        <w:rPr>
          <w:rFonts w:ascii="Courier" w:hAnsi="Courier" w:cs="Arial"/>
          <w:sz w:val="24"/>
        </w:rPr>
        <w:lastRenderedPageBreak/>
        <w:t xml:space="preserve">La cuarta edición del Java Day Guatemala se llevará a cabo el </w:t>
      </w:r>
      <w:r w:rsidRPr="002136FE">
        <w:rPr>
          <w:rFonts w:ascii="Courier" w:hAnsi="Courier" w:cs="Arial"/>
          <w:b/>
          <w:sz w:val="24"/>
        </w:rPr>
        <w:t>1</w:t>
      </w:r>
      <w:r w:rsidR="00072F57">
        <w:rPr>
          <w:rFonts w:ascii="Courier" w:hAnsi="Courier" w:cs="Arial"/>
          <w:b/>
          <w:sz w:val="24"/>
        </w:rPr>
        <w:t>1</w:t>
      </w:r>
      <w:r w:rsidRPr="002136FE">
        <w:rPr>
          <w:rFonts w:ascii="Courier" w:hAnsi="Courier" w:cs="Arial"/>
          <w:b/>
          <w:sz w:val="24"/>
        </w:rPr>
        <w:t xml:space="preserve"> de octubre</w:t>
      </w:r>
      <w:r w:rsidRPr="002136FE">
        <w:rPr>
          <w:rFonts w:ascii="Courier" w:hAnsi="Courier" w:cs="Arial"/>
          <w:sz w:val="24"/>
        </w:rPr>
        <w:t xml:space="preserve"> de este año en las instalaciones de </w:t>
      </w:r>
      <w:r w:rsidRPr="002136FE">
        <w:rPr>
          <w:rFonts w:ascii="Courier" w:hAnsi="Courier" w:cs="Arial"/>
          <w:b/>
          <w:sz w:val="24"/>
        </w:rPr>
        <w:t>INTECAP Centro TICS</w:t>
      </w:r>
      <w:r w:rsidRPr="002136FE">
        <w:rPr>
          <w:rFonts w:ascii="Courier" w:hAnsi="Courier" w:cs="Arial"/>
          <w:sz w:val="24"/>
        </w:rPr>
        <w:t xml:space="preserve"> Calle del Estadio Mateo Flores 8-79 Zona 5 en el horario de 9:00 AM a 17:00 PM. Esta vez se contará con el apoyo de conferencistas nacionales e invitados internacionales reconocidos en el ámbito de las </w:t>
      </w:r>
      <w:r w:rsidR="004F7C08" w:rsidRPr="002136FE">
        <w:rPr>
          <w:rFonts w:ascii="Courier" w:hAnsi="Courier" w:cs="Arial"/>
          <w:sz w:val="24"/>
        </w:rPr>
        <w:t>tecnologías Java. Se espera una asistencia que supere las 300 personas, marca</w:t>
      </w:r>
      <w:r w:rsidR="002136FE">
        <w:rPr>
          <w:rFonts w:ascii="Courier" w:hAnsi="Courier" w:cs="Arial"/>
          <w:sz w:val="24"/>
        </w:rPr>
        <w:t>ndo un crecimiento importante en los</w:t>
      </w:r>
      <w:r w:rsidR="004F7C08" w:rsidRPr="002136FE">
        <w:rPr>
          <w:rFonts w:ascii="Courier" w:hAnsi="Courier" w:cs="Arial"/>
          <w:sz w:val="24"/>
        </w:rPr>
        <w:t xml:space="preserve"> líderes de tecnología. </w:t>
      </w:r>
    </w:p>
    <w:p w:rsidR="004F7C08" w:rsidRPr="002136FE" w:rsidRDefault="004F7C08" w:rsidP="002136FE">
      <w:pPr>
        <w:spacing w:line="360" w:lineRule="auto"/>
        <w:ind w:firstLine="720"/>
        <w:jc w:val="both"/>
        <w:rPr>
          <w:rFonts w:ascii="Courier" w:hAnsi="Courier" w:cs="Arial"/>
          <w:sz w:val="24"/>
        </w:rPr>
      </w:pPr>
    </w:p>
    <w:p w:rsidR="004F7C08" w:rsidRPr="002136FE" w:rsidRDefault="004F7C08" w:rsidP="002136FE">
      <w:pPr>
        <w:spacing w:line="360" w:lineRule="auto"/>
        <w:ind w:firstLine="720"/>
        <w:jc w:val="both"/>
        <w:rPr>
          <w:rFonts w:ascii="Courier" w:hAnsi="Courier" w:cs="Arial"/>
          <w:sz w:val="24"/>
        </w:rPr>
      </w:pPr>
      <w:r w:rsidRPr="002136FE">
        <w:rPr>
          <w:rFonts w:ascii="Courier" w:hAnsi="Courier" w:cs="Arial"/>
          <w:sz w:val="24"/>
        </w:rPr>
        <w:t xml:space="preserve">El Java Day presenta una oportunidad para promover tecnologías y marcas con líderes de opinión tecnológica en Guatemala. Quienes asisten a estas charlas son hombre y mujeres que buscan adoptar tecnologías nuevas y distribuyen sus conocimientos a sus compañeros o colegas. </w:t>
      </w:r>
    </w:p>
    <w:p w:rsidR="00687E83" w:rsidRPr="002136FE" w:rsidRDefault="004F7C08" w:rsidP="002136FE">
      <w:pPr>
        <w:spacing w:line="360" w:lineRule="auto"/>
        <w:ind w:firstLine="720"/>
        <w:rPr>
          <w:rFonts w:ascii="Courier" w:hAnsi="Courier" w:cs="Arial"/>
          <w:sz w:val="24"/>
        </w:rPr>
      </w:pPr>
      <w:r w:rsidRPr="002136FE">
        <w:rPr>
          <w:rFonts w:ascii="Courier" w:hAnsi="Courier" w:cs="Arial"/>
          <w:sz w:val="24"/>
        </w:rPr>
        <w:t>Además de dar a conocer sus productos y/o tecnología con una entusiasta comunidad de pro</w:t>
      </w:r>
      <w:r w:rsidR="00687E83" w:rsidRPr="002136FE">
        <w:rPr>
          <w:rFonts w:ascii="Courier" w:hAnsi="Courier" w:cs="Arial"/>
          <w:sz w:val="24"/>
        </w:rPr>
        <w:t xml:space="preserve">fesionales, </w:t>
      </w:r>
      <w:proofErr w:type="spellStart"/>
      <w:r w:rsidR="00687E83" w:rsidRPr="002136FE">
        <w:rPr>
          <w:rFonts w:ascii="Courier" w:hAnsi="Courier" w:cs="Arial"/>
          <w:sz w:val="24"/>
        </w:rPr>
        <w:t>GuateJUG</w:t>
      </w:r>
      <w:proofErr w:type="spellEnd"/>
      <w:r w:rsidR="00687E83" w:rsidRPr="002136FE">
        <w:rPr>
          <w:rFonts w:ascii="Courier" w:hAnsi="Courier" w:cs="Arial"/>
          <w:sz w:val="24"/>
        </w:rPr>
        <w:t xml:space="preserve"> ofrece a los patrocinadores:</w:t>
      </w:r>
    </w:p>
    <w:p w:rsidR="00072F57" w:rsidRDefault="00072F57" w:rsidP="002136FE">
      <w:pPr>
        <w:spacing w:line="360" w:lineRule="auto"/>
        <w:rPr>
          <w:rFonts w:ascii="Courier" w:hAnsi="Courier" w:cs="Arial"/>
          <w:b/>
          <w:sz w:val="28"/>
        </w:rPr>
      </w:pPr>
    </w:p>
    <w:p w:rsidR="00687E83" w:rsidRPr="002136FE" w:rsidRDefault="00687E83" w:rsidP="002136FE">
      <w:pPr>
        <w:spacing w:line="360" w:lineRule="auto"/>
        <w:rPr>
          <w:rFonts w:ascii="Courier" w:hAnsi="Courier" w:cs="Arial"/>
          <w:b/>
          <w:sz w:val="28"/>
        </w:rPr>
      </w:pPr>
      <w:bookmarkStart w:id="0" w:name="_GoBack"/>
      <w:bookmarkEnd w:id="0"/>
      <w:r w:rsidRPr="002136FE">
        <w:rPr>
          <w:rFonts w:ascii="Courier" w:hAnsi="Courier" w:cs="Arial"/>
          <w:b/>
          <w:sz w:val="28"/>
        </w:rPr>
        <w:t>Plan Platinum USD $500 (Java Master)</w:t>
      </w:r>
    </w:p>
    <w:p w:rsidR="000166BC" w:rsidRPr="002136FE" w:rsidRDefault="000166BC" w:rsidP="002136FE">
      <w:pPr>
        <w:pStyle w:val="ListParagraph"/>
        <w:numPr>
          <w:ilvl w:val="0"/>
          <w:numId w:val="2"/>
        </w:numPr>
        <w:spacing w:line="360" w:lineRule="auto"/>
        <w:rPr>
          <w:rFonts w:ascii="Courier" w:hAnsi="Courier" w:cs="Arial"/>
          <w:sz w:val="24"/>
        </w:rPr>
      </w:pPr>
      <w:r w:rsidRPr="002136FE">
        <w:rPr>
          <w:rFonts w:ascii="Courier" w:hAnsi="Courier" w:cs="Arial"/>
          <w:sz w:val="24"/>
        </w:rPr>
        <w:t>Logotipo en los diplomas de los conferencistas.</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Logotipo en los afiches promocionales del evento.</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Logotipo en la página oficial de Guate-JUG.</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Mención de la marca en la campaña de redes sociales.</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Espacio para banner del patrocinador en el auditorio principal y en el área de registro.</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Mención en la charla inaugural y charla de cierre.</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 xml:space="preserve">Logotipo en el material promocional que patrocine (Playeras, tazas, block de notas, </w:t>
      </w:r>
      <w:proofErr w:type="spellStart"/>
      <w:r w:rsidRPr="002136FE">
        <w:rPr>
          <w:rFonts w:ascii="Courier" w:hAnsi="Courier" w:cs="Arial"/>
          <w:sz w:val="24"/>
        </w:rPr>
        <w:t>usb</w:t>
      </w:r>
      <w:proofErr w:type="spellEnd"/>
      <w:r w:rsidRPr="002136FE">
        <w:rPr>
          <w:rFonts w:ascii="Courier" w:hAnsi="Courier" w:cs="Arial"/>
          <w:sz w:val="24"/>
        </w:rPr>
        <w:t xml:space="preserve">, </w:t>
      </w:r>
      <w:proofErr w:type="spellStart"/>
      <w:r w:rsidRPr="002136FE">
        <w:rPr>
          <w:rFonts w:ascii="Courier" w:hAnsi="Courier" w:cs="Arial"/>
          <w:sz w:val="24"/>
        </w:rPr>
        <w:t>etc</w:t>
      </w:r>
      <w:proofErr w:type="spellEnd"/>
      <w:r w:rsidRPr="002136FE">
        <w:rPr>
          <w:rFonts w:ascii="Courier" w:hAnsi="Courier" w:cs="Arial"/>
          <w:sz w:val="24"/>
        </w:rPr>
        <w:t>).</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Posibilidad de dar una charla sobre una tecnología de Java.</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Acceso a la base de datos de participantes del Java Day.</w:t>
      </w:r>
    </w:p>
    <w:p w:rsidR="00687E83" w:rsidRPr="002136FE" w:rsidRDefault="00687E83" w:rsidP="002136FE">
      <w:pPr>
        <w:pStyle w:val="ListParagraph"/>
        <w:numPr>
          <w:ilvl w:val="0"/>
          <w:numId w:val="2"/>
        </w:numPr>
        <w:spacing w:line="360" w:lineRule="auto"/>
        <w:rPr>
          <w:rFonts w:ascii="Courier" w:hAnsi="Courier" w:cs="Arial"/>
          <w:sz w:val="24"/>
        </w:rPr>
      </w:pPr>
      <w:r w:rsidRPr="002136FE">
        <w:rPr>
          <w:rFonts w:ascii="Courier" w:hAnsi="Courier" w:cs="Arial"/>
          <w:sz w:val="24"/>
        </w:rPr>
        <w:t xml:space="preserve">Espacio para Stand Promocional. </w:t>
      </w:r>
    </w:p>
    <w:p w:rsidR="00687E83" w:rsidRPr="00EA74F5" w:rsidRDefault="000166BC" w:rsidP="002136FE">
      <w:pPr>
        <w:spacing w:line="360" w:lineRule="auto"/>
        <w:rPr>
          <w:rFonts w:ascii="Courier" w:hAnsi="Courier" w:cs="Arial"/>
          <w:b/>
          <w:sz w:val="28"/>
        </w:rPr>
      </w:pPr>
      <w:r w:rsidRPr="00EA74F5">
        <w:rPr>
          <w:rFonts w:ascii="Courier" w:hAnsi="Courier" w:cs="Arial"/>
          <w:b/>
          <w:sz w:val="28"/>
        </w:rPr>
        <w:lastRenderedPageBreak/>
        <w:t xml:space="preserve">Plan </w:t>
      </w:r>
      <w:r w:rsidR="002136FE" w:rsidRPr="00EA74F5">
        <w:rPr>
          <w:rFonts w:ascii="Courier" w:hAnsi="Courier" w:cs="Arial"/>
          <w:b/>
          <w:sz w:val="28"/>
        </w:rPr>
        <w:t>Gold</w:t>
      </w:r>
      <w:r w:rsidRPr="00EA74F5">
        <w:rPr>
          <w:rFonts w:ascii="Courier" w:hAnsi="Courier" w:cs="Arial"/>
          <w:b/>
          <w:sz w:val="28"/>
        </w:rPr>
        <w:t xml:space="preserve"> USD $400 (Java Developer)</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Logotipo en los diplomas de los conferencistas.</w:t>
      </w:r>
    </w:p>
    <w:p w:rsidR="00687E83" w:rsidRPr="002136FE" w:rsidRDefault="00687E83" w:rsidP="002136FE">
      <w:pPr>
        <w:pStyle w:val="ListParagraph"/>
        <w:numPr>
          <w:ilvl w:val="0"/>
          <w:numId w:val="3"/>
        </w:numPr>
        <w:spacing w:line="360" w:lineRule="auto"/>
        <w:rPr>
          <w:rFonts w:ascii="Courier" w:hAnsi="Courier" w:cs="Arial"/>
          <w:sz w:val="24"/>
        </w:rPr>
      </w:pPr>
      <w:r w:rsidRPr="002136FE">
        <w:rPr>
          <w:rFonts w:ascii="Courier" w:hAnsi="Courier" w:cs="Arial"/>
          <w:sz w:val="24"/>
        </w:rPr>
        <w:t>Logotipo en los afiches promocionales del evento</w:t>
      </w:r>
      <w:r w:rsidR="000166BC" w:rsidRPr="002136FE">
        <w:rPr>
          <w:rFonts w:ascii="Courier" w:hAnsi="Courier" w:cs="Arial"/>
          <w:sz w:val="24"/>
        </w:rPr>
        <w:t>.</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Logotipo en la página oficial de Guate-JUG</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 xml:space="preserve">Mención de la marca en la campaña de redes sociales. </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 xml:space="preserve">Espacio para banner del patrocinador en </w:t>
      </w:r>
      <w:r w:rsidR="00EA74F5">
        <w:rPr>
          <w:rFonts w:ascii="Courier" w:hAnsi="Courier" w:cs="Arial"/>
          <w:sz w:val="24"/>
        </w:rPr>
        <w:t xml:space="preserve">un </w:t>
      </w:r>
      <w:r w:rsidRPr="002136FE">
        <w:rPr>
          <w:rFonts w:ascii="Courier" w:hAnsi="Courier" w:cs="Arial"/>
          <w:sz w:val="24"/>
        </w:rPr>
        <w:t xml:space="preserve">aula y en el área de registro. </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Mención en la charla inaugural y charla de cierre.</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Logotipo aparece en el material promocional que patrocine (Playeras, tazas, block de notas, USB, etc.)</w:t>
      </w:r>
    </w:p>
    <w:p w:rsidR="000166BC" w:rsidRPr="002136FE" w:rsidRDefault="000166BC" w:rsidP="002136FE">
      <w:pPr>
        <w:pStyle w:val="ListParagraph"/>
        <w:numPr>
          <w:ilvl w:val="0"/>
          <w:numId w:val="3"/>
        </w:numPr>
        <w:spacing w:line="360" w:lineRule="auto"/>
        <w:rPr>
          <w:rFonts w:ascii="Courier" w:hAnsi="Courier" w:cs="Arial"/>
          <w:sz w:val="24"/>
        </w:rPr>
      </w:pPr>
      <w:r w:rsidRPr="002136FE">
        <w:rPr>
          <w:rFonts w:ascii="Courier" w:hAnsi="Courier" w:cs="Arial"/>
          <w:sz w:val="24"/>
        </w:rPr>
        <w:t xml:space="preserve">Espacio para </w:t>
      </w:r>
      <w:proofErr w:type="spellStart"/>
      <w:r w:rsidRPr="002136FE">
        <w:rPr>
          <w:rFonts w:ascii="Courier" w:hAnsi="Courier" w:cs="Arial"/>
          <w:sz w:val="24"/>
        </w:rPr>
        <w:t>stan</w:t>
      </w:r>
      <w:proofErr w:type="spellEnd"/>
      <w:r w:rsidRPr="002136FE">
        <w:rPr>
          <w:rFonts w:ascii="Courier" w:hAnsi="Courier" w:cs="Arial"/>
          <w:sz w:val="24"/>
        </w:rPr>
        <w:t xml:space="preserve"> promocional. </w:t>
      </w:r>
    </w:p>
    <w:p w:rsidR="000166BC" w:rsidRPr="002136FE" w:rsidRDefault="000166BC" w:rsidP="002136FE">
      <w:pPr>
        <w:spacing w:line="360" w:lineRule="auto"/>
        <w:rPr>
          <w:rFonts w:ascii="Courier" w:hAnsi="Courier" w:cs="Arial"/>
          <w:sz w:val="24"/>
        </w:rPr>
      </w:pPr>
    </w:p>
    <w:p w:rsidR="000166BC" w:rsidRPr="00EA74F5" w:rsidRDefault="000166BC" w:rsidP="002136FE">
      <w:pPr>
        <w:spacing w:line="360" w:lineRule="auto"/>
        <w:rPr>
          <w:rFonts w:ascii="Courier" w:hAnsi="Courier" w:cs="Arial"/>
          <w:b/>
          <w:sz w:val="28"/>
        </w:rPr>
      </w:pPr>
      <w:r w:rsidRPr="00EA74F5">
        <w:rPr>
          <w:rFonts w:ascii="Courier" w:hAnsi="Courier" w:cs="Arial"/>
          <w:b/>
          <w:sz w:val="28"/>
        </w:rPr>
        <w:t>Plan Silver USD $300 (Java Associate)</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Logotipo en los diplomas de los conferencistas.</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Logotipo en la página oficial de Guate-JUG</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 xml:space="preserve">Mención de la marca en la campaña de redes sociales. </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Espacio para banner del patrocinador en el área de registro.</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 xml:space="preserve">Mención en la charla inaugural y charla de cierre. </w:t>
      </w:r>
    </w:p>
    <w:p w:rsidR="000166BC" w:rsidRPr="002136FE" w:rsidRDefault="000166BC" w:rsidP="002136FE">
      <w:pPr>
        <w:pStyle w:val="ListParagraph"/>
        <w:numPr>
          <w:ilvl w:val="0"/>
          <w:numId w:val="4"/>
        </w:numPr>
        <w:spacing w:line="360" w:lineRule="auto"/>
        <w:rPr>
          <w:rFonts w:ascii="Courier" w:hAnsi="Courier" w:cs="Arial"/>
          <w:sz w:val="24"/>
        </w:rPr>
      </w:pPr>
      <w:r w:rsidRPr="002136FE">
        <w:rPr>
          <w:rFonts w:ascii="Courier" w:hAnsi="Courier" w:cs="Arial"/>
          <w:sz w:val="24"/>
        </w:rPr>
        <w:t xml:space="preserve">Espacio para colocar material promocional (tarjetas, volantes, etc.) sobre la mesa de registro. </w:t>
      </w:r>
    </w:p>
    <w:p w:rsidR="004F7C08" w:rsidRPr="002136FE" w:rsidRDefault="004F7C08" w:rsidP="002136FE">
      <w:pPr>
        <w:autoSpaceDE w:val="0"/>
        <w:autoSpaceDN w:val="0"/>
        <w:adjustRightInd w:val="0"/>
        <w:spacing w:after="0" w:line="360" w:lineRule="auto"/>
        <w:rPr>
          <w:rFonts w:ascii="Courier" w:hAnsi="Courier" w:cs="Arial"/>
          <w:sz w:val="24"/>
        </w:rPr>
      </w:pPr>
    </w:p>
    <w:p w:rsidR="00EA74F5" w:rsidRDefault="004F7C08" w:rsidP="00EA74F5">
      <w:pPr>
        <w:autoSpaceDE w:val="0"/>
        <w:autoSpaceDN w:val="0"/>
        <w:adjustRightInd w:val="0"/>
        <w:spacing w:after="0" w:line="360" w:lineRule="auto"/>
        <w:jc w:val="center"/>
        <w:rPr>
          <w:rFonts w:ascii="Courier" w:hAnsi="Courier" w:cs="Arial"/>
          <w:b/>
          <w:sz w:val="24"/>
        </w:rPr>
      </w:pPr>
      <w:r w:rsidRPr="00EA74F5">
        <w:rPr>
          <w:rFonts w:ascii="Courier" w:hAnsi="Courier" w:cs="Arial"/>
          <w:b/>
          <w:sz w:val="24"/>
        </w:rPr>
        <w:t>Agradecemos su contribución al crecimiento de</w:t>
      </w:r>
    </w:p>
    <w:p w:rsidR="004F7C08" w:rsidRPr="00EA74F5" w:rsidRDefault="004F7C08" w:rsidP="00EA74F5">
      <w:pPr>
        <w:autoSpaceDE w:val="0"/>
        <w:autoSpaceDN w:val="0"/>
        <w:adjustRightInd w:val="0"/>
        <w:spacing w:after="0" w:line="360" w:lineRule="auto"/>
        <w:jc w:val="center"/>
        <w:rPr>
          <w:rFonts w:ascii="Courier" w:hAnsi="Courier" w:cs="Arial"/>
          <w:b/>
          <w:sz w:val="24"/>
        </w:rPr>
      </w:pPr>
      <w:r w:rsidRPr="00EA74F5">
        <w:rPr>
          <w:rFonts w:ascii="Courier" w:hAnsi="Courier" w:cs="Arial"/>
          <w:b/>
          <w:sz w:val="24"/>
        </w:rPr>
        <w:t>Guatemala a través de la tecnología</w:t>
      </w:r>
    </w:p>
    <w:p w:rsidR="004F7C08" w:rsidRDefault="004F7C08" w:rsidP="000D20B2">
      <w:pPr>
        <w:ind w:firstLine="720"/>
      </w:pPr>
    </w:p>
    <w:sectPr w:rsidR="004F7C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049" w:rsidRDefault="005D7049" w:rsidP="002726E0">
      <w:pPr>
        <w:spacing w:after="0" w:line="240" w:lineRule="auto"/>
      </w:pPr>
      <w:r>
        <w:separator/>
      </w:r>
    </w:p>
  </w:endnote>
  <w:endnote w:type="continuationSeparator" w:id="0">
    <w:p w:rsidR="005D7049" w:rsidRDefault="005D7049" w:rsidP="0027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02EF" w:usb1="4000205A" w:usb2="00000000" w:usb3="00000000" w:csb0="00000017" w:csb1="00000000"/>
  </w:font>
  <w:font w:name="Courier">
    <w:panose1 w:val="02070409020205020404"/>
    <w:charset w:val="00"/>
    <w:family w:val="auto"/>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6E0" w:rsidRDefault="002726E0">
    <w:pPr>
      <w:pStyle w:val="Footer"/>
    </w:pPr>
    <w:r>
      <w:rPr>
        <w:noProof/>
        <w:lang w:val="en-US"/>
      </w:rPr>
      <w:drawing>
        <wp:anchor distT="0" distB="0" distL="114300" distR="114300" simplePos="0" relativeHeight="251658240" behindDoc="1" locked="0" layoutInCell="1" allowOverlap="1">
          <wp:simplePos x="0" y="0"/>
          <wp:positionH relativeFrom="column">
            <wp:posOffset>-821055</wp:posOffset>
          </wp:positionH>
          <wp:positionV relativeFrom="paragraph">
            <wp:posOffset>-223520</wp:posOffset>
          </wp:positionV>
          <wp:extent cx="2230755" cy="743585"/>
          <wp:effectExtent l="0" t="0" r="0" b="0"/>
          <wp:wrapThrough wrapText="bothSides">
            <wp:wrapPolygon edited="0">
              <wp:start x="0" y="0"/>
              <wp:lineTo x="0" y="21028"/>
              <wp:lineTo x="5534" y="21028"/>
              <wp:lineTo x="5349" y="17708"/>
              <wp:lineTo x="15679" y="17708"/>
              <wp:lineTo x="20659" y="14941"/>
              <wp:lineTo x="20844" y="7747"/>
              <wp:lineTo x="16601" y="5534"/>
              <wp:lineTo x="31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esponsive1.png"/>
                  <pic:cNvPicPr/>
                </pic:nvPicPr>
                <pic:blipFill>
                  <a:blip r:embed="rId1">
                    <a:extLst>
                      <a:ext uri="{28A0092B-C50C-407E-A947-70E740481C1C}">
                        <a14:useLocalDpi xmlns:a14="http://schemas.microsoft.com/office/drawing/2010/main" val="0"/>
                      </a:ext>
                    </a:extLst>
                  </a:blip>
                  <a:stretch>
                    <a:fillRect/>
                  </a:stretch>
                </pic:blipFill>
                <pic:spPr>
                  <a:xfrm>
                    <a:off x="0" y="0"/>
                    <a:ext cx="2230755" cy="7435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049" w:rsidRDefault="005D7049" w:rsidP="002726E0">
      <w:pPr>
        <w:spacing w:after="0" w:line="240" w:lineRule="auto"/>
      </w:pPr>
      <w:r>
        <w:separator/>
      </w:r>
    </w:p>
  </w:footnote>
  <w:footnote w:type="continuationSeparator" w:id="0">
    <w:p w:rsidR="005D7049" w:rsidRDefault="005D7049" w:rsidP="00272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6D00"/>
    <w:multiLevelType w:val="hybridMultilevel"/>
    <w:tmpl w:val="BF0A7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50880"/>
    <w:multiLevelType w:val="hybridMultilevel"/>
    <w:tmpl w:val="81A28B4A"/>
    <w:lvl w:ilvl="0" w:tplc="2F4A8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041C1B"/>
    <w:multiLevelType w:val="hybridMultilevel"/>
    <w:tmpl w:val="D60C3A8E"/>
    <w:lvl w:ilvl="0" w:tplc="2F4A8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A056B"/>
    <w:multiLevelType w:val="hybridMultilevel"/>
    <w:tmpl w:val="05166BE8"/>
    <w:lvl w:ilvl="0" w:tplc="3A483B82">
      <w:start w:val="1"/>
      <w:numFmt w:val="decimal"/>
      <w:lvlText w:val="%1."/>
      <w:lvlJc w:val="left"/>
      <w:pPr>
        <w:ind w:left="720" w:hanging="360"/>
      </w:pPr>
      <w:rPr>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7A0F5E66"/>
    <w:multiLevelType w:val="hybridMultilevel"/>
    <w:tmpl w:val="D60C3A8E"/>
    <w:lvl w:ilvl="0" w:tplc="2F4A8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B2"/>
    <w:rsid w:val="000166BC"/>
    <w:rsid w:val="00072F57"/>
    <w:rsid w:val="000D20B2"/>
    <w:rsid w:val="0011296E"/>
    <w:rsid w:val="001514C6"/>
    <w:rsid w:val="002136FE"/>
    <w:rsid w:val="002726E0"/>
    <w:rsid w:val="004D1FF7"/>
    <w:rsid w:val="004F7C08"/>
    <w:rsid w:val="0051284B"/>
    <w:rsid w:val="005D7049"/>
    <w:rsid w:val="00687E83"/>
    <w:rsid w:val="00EA74F5"/>
    <w:rsid w:val="00FB7B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6E0"/>
    <w:rPr>
      <w:lang w:val="es-GT"/>
    </w:rPr>
  </w:style>
  <w:style w:type="paragraph" w:styleId="Footer">
    <w:name w:val="footer"/>
    <w:basedOn w:val="Normal"/>
    <w:link w:val="FooterChar"/>
    <w:uiPriority w:val="99"/>
    <w:unhideWhenUsed/>
    <w:rsid w:val="00272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E0"/>
    <w:rPr>
      <w:lang w:val="es-GT"/>
    </w:rPr>
  </w:style>
  <w:style w:type="paragraph" w:styleId="BalloonText">
    <w:name w:val="Balloon Text"/>
    <w:basedOn w:val="Normal"/>
    <w:link w:val="BalloonTextChar"/>
    <w:uiPriority w:val="99"/>
    <w:semiHidden/>
    <w:unhideWhenUsed/>
    <w:rsid w:val="002726E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726E0"/>
    <w:rPr>
      <w:rFonts w:ascii="Tahoma" w:hAnsi="Tahoma"/>
      <w:sz w:val="16"/>
      <w:szCs w:val="16"/>
      <w:lang w:val="es-GT"/>
    </w:rPr>
  </w:style>
  <w:style w:type="paragraph" w:styleId="ListParagraph">
    <w:name w:val="List Paragraph"/>
    <w:basedOn w:val="Normal"/>
    <w:uiPriority w:val="34"/>
    <w:qFormat/>
    <w:rsid w:val="004F7C08"/>
    <w:pPr>
      <w:ind w:left="720"/>
      <w:contextualSpacing/>
    </w:pPr>
  </w:style>
  <w:style w:type="paragraph" w:styleId="NormalWeb">
    <w:name w:val="Normal (Web)"/>
    <w:basedOn w:val="Normal"/>
    <w:uiPriority w:val="99"/>
    <w:semiHidden/>
    <w:unhideWhenUsed/>
    <w:rsid w:val="004F7C08"/>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6E0"/>
    <w:rPr>
      <w:lang w:val="es-GT"/>
    </w:rPr>
  </w:style>
  <w:style w:type="paragraph" w:styleId="Footer">
    <w:name w:val="footer"/>
    <w:basedOn w:val="Normal"/>
    <w:link w:val="FooterChar"/>
    <w:uiPriority w:val="99"/>
    <w:unhideWhenUsed/>
    <w:rsid w:val="00272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E0"/>
    <w:rPr>
      <w:lang w:val="es-GT"/>
    </w:rPr>
  </w:style>
  <w:style w:type="paragraph" w:styleId="BalloonText">
    <w:name w:val="Balloon Text"/>
    <w:basedOn w:val="Normal"/>
    <w:link w:val="BalloonTextChar"/>
    <w:uiPriority w:val="99"/>
    <w:semiHidden/>
    <w:unhideWhenUsed/>
    <w:rsid w:val="002726E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726E0"/>
    <w:rPr>
      <w:rFonts w:ascii="Tahoma" w:hAnsi="Tahoma"/>
      <w:sz w:val="16"/>
      <w:szCs w:val="16"/>
      <w:lang w:val="es-GT"/>
    </w:rPr>
  </w:style>
  <w:style w:type="paragraph" w:styleId="ListParagraph">
    <w:name w:val="List Paragraph"/>
    <w:basedOn w:val="Normal"/>
    <w:uiPriority w:val="34"/>
    <w:qFormat/>
    <w:rsid w:val="004F7C08"/>
    <w:pPr>
      <w:ind w:left="720"/>
      <w:contextualSpacing/>
    </w:pPr>
  </w:style>
  <w:style w:type="paragraph" w:styleId="NormalWeb">
    <w:name w:val="Normal (Web)"/>
    <w:basedOn w:val="Normal"/>
    <w:uiPriority w:val="99"/>
    <w:semiHidden/>
    <w:unhideWhenUsed/>
    <w:rsid w:val="004F7C08"/>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Nájera</dc:creator>
  <cp:keywords/>
  <dc:description/>
  <cp:lastModifiedBy>Edwin Nájera</cp:lastModifiedBy>
  <cp:revision>2</cp:revision>
  <dcterms:created xsi:type="dcterms:W3CDTF">2014-05-26T18:39:00Z</dcterms:created>
  <dcterms:modified xsi:type="dcterms:W3CDTF">2014-05-26T22:52:00Z</dcterms:modified>
</cp:coreProperties>
</file>