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44755572" w:rsidR="006167D6" w:rsidRP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86A850C" w14:textId="68691355" w:rsidR="00DE32B4" w:rsidRDefault="00DE32B4" w:rsidP="00DE32B4">
      <w:pPr>
        <w:rPr>
          <w:lang w:val="en-GB"/>
        </w:rPr>
      </w:pPr>
      <w:r>
        <w:rPr>
          <w:lang w:val="en-GB"/>
        </w:rPr>
        <w:t>(</w:t>
      </w:r>
      <w:r w:rsidR="00D94C89">
        <w:rPr>
          <w:lang w:val="en-GB"/>
        </w:rPr>
        <w:t>13 March</w:t>
      </w:r>
      <w:r>
        <w:rPr>
          <w:lang w:val="en-GB"/>
        </w:rPr>
        <w:t xml:space="preserve"> presentation)</w:t>
      </w:r>
    </w:p>
    <w:p w14:paraId="22178AAF" w14:textId="781E34B1"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p>
    <w:p w14:paraId="6B1C3F27" w14:textId="44F3EF6C"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p>
    <w:p w14:paraId="75A54D37" w14:textId="60E63B70"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lastRenderedPageBreak/>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lastRenderedPageBreak/>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lastRenderedPageBreak/>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lastRenderedPageBreak/>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lastRenderedPageBreak/>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lastRenderedPageBreak/>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3B6517A8" w14:textId="54ED18EF"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lastRenderedPageBreak/>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F7AE5CF0-3F4A-4B3D-B6FE-7585156BD3B4}"/>
    <w:docVar w:name="dgnword-eventsink" w:val="376950080"/>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77F"/>
    <w:rsid w:val="003A7DAD"/>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90F4A"/>
    <w:rsid w:val="009A3AB9"/>
    <w:rsid w:val="009A5C8D"/>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7DE4"/>
    <w:rsid w:val="00C10613"/>
    <w:rsid w:val="00C1419F"/>
    <w:rsid w:val="00C205B0"/>
    <w:rsid w:val="00C20A59"/>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653D"/>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44866</TotalTime>
  <Pages>17</Pages>
  <Words>5194</Words>
  <Characters>29609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120</cp:revision>
  <dcterms:created xsi:type="dcterms:W3CDTF">2022-02-22T17:33:00Z</dcterms:created>
  <dcterms:modified xsi:type="dcterms:W3CDTF">2023-03-22T00:12:00Z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