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r>
        <w:rPr>
          <w:lang w:val="en-GB"/>
        </w:rPr>
        <w:t>Todo</w:t>
      </w:r>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247884B" w:rsidR="007D168F" w:rsidRDefault="007D168F" w:rsidP="00FE2325">
      <w:pPr>
        <w:pStyle w:val="Heading1"/>
        <w:rPr>
          <w:lang w:val="en-GB"/>
        </w:rPr>
      </w:pPr>
      <w:r>
        <w:rPr>
          <w:lang w:val="en-GB"/>
        </w:rPr>
        <w:t>Abstract</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D24283">
        <w:lastRenderedPageBreak/>
        <w:t>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While using individual omic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Some popular data sets include MetaHIT,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r w:rsidR="007A2AA9">
        <w:rPr>
          <w:lang w:val="en-GB"/>
        </w:rPr>
        <w:t>MetaHIT</w:t>
      </w:r>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 xml:space="preserve">(iHMP)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viromes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w:t>
      </w:r>
      <w:r w:rsidR="007660F8">
        <w:rPr>
          <w:lang w:val="en-GB"/>
        </w:rPr>
        <w:lastRenderedPageBreak/>
        <w:t xml:space="preserve">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tumor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tumors,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 xml:space="preserve">abundance data with clinical variables and </w:t>
      </w:r>
      <w:r w:rsidR="00A815EC">
        <w:rPr>
          <w:lang w:val="en-GB"/>
        </w:rPr>
        <w:lastRenderedPageBreak/>
        <w:t>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tumor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we integrated microbial data mined from patient tumor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07DE87E"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tumor stage of each sample. Normal samples are considered as Stage 0.</w:t>
      </w:r>
    </w:p>
    <w:p w14:paraId="33BA573A" w14:textId="3AB807F5" w:rsidR="003D26BF" w:rsidRDefault="003D26BF" w:rsidP="003D26BF">
      <w:pPr>
        <w:pStyle w:val="Heading3"/>
        <w:rPr>
          <w:lang w:val="en-GB"/>
        </w:rPr>
      </w:pPr>
      <w:r>
        <w:rPr>
          <w:lang w:val="en-GB"/>
        </w:rPr>
        <w:lastRenderedPageBreak/>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lastRenderedPageBreak/>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modeled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tumor endpoint, the prediction was modeled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77777777"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train_test_split function. Each split iteration was assigned a custom seed to ensure consistency between experiment runs. </w:t>
      </w:r>
    </w:p>
    <w:p w14:paraId="7AFE6C75" w14:textId="17019E44"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lastRenderedPageBreak/>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RandomizedSearchCV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3AFE124E"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4A78E6">
        <w:rPr>
          <w:lang w:val="en-GB"/>
        </w:rPr>
        <w:instrText xml:space="preserve"> ADDIN ZOTERO_ITEM CSL_CITATION {"citationID":"ouW8Icbu","properties":{"formattedCitation":"\\super 21\\nosupersub{}","plainCitation":"21","noteIndex":0},"citationItems":[{"id":118,"uris":["http://zotero.org/users/local/0zqklVfX/items/B4HDCDPT"],"itemData":{"id":118,"type":"article-journal","abstract":"Computational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4A78E6" w:rsidRPr="004A78E6">
        <w:rPr>
          <w:rFonts w:ascii="Calibri" w:hAnsi="Calibri" w:cs="Calibri"/>
          <w:szCs w:val="24"/>
          <w:vertAlign w:val="superscript"/>
        </w:rPr>
        <w:t>21</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77777777" w:rsidR="00323235" w:rsidRDefault="00194A83" w:rsidP="00194A83">
      <w:pPr>
        <w:rPr>
          <w:lang w:val="en-GB"/>
        </w:rPr>
      </w:pPr>
      <w:r>
        <w:rPr>
          <w:lang w:val="en-GB"/>
        </w:rPr>
        <w:t xml:space="preserve">To investigate the possible benefits of a holistic view of omics integration, we used the different omics layers and microbial data in a predictive model for numerous cancer diagnostic endpoints. </w:t>
      </w:r>
      <w:r w:rsidR="00323235">
        <w:rPr>
          <w:lang w:val="en-GB"/>
        </w:rPr>
        <w:t xml:space="preserve">The performance of the predictive model in different settings was used as a measure of the usefulness of each modality. </w:t>
      </w:r>
    </w:p>
    <w:p w14:paraId="0A692F77" w14:textId="31C11B10"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194A83">
        <w:rPr>
          <w:lang w:val="en-GB"/>
        </w:rPr>
        <w:t xml:space="preserve">randomly split the data set with a stratified split into 80% training and 20% testing </w:t>
      </w:r>
      <w:r w:rsidR="00004299">
        <w:rPr>
          <w:lang w:val="en-GB"/>
        </w:rPr>
        <w:t xml:space="preserve">200 </w:t>
      </w:r>
      <w:r w:rsidR="00194A83">
        <w:rPr>
          <w:lang w:val="en-GB"/>
        </w:rPr>
        <w:t xml:space="preserve">times. In each iteration, a feature selection method is first performed on the training set. These features are then used to train a model on this same training set. The performance of the model is then tested on the testing set for the available endpoints. This is repeated for each cancer, layer and feature amount. The </w:t>
      </w:r>
      <w:r w:rsidR="00004299">
        <w:rPr>
          <w:lang w:val="en-GB"/>
        </w:rPr>
        <w:t>figure</w:t>
      </w:r>
      <w:r w:rsidR="00194A83">
        <w:rPr>
          <w:lang w:val="en-GB"/>
        </w:rPr>
        <w:t xml:space="preserve"> below displays the combinatorial options of the pipeline</w:t>
      </w:r>
      <w:r w:rsidR="00004299">
        <w:rPr>
          <w:lang w:val="en-GB"/>
        </w:rPr>
        <w:t xml:space="preserve"> (</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E4256B">
        <w:t xml:space="preserve">Figure </w:t>
      </w:r>
      <w:r w:rsidR="00E4256B">
        <w:rPr>
          <w:noProof/>
        </w:rPr>
        <w:t>1</w:t>
      </w:r>
      <w:r w:rsidR="00E4256B">
        <w:rPr>
          <w:lang w:val="en-GB"/>
        </w:rPr>
        <w:fldChar w:fldCharType="end"/>
      </w:r>
      <w:r w:rsidR="00004299">
        <w:rPr>
          <w:lang w:val="en-GB"/>
        </w:rPr>
        <w:t>)</w:t>
      </w:r>
      <w:r w:rsidR="00194A83">
        <w:rPr>
          <w:lang w:val="en-GB"/>
        </w:rPr>
        <w:t>.</w:t>
      </w:r>
    </w:p>
    <w:p w14:paraId="44ED8E42" w14:textId="77777777" w:rsidR="00472ECD" w:rsidRDefault="00472ECD" w:rsidP="00472ECD">
      <w:pPr>
        <w:keepNext/>
      </w:pPr>
      <w:r w:rsidRPr="00472ECD">
        <w:rPr>
          <w:noProof/>
          <w:lang w:val="en-GB"/>
        </w:rPr>
        <w:lastRenderedPageBreak/>
        <w:drawing>
          <wp:inline distT="0" distB="0" distL="0" distR="0" wp14:anchorId="60091F23" wp14:editId="7E9D035B">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0D229549" w14:textId="757CCA85" w:rsidR="00472ECD" w:rsidRDefault="00472ECD" w:rsidP="00472ECD">
      <w:pPr>
        <w:pStyle w:val="Caption"/>
        <w:rPr>
          <w:lang w:val="en-GB"/>
        </w:rPr>
      </w:pPr>
      <w:bookmarkStart w:id="0" w:name="_Ref129571161"/>
      <w:r>
        <w:t xml:space="preserve">Figure </w:t>
      </w:r>
      <w:fldSimple w:instr=" SEQ Figure \* ARABIC ">
        <w:r w:rsidR="00625602">
          <w:rPr>
            <w:noProof/>
          </w:rPr>
          <w:t>1</w:t>
        </w:r>
      </w:fldSimple>
      <w:bookmarkEnd w:id="0"/>
      <w:r>
        <w:t xml:space="preserve">: </w:t>
      </w:r>
      <w:r w:rsidRPr="00630E4B">
        <w:t>the different combinatorial options of the predictions pipeline</w:t>
      </w:r>
    </w:p>
    <w:p w14:paraId="35894E1B" w14:textId="7CD861B1" w:rsidR="00194A83" w:rsidRDefault="00194A83" w:rsidP="00194A83">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1428CE99" w14:textId="7330023D" w:rsidR="00E34420" w:rsidRDefault="00E4256B" w:rsidP="00194A83">
      <w:pPr>
        <w:rPr>
          <w:lang w:val="en-GB"/>
        </w:rPr>
      </w:pPr>
      <w:r>
        <w:rPr>
          <w:lang w:val="en-GB"/>
        </w:rPr>
        <w:t>T</w:t>
      </w:r>
      <w:r w:rsidR="00E34420">
        <w:rPr>
          <w:lang w:val="en-GB"/>
        </w:rPr>
        <w:t>his was done for stage prediction and tumor versus normal prediction. The predictive performance of the GE model separately, and the microbial data model were used as a baseline. The integration of both of these data sets were then compared to this baseline.</w:t>
      </w:r>
    </w:p>
    <w:p w14:paraId="7EEE24D4" w14:textId="01745420" w:rsidR="007F4E7B" w:rsidRDefault="00E4256B" w:rsidP="00194A83">
      <w:pPr>
        <w:rPr>
          <w:lang w:val="en-GB"/>
        </w:rPr>
      </w:pPr>
      <w:r>
        <w:rPr>
          <w:lang w:val="en-GB"/>
        </w:rPr>
        <w:t>For the tumor prediction, w</w:t>
      </w:r>
      <w:r w:rsidR="007F4E7B">
        <w:rPr>
          <w:lang w:val="en-GB"/>
        </w:rPr>
        <w:t xml:space="preserve">e chose an SVM model as it is a well-established method for classification that has shown effectiveness across multiple prior studies </w:t>
      </w:r>
      <w:r w:rsidR="007F4E7B">
        <w:rPr>
          <w:lang w:val="en-GB"/>
        </w:rPr>
        <w:fldChar w:fldCharType="begin"/>
      </w:r>
      <w:r w:rsidR="0085004D">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7F4E7B">
        <w:rPr>
          <w:lang w:val="en-GB"/>
        </w:rPr>
        <w:fldChar w:fldCharType="separate"/>
      </w:r>
      <w:r w:rsidR="0085004D" w:rsidRPr="0085004D">
        <w:rPr>
          <w:rFonts w:ascii="Calibri" w:hAnsi="Calibri" w:cs="Calibri"/>
          <w:szCs w:val="24"/>
          <w:vertAlign w:val="superscript"/>
        </w:rPr>
        <w:t>22–24</w:t>
      </w:r>
      <w:r w:rsidR="007F4E7B">
        <w:rPr>
          <w:lang w:val="en-GB"/>
        </w:rPr>
        <w:fldChar w:fldCharType="end"/>
      </w:r>
      <w:r w:rsidR="007F4E7B">
        <w:rPr>
          <w:lang w:val="en-GB"/>
        </w:rPr>
        <w:t>.</w:t>
      </w:r>
      <w:r>
        <w:rPr>
          <w:lang w:val="en-GB"/>
        </w:rPr>
        <w:t xml:space="preserve"> For stage prediction, w</w:t>
      </w:r>
      <w:r w:rsidR="007F4E7B">
        <w:rPr>
          <w:lang w:val="en-GB"/>
        </w:rPr>
        <w:t xml:space="preserve">e </w:t>
      </w:r>
      <w:r w:rsidR="00C351E6">
        <w:rPr>
          <w:lang w:val="en-GB"/>
        </w:rPr>
        <w:t xml:space="preserve">model it as an ordinal categorical variable and </w:t>
      </w:r>
      <w:r w:rsidR="007F4E7B">
        <w:rPr>
          <w:lang w:val="en-GB"/>
        </w:rPr>
        <w:t xml:space="preserve">chose an elastic net model for the same reason </w:t>
      </w:r>
      <w:r w:rsidR="007F4E7B">
        <w:rPr>
          <w:lang w:val="en-GB"/>
        </w:rPr>
        <w:fldChar w:fldCharType="begin"/>
      </w:r>
      <w:r w:rsidR="004A78E6">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7F4E7B">
        <w:rPr>
          <w:lang w:val="en-GB"/>
        </w:rPr>
        <w:fldChar w:fldCharType="separate"/>
      </w:r>
      <w:r w:rsidR="004A78E6" w:rsidRPr="004A78E6">
        <w:rPr>
          <w:rFonts w:ascii="Calibri" w:hAnsi="Calibri" w:cs="Calibri"/>
          <w:szCs w:val="24"/>
          <w:vertAlign w:val="superscript"/>
        </w:rPr>
        <w:t>22</w:t>
      </w:r>
      <w:r w:rsidR="007F4E7B">
        <w:rPr>
          <w:lang w:val="en-GB"/>
        </w:rPr>
        <w:fldChar w:fldCharType="end"/>
      </w:r>
      <w:r w:rsidR="007F4E7B">
        <w:rPr>
          <w:lang w:val="en-GB"/>
        </w:rPr>
        <w:t>.</w:t>
      </w:r>
    </w:p>
    <w:p w14:paraId="66CBFD67" w14:textId="4C3152DA" w:rsidR="00512F47" w:rsidRDefault="00512F47" w:rsidP="00194A83">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24D4C871" w14:textId="1B97E31B" w:rsidR="001E4F1A" w:rsidRDefault="001E4F1A" w:rsidP="00194A83">
      <w:pPr>
        <w:rPr>
          <w:lang w:val="en-GB"/>
        </w:rPr>
      </w:pPr>
      <w:r>
        <w:rPr>
          <w:lang w:val="en-GB"/>
        </w:rPr>
        <w:t xml:space="preserve">For tumor prediction, we used the Chi-square test, which is a commonly used feature selection method for categorical variables which has previously been successfully used to select important gene features </w:t>
      </w:r>
      <w:r>
        <w:rPr>
          <w:lang w:val="en-GB"/>
        </w:rPr>
        <w:fldChar w:fldCharType="begin"/>
      </w:r>
      <w:r w:rsidR="00512F47">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512F47" w:rsidRPr="00512F47">
        <w:rPr>
          <w:rFonts w:ascii="Calibri" w:hAnsi="Calibri" w:cs="Calibri"/>
          <w:szCs w:val="24"/>
          <w:vertAlign w:val="superscript"/>
        </w:rPr>
        <w:t>26</w:t>
      </w:r>
      <w:r>
        <w:rPr>
          <w:lang w:val="en-GB"/>
        </w:rPr>
        <w:fldChar w:fldCharType="end"/>
      </w:r>
      <w:r>
        <w:rPr>
          <w:lang w:val="en-GB"/>
        </w:rPr>
        <w:t>.</w:t>
      </w:r>
    </w:p>
    <w:p w14:paraId="0C7DA877" w14:textId="5D9B2A84" w:rsidR="0085004D" w:rsidRDefault="0085004D" w:rsidP="00194A83">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sidR="0077405D">
        <w:rPr>
          <w:lang w:val="en-GB"/>
        </w:rPr>
        <w:t xml:space="preserve">. Penalized regression methods work well for biological data sets, where there are more features than samples </w:t>
      </w:r>
      <w:r w:rsidR="0077405D">
        <w:rPr>
          <w:lang w:val="en-GB"/>
        </w:rPr>
        <w:fldChar w:fldCharType="begin"/>
      </w:r>
      <w:r w:rsidR="0077405D">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77405D">
        <w:rPr>
          <w:lang w:val="en-GB"/>
        </w:rPr>
        <w:fldChar w:fldCharType="separate"/>
      </w:r>
      <w:r w:rsidR="0077405D" w:rsidRPr="0077405D">
        <w:rPr>
          <w:rFonts w:ascii="Calibri" w:hAnsi="Calibri" w:cs="Calibri"/>
          <w:szCs w:val="24"/>
          <w:vertAlign w:val="superscript"/>
        </w:rPr>
        <w:t>25</w:t>
      </w:r>
      <w:r w:rsidR="0077405D">
        <w:rPr>
          <w:lang w:val="en-GB"/>
        </w:rPr>
        <w:fldChar w:fldCharType="end"/>
      </w:r>
      <w:r w:rsidR="0077405D">
        <w:rPr>
          <w:lang w:val="en-GB"/>
        </w:rPr>
        <w:t xml:space="preserve">. In particular LASSO seems to work particularly well </w:t>
      </w:r>
      <w:r w:rsidR="0077405D">
        <w:rPr>
          <w:lang w:val="en-GB"/>
        </w:rPr>
        <w:fldChar w:fldCharType="begin"/>
      </w:r>
      <w:r w:rsidR="0077405D">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77405D">
        <w:rPr>
          <w:lang w:val="en-GB"/>
        </w:rPr>
        <w:fldChar w:fldCharType="separate"/>
      </w:r>
      <w:r w:rsidR="0077405D" w:rsidRPr="0077405D">
        <w:rPr>
          <w:rFonts w:ascii="Calibri" w:hAnsi="Calibri" w:cs="Calibri"/>
          <w:szCs w:val="24"/>
          <w:vertAlign w:val="superscript"/>
        </w:rPr>
        <w:t>25</w:t>
      </w:r>
      <w:r w:rsidR="0077405D">
        <w:rPr>
          <w:lang w:val="en-GB"/>
        </w:rPr>
        <w:fldChar w:fldCharType="end"/>
      </w:r>
      <w:r w:rsidR="00FE241F">
        <w:rPr>
          <w:lang w:val="en-GB"/>
        </w:rPr>
        <w:t xml:space="preserve">, as well as LASSO-based methods </w:t>
      </w:r>
      <w:r w:rsidR="00FE241F">
        <w:rPr>
          <w:lang w:val="en-GB"/>
        </w:rPr>
        <w:fldChar w:fldCharType="begin"/>
      </w:r>
      <w:r w:rsidR="00FE241F">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sidR="00FE241F">
        <w:rPr>
          <w:lang w:val="en-GB"/>
        </w:rPr>
        <w:fldChar w:fldCharType="separate"/>
      </w:r>
      <w:r w:rsidR="00FE241F" w:rsidRPr="00FE241F">
        <w:rPr>
          <w:rFonts w:ascii="Calibri" w:hAnsi="Calibri" w:cs="Calibri"/>
          <w:szCs w:val="24"/>
          <w:vertAlign w:val="superscript"/>
        </w:rPr>
        <w:t>27</w:t>
      </w:r>
      <w:r w:rsidR="00FE241F">
        <w:rPr>
          <w:lang w:val="en-GB"/>
        </w:rPr>
        <w:fldChar w:fldCharType="end"/>
      </w:r>
    </w:p>
    <w:p w14:paraId="7E806A0C" w14:textId="0F71BCC7" w:rsidR="000E1B94" w:rsidRPr="00194A83" w:rsidRDefault="000E1B94" w:rsidP="000E1B94">
      <w:pPr>
        <w:pStyle w:val="Heading3"/>
        <w:rPr>
          <w:lang w:val="en-GB"/>
        </w:rPr>
      </w:pPr>
      <w:r>
        <w:rPr>
          <w:lang w:val="en-GB"/>
        </w:rPr>
        <w:t>Holo-omic approach does not lead to improved tumor prediction performance</w:t>
      </w:r>
    </w:p>
    <w:p w14:paraId="4C8A0DDE" w14:textId="2895534C" w:rsidR="008D7EC1" w:rsidRDefault="008D7EC1" w:rsidP="008D7EC1">
      <w:pPr>
        <w:rPr>
          <w:lang w:val="en-GB"/>
        </w:rPr>
      </w:pPr>
      <w:r>
        <w:rPr>
          <w:lang w:val="en-GB"/>
        </w:rPr>
        <w:t>The results indicate that integrating gene expression with microbial taxonomic data does not lead to a significant improvement in prediction performance over using gene expression data alone</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C91258">
        <w:t xml:space="preserve">Figure </w:t>
      </w:r>
      <w:r w:rsidR="00C91258">
        <w:rPr>
          <w:noProof/>
        </w:rPr>
        <w:t>4</w:t>
      </w:r>
      <w:r w:rsidR="00E34420">
        <w:rPr>
          <w:lang w:val="en-GB"/>
        </w:rPr>
        <w:fldChar w:fldCharType="end"/>
      </w:r>
      <w:r w:rsidR="00E34420">
        <w:rPr>
          <w:lang w:val="en-GB"/>
        </w:rPr>
        <w:t>)</w:t>
      </w:r>
      <w:r>
        <w:rPr>
          <w:lang w:val="en-GB"/>
        </w:rPr>
        <w:t>.</w:t>
      </w:r>
      <w:r w:rsidR="00E34420">
        <w:rPr>
          <w:lang w:val="en-GB"/>
        </w:rPr>
        <w:t xml:space="preserve"> </w:t>
      </w:r>
    </w:p>
    <w:p w14:paraId="645F8F4E" w14:textId="77777777" w:rsidR="002B10C8" w:rsidRDefault="008D7EC1" w:rsidP="002B10C8">
      <w:pPr>
        <w:keepNext/>
      </w:pPr>
      <w:r w:rsidRPr="00472ECD">
        <w:rPr>
          <w:noProof/>
        </w:rPr>
        <w:lastRenderedPageBreak/>
        <w:drawing>
          <wp:inline distT="0" distB="0" distL="0" distR="0" wp14:anchorId="3F433CE1" wp14:editId="3BA5FDDA">
            <wp:extent cx="5730240" cy="1339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40" cy="1339324"/>
                    </a:xfrm>
                    <a:prstGeom prst="rect">
                      <a:avLst/>
                    </a:prstGeom>
                  </pic:spPr>
                </pic:pic>
              </a:graphicData>
            </a:graphic>
          </wp:inline>
        </w:drawing>
      </w:r>
    </w:p>
    <w:p w14:paraId="11568389" w14:textId="3D09067A" w:rsidR="008D7EC1" w:rsidRPr="00C66F73" w:rsidRDefault="002B10C8" w:rsidP="002B10C8">
      <w:pPr>
        <w:pStyle w:val="Caption"/>
      </w:pPr>
      <w:bookmarkStart w:id="1" w:name="_Ref121922446"/>
      <w:r>
        <w:t xml:space="preserve">Figure </w:t>
      </w:r>
      <w:fldSimple w:instr=" SEQ Figure \* ARABIC ">
        <w:r w:rsidR="00625602">
          <w:rPr>
            <w:noProof/>
          </w:rPr>
          <w:t>2</w:t>
        </w:r>
      </w:fldSimple>
      <w:bookmarkEnd w:id="1"/>
      <w:r>
        <w:t xml:space="preserve">: </w:t>
      </w:r>
      <w:r w:rsidR="00C66F73">
        <w:t xml:space="preserve">f1-score for the tumor versus normal prediction endpoint for </w:t>
      </w:r>
      <w:bookmarkStart w:id="2" w:name="_Hlk125317156"/>
      <w:r w:rsidR="00C66F73">
        <w:t>COAD (colo</w:t>
      </w:r>
      <w:r w:rsidR="00DF4F25">
        <w:t>n</w:t>
      </w:r>
      <w:r w:rsidR="00C66F73">
        <w:t xml:space="preserve"> adenocarcinoma), </w:t>
      </w:r>
      <w:r w:rsidR="00DF4F25">
        <w:t xml:space="preserve">ESCA (esophageal carcinoma), HNSC (head and neck squamous carcinoma) and </w:t>
      </w:r>
      <w:r w:rsidR="00C66F73">
        <w:t xml:space="preserve">STAD </w:t>
      </w:r>
      <w:bookmarkStart w:id="3" w:name="_Hlk129018198"/>
      <w:r w:rsidR="00C66F73">
        <w:t>(stomach adenocarcinoma)</w:t>
      </w:r>
      <w:bookmarkEnd w:id="3"/>
      <w:r w:rsidR="00DF4F25">
        <w:t xml:space="preserve">, </w:t>
      </w:r>
      <w:bookmarkEnd w:id="2"/>
      <w:r w:rsidR="00DF4F25">
        <w:t xml:space="preserve">respectively. Each </w:t>
      </w:r>
      <w:r w:rsidR="00C66F73">
        <w:t>graph contains the</w:t>
      </w:r>
      <w:r w:rsidR="00DF4F25">
        <w:t xml:space="preserve"> f1-score for each modality (i.e. </w:t>
      </w:r>
      <w:r w:rsidR="00C66F73">
        <w:t>genus abundance data (GENUS), gene expression data (GE) and</w:t>
      </w:r>
      <w:r w:rsidR="00DF4F25">
        <w:t xml:space="preserve"> the concatenated</w:t>
      </w:r>
      <w:r w:rsidR="00C66F73">
        <w:t xml:space="preserve"> genus + gene expression features (GE </w:t>
      </w:r>
      <w:r w:rsidR="00C66F73" w:rsidRPr="004D301D">
        <w:t>∩</w:t>
      </w:r>
      <w:r w:rsidR="00C66F73">
        <w:t xml:space="preserve"> GENUS)</w:t>
      </w:r>
      <w:r w:rsidR="00DF4F25">
        <w:t>)</w:t>
      </w:r>
      <w:r w:rsidR="00C66F73">
        <w:t xml:space="preserve">. </w:t>
      </w:r>
      <w:r w:rsidR="00DF4F25">
        <w:t>The endpoints of each horizontal line segment indicate the average f1-score across every random sample iteration, while the vertical line segments indicates the standard deviation of the f1-score across these iterations.</w:t>
      </w:r>
    </w:p>
    <w:p w14:paraId="1E9A9C00" w14:textId="53BD5C5C" w:rsidR="008D7EC1" w:rsidRDefault="00E34420" w:rsidP="008D7EC1">
      <w:pPr>
        <w:rPr>
          <w:lang w:val="en-GB"/>
        </w:rPr>
      </w:pPr>
      <w:r>
        <w:t>T</w:t>
      </w:r>
      <w:r w:rsidR="00F30F05">
        <w:rPr>
          <w:lang w:val="en-GB"/>
        </w:rPr>
        <w:t>his result is consistent for tumor versus normal prediction</w:t>
      </w:r>
      <w:r>
        <w:rPr>
          <w:lang w:val="en-GB"/>
        </w:rPr>
        <w:t>, but also</w:t>
      </w:r>
      <w:r w:rsidR="00F30F05">
        <w:rPr>
          <w:lang w:val="en-GB"/>
        </w:rPr>
        <w:t xml:space="preserve"> stage prediction</w:t>
      </w:r>
      <w:r>
        <w:rPr>
          <w:lang w:val="en-GB"/>
        </w:rPr>
        <w:t xml:space="preserve"> </w:t>
      </w:r>
      <w:r>
        <w:rPr>
          <w:lang w:val="en-GB"/>
        </w:rPr>
        <w:fldChar w:fldCharType="begin"/>
      </w:r>
      <w:r>
        <w:rPr>
          <w:lang w:val="en-GB"/>
        </w:rPr>
        <w:instrText xml:space="preserve"> REF _Ref121922481 \h </w:instrText>
      </w:r>
      <w:r>
        <w:rPr>
          <w:lang w:val="en-GB"/>
        </w:rPr>
      </w:r>
      <w:r>
        <w:rPr>
          <w:lang w:val="en-GB"/>
        </w:rPr>
        <w:fldChar w:fldCharType="separate"/>
      </w:r>
      <w:r w:rsidR="00C91258">
        <w:t xml:space="preserve">Figure </w:t>
      </w:r>
      <w:r w:rsidR="00C91258">
        <w:rPr>
          <w:noProof/>
        </w:rPr>
        <w:t>5</w:t>
      </w:r>
      <w:r>
        <w:rPr>
          <w:lang w:val="en-GB"/>
        </w:rPr>
        <w:fldChar w:fldCharType="end"/>
      </w:r>
      <w:r w:rsidR="00F30F05">
        <w:rPr>
          <w:lang w:val="en-GB"/>
        </w:rPr>
        <w:t>.</w:t>
      </w:r>
    </w:p>
    <w:p w14:paraId="10B304B7" w14:textId="1965F628" w:rsidR="002B10C8" w:rsidRPr="00F30F05" w:rsidRDefault="008D7EC1" w:rsidP="00F30F05">
      <w:pPr>
        <w:rPr>
          <w:lang w:val="en-GB"/>
        </w:rPr>
      </w:pPr>
      <w:r>
        <w:rPr>
          <w:noProof/>
          <w:lang w:val="en-GB"/>
        </w:rPr>
        <w:drawing>
          <wp:inline distT="0" distB="0" distL="0" distR="0" wp14:anchorId="19F120C6" wp14:editId="69E0CBBE">
            <wp:extent cx="5730240" cy="1339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240" cy="1339324"/>
                    </a:xfrm>
                    <a:prstGeom prst="rect">
                      <a:avLst/>
                    </a:prstGeom>
                  </pic:spPr>
                </pic:pic>
              </a:graphicData>
            </a:graphic>
          </wp:inline>
        </w:drawing>
      </w:r>
      <w:r w:rsidR="00F30F05">
        <w:t xml:space="preserve"> </w:t>
      </w:r>
    </w:p>
    <w:p w14:paraId="79ECE304" w14:textId="65A1BB46" w:rsidR="00F30F05" w:rsidRDefault="002B10C8" w:rsidP="00AD7BCD">
      <w:pPr>
        <w:pStyle w:val="Caption"/>
      </w:pPr>
      <w:bookmarkStart w:id="4" w:name="_Ref121922481"/>
      <w:r>
        <w:t xml:space="preserve">Figure </w:t>
      </w:r>
      <w:fldSimple w:instr=" SEQ Figure \* ARABIC ">
        <w:r w:rsidR="00625602">
          <w:rPr>
            <w:noProof/>
          </w:rPr>
          <w:t>3</w:t>
        </w:r>
      </w:fldSimple>
      <w:bookmarkEnd w:id="4"/>
      <w:r>
        <w:t xml:space="preserve">: </w:t>
      </w:r>
      <w:r w:rsidR="00DF4F25">
        <w:t xml:space="preserve">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00DF4F25" w:rsidRPr="004D301D">
        <w:t>∩</w:t>
      </w:r>
      <w:r w:rsidR="00DF4F25">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1B0FD975" w14:textId="64AEFB09" w:rsidR="005A59C9" w:rsidRDefault="005A59C9" w:rsidP="005A59C9">
      <w:r>
        <w:t>These results also seem to be consistent across the different amount of selected features.</w:t>
      </w:r>
    </w:p>
    <w:p w14:paraId="27E16D6D" w14:textId="3AAF19B9" w:rsidR="005C59CC" w:rsidRPr="005C59CC" w:rsidRDefault="005C59CC" w:rsidP="005A59C9">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030FD31" w14:textId="337E75FD" w:rsidR="008D7EC1" w:rsidRDefault="008D7EC1" w:rsidP="008D7EC1">
      <w:pPr>
        <w:pStyle w:val="Heading3"/>
        <w:rPr>
          <w:lang w:val="en-GB"/>
        </w:rPr>
      </w:pPr>
      <w:r>
        <w:rPr>
          <w:lang w:val="en-GB"/>
        </w:rPr>
        <w:t>Genus layer provides wors</w:t>
      </w:r>
      <w:r w:rsidR="00EB16F5">
        <w:rPr>
          <w:lang w:val="en-GB"/>
        </w:rPr>
        <w:t>t</w:t>
      </w:r>
      <w:r>
        <w:rPr>
          <w:lang w:val="en-GB"/>
        </w:rPr>
        <w:t xml:space="preserve"> performance</w:t>
      </w:r>
    </w:p>
    <w:p w14:paraId="2D43E710" w14:textId="4F372677" w:rsidR="002B10C8" w:rsidRDefault="00F30F05" w:rsidP="00F30F05">
      <w:pPr>
        <w:rPr>
          <w:lang w:val="en-GB"/>
        </w:rPr>
      </w:pPr>
      <w:r>
        <w:rPr>
          <w:lang w:val="en-GB"/>
        </w:rPr>
        <w:t>The genus layer seems to provide the worst performance. This is possibly because the taxonomic genus data is mined from the tumor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11CB8F0E" w14:textId="28896E86" w:rsidR="00F30F05"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769D97FA" w14:textId="2EB4DF34" w:rsidR="002B10C8" w:rsidRDefault="00EB16F5" w:rsidP="002B10C8">
      <w:pPr>
        <w:pStyle w:val="Heading3"/>
        <w:rPr>
          <w:lang w:val="en-GB"/>
        </w:rPr>
      </w:pPr>
      <w:r>
        <w:rPr>
          <w:lang w:val="en-GB"/>
        </w:rPr>
        <w:lastRenderedPageBreak/>
        <w:t xml:space="preserve">Results are independent of prediction model </w:t>
      </w:r>
    </w:p>
    <w:p w14:paraId="25207D61" w14:textId="50CA5524"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 using multiple prediction models and hyper parameter tuning</w:t>
      </w:r>
      <w:r w:rsidR="00E4256B">
        <w:rPr>
          <w:lang w:val="en-GB"/>
        </w:rPr>
        <w:t>.</w:t>
      </w:r>
    </w:p>
    <w:p w14:paraId="7D312250" w14:textId="187EC9E1" w:rsidR="00A36F3A" w:rsidRDefault="00A36F3A" w:rsidP="002E1F07">
      <w:pPr>
        <w:rPr>
          <w:lang w:val="en-GB"/>
        </w:rPr>
      </w:pPr>
      <w:r>
        <w:rPr>
          <w:lang w:val="en-GB"/>
        </w:rPr>
        <w:t>The results indicate that the lack of performance is not due to the model not being able to properly capture complex nonlinear relationships.</w:t>
      </w:r>
    </w:p>
    <w:p w14:paraId="548B3968" w14:textId="01287EE1" w:rsidR="002E1F07" w:rsidRDefault="00E4256B" w:rsidP="002E1F07">
      <w:pPr>
        <w:rPr>
          <w:lang w:val="en-GB"/>
        </w:rPr>
      </w:pPr>
      <w:r>
        <w:rPr>
          <w:lang w:val="en-GB"/>
        </w:rPr>
        <w:t>We ran the main experimental setup using a hyper parameter tuned elastic net model</w:t>
      </w:r>
      <w:r w:rsidR="002E1F07">
        <w:rPr>
          <w:lang w:val="en-GB"/>
        </w:rPr>
        <w:t xml:space="preserve"> (</w:t>
      </w:r>
      <w:r w:rsidR="002E1F07">
        <w:rPr>
          <w:lang w:val="en-GB"/>
        </w:rPr>
        <w:fldChar w:fldCharType="begin"/>
      </w:r>
      <w:r w:rsidR="002E1F07">
        <w:rPr>
          <w:lang w:val="en-GB"/>
        </w:rPr>
        <w:instrText xml:space="preserve"> REF _Ref128407322 \h </w:instrText>
      </w:r>
      <w:r w:rsidR="002E1F07">
        <w:rPr>
          <w:lang w:val="en-GB"/>
        </w:rPr>
      </w:r>
      <w:r w:rsidR="002E1F07">
        <w:rPr>
          <w:lang w:val="en-GB"/>
        </w:rPr>
        <w:fldChar w:fldCharType="separate"/>
      </w:r>
      <w:r w:rsidR="002E1F07">
        <w:t xml:space="preserve">Figure </w:t>
      </w:r>
      <w:r w:rsidR="002E1F07">
        <w:rPr>
          <w:noProof/>
        </w:rPr>
        <w:t>6</w:t>
      </w:r>
      <w:r w:rsidR="002E1F07">
        <w:rPr>
          <w:lang w:val="en-GB"/>
        </w:rPr>
        <w:fldChar w:fldCharType="end"/>
      </w:r>
      <w:r w:rsidR="002E1F07">
        <w:rPr>
          <w:lang w:val="en-GB"/>
        </w:rPr>
        <w:t>).</w:t>
      </w:r>
      <w:r>
        <w:rPr>
          <w:lang w:val="en-GB"/>
        </w:rPr>
        <w:t xml:space="preserve"> As can be seen, this leads to similar results, namely that there is no improvement when integrating the two modalities.</w:t>
      </w:r>
    </w:p>
    <w:p w14:paraId="21821339" w14:textId="77777777" w:rsidR="00E4256B" w:rsidRDefault="00E4256B" w:rsidP="002E1F07">
      <w:pPr>
        <w:rPr>
          <w:lang w:val="en-GB"/>
        </w:rPr>
      </w:pPr>
    </w:p>
    <w:p w14:paraId="7C2631E1" w14:textId="77777777" w:rsidR="002E1F07" w:rsidRDefault="002E1F07" w:rsidP="002E1F07">
      <w:pPr>
        <w:keepNext/>
      </w:pPr>
      <w:r>
        <w:rPr>
          <w:noProof/>
          <w:lang w:val="en-GB"/>
        </w:rPr>
        <w:drawing>
          <wp:inline distT="0" distB="0" distL="0" distR="0" wp14:anchorId="081C011F" wp14:editId="3563C759">
            <wp:extent cx="2446020" cy="233074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356" cy="2334878"/>
                    </a:xfrm>
                    <a:prstGeom prst="rect">
                      <a:avLst/>
                    </a:prstGeom>
                  </pic:spPr>
                </pic:pic>
              </a:graphicData>
            </a:graphic>
          </wp:inline>
        </w:drawing>
      </w:r>
    </w:p>
    <w:p w14:paraId="6054828B" w14:textId="3884023B" w:rsidR="002E1F07" w:rsidRDefault="002E1F07" w:rsidP="002E1F07">
      <w:pPr>
        <w:pStyle w:val="Caption"/>
      </w:pPr>
      <w:bookmarkStart w:id="5" w:name="_Ref128407322"/>
      <w:r>
        <w:t xml:space="preserve">Figure </w:t>
      </w:r>
      <w:fldSimple w:instr=" SEQ Figure \* ARABIC ">
        <w:r w:rsidR="00625602">
          <w:rPr>
            <w:noProof/>
          </w:rPr>
          <w:t>4</w:t>
        </w:r>
      </w:fldSimple>
      <w:bookmarkEnd w:id="5"/>
      <w:r>
        <w:t xml:space="preserve">: </w:t>
      </w:r>
      <w:r w:rsidR="00E4256B">
        <w:t xml:space="preserve">RMSE for the </w:t>
      </w:r>
      <w:r>
        <w:t>stage prediction</w:t>
      </w:r>
      <w:r w:rsidR="00E4256B">
        <w:t xml:space="preserve"> endpoint for STAD using an</w:t>
      </w:r>
      <w:r>
        <w:t xml:space="preserve"> elastic net</w:t>
      </w:r>
      <w:r w:rsidR="00E4256B">
        <w:t xml:space="preserve"> model.</w:t>
      </w:r>
    </w:p>
    <w:p w14:paraId="2520E770" w14:textId="182AE553" w:rsidR="002E1F07" w:rsidRDefault="002B6EB7" w:rsidP="002E1F07">
      <w:pPr>
        <w:rPr>
          <w:lang w:val="en-GB"/>
        </w:rPr>
      </w:pPr>
      <w:r>
        <w:rPr>
          <w:lang w:val="en-GB"/>
        </w:rPr>
        <w:t>W</w:t>
      </w:r>
      <w:r w:rsidR="002E1F07">
        <w:rPr>
          <w:lang w:val="en-GB"/>
        </w:rPr>
        <w:t xml:space="preserve">e have </w:t>
      </w:r>
      <w:r>
        <w:rPr>
          <w:lang w:val="en-GB"/>
        </w:rPr>
        <w:t xml:space="preserve">also repeated the same experiment using a </w:t>
      </w:r>
      <w:r w:rsidR="002E1F07">
        <w:rPr>
          <w:lang w:val="en-GB"/>
        </w:rPr>
        <w:t xml:space="preserve">random forest model </w:t>
      </w:r>
      <w:r>
        <w:rPr>
          <w:lang w:val="en-GB"/>
        </w:rPr>
        <w:t xml:space="preserve">with similar results </w:t>
      </w:r>
      <w:r w:rsidR="002E1F07">
        <w:rPr>
          <w:lang w:val="en-GB"/>
        </w:rPr>
        <w:t>(</w:t>
      </w:r>
      <w:r w:rsidR="002E1F07">
        <w:rPr>
          <w:lang w:val="en-GB"/>
        </w:rPr>
        <w:fldChar w:fldCharType="begin"/>
      </w:r>
      <w:r w:rsidR="002E1F07">
        <w:rPr>
          <w:lang w:val="en-GB"/>
        </w:rPr>
        <w:instrText xml:space="preserve"> REF _Ref128407481 \h </w:instrText>
      </w:r>
      <w:r w:rsidR="002E1F07">
        <w:rPr>
          <w:lang w:val="en-GB"/>
        </w:rPr>
      </w:r>
      <w:r w:rsidR="002E1F07">
        <w:rPr>
          <w:lang w:val="en-GB"/>
        </w:rPr>
        <w:fldChar w:fldCharType="separate"/>
      </w:r>
      <w:r w:rsidR="002E1F07">
        <w:t xml:space="preserve">Figure </w:t>
      </w:r>
      <w:r w:rsidR="002E1F07">
        <w:rPr>
          <w:noProof/>
        </w:rPr>
        <w:t>7</w:t>
      </w:r>
      <w:r w:rsidR="002E1F07">
        <w:rPr>
          <w:lang w:val="en-GB"/>
        </w:rPr>
        <w:fldChar w:fldCharType="end"/>
      </w:r>
      <w:r w:rsidR="002E1F07">
        <w:rPr>
          <w:lang w:val="en-GB"/>
        </w:rPr>
        <w:t>).</w:t>
      </w: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7EB858FF" w:rsidR="002E1F07" w:rsidRDefault="002E1F07" w:rsidP="002E1F07">
      <w:pPr>
        <w:pStyle w:val="Caption"/>
      </w:pPr>
      <w:bookmarkStart w:id="6" w:name="_Ref128407481"/>
      <w:r>
        <w:t xml:space="preserve">Figure </w:t>
      </w:r>
      <w:fldSimple w:instr=" SEQ Figure \* ARABIC ">
        <w:r w:rsidR="00625602">
          <w:rPr>
            <w:noProof/>
          </w:rPr>
          <w:t>5</w:t>
        </w:r>
      </w:fldSimple>
      <w:bookmarkEnd w:id="6"/>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lastRenderedPageBreak/>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23E55E5B" w14:textId="223CE241" w:rsidR="002E1F07" w:rsidRDefault="002E1F07" w:rsidP="002E1F07">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FE7B96">
        <w:t xml:space="preserve">Figure </w:t>
      </w:r>
      <w:r w:rsidR="00FE7B96">
        <w:rPr>
          <w:noProof/>
        </w:rPr>
        <w:t>7</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31617BA3" w14:textId="3925E7A0" w:rsidR="002E1F07" w:rsidRDefault="002E1F07" w:rsidP="002E1F07">
      <w:pPr>
        <w:keepNext/>
      </w:pPr>
    </w:p>
    <w:p w14:paraId="0BC4D3F5" w14:textId="77777777" w:rsidR="00FE7B96" w:rsidRDefault="00FE7B96" w:rsidP="002E1F07">
      <w:pPr>
        <w:keepNext/>
        <w:rPr>
          <w:noProof/>
          <w:lang w:val="en-GB"/>
        </w:rPr>
      </w:pPr>
    </w:p>
    <w:p w14:paraId="003A82C2" w14:textId="75B3BF75" w:rsidR="002E1F07" w:rsidRDefault="002E1F07" w:rsidP="002E1F07">
      <w:pPr>
        <w:keepNext/>
      </w:pPr>
      <w:r>
        <w:rPr>
          <w:noProof/>
          <w:lang w:val="en-GB"/>
        </w:rPr>
        <w:drawing>
          <wp:inline distT="0" distB="0" distL="0" distR="0" wp14:anchorId="7D776C23" wp14:editId="219F4200">
            <wp:extent cx="1418590" cy="133921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75249"/>
                    <a:stretch/>
                  </pic:blipFill>
                  <pic:spPr bwMode="auto">
                    <a:xfrm>
                      <a:off x="0" y="0"/>
                      <a:ext cx="1418590" cy="1339215"/>
                    </a:xfrm>
                    <a:prstGeom prst="rect">
                      <a:avLst/>
                    </a:prstGeom>
                    <a:ln>
                      <a:noFill/>
                    </a:ln>
                    <a:extLst>
                      <a:ext uri="{53640926-AAD7-44D8-BBD7-CCE9431645EC}">
                        <a14:shadowObscured xmlns:a14="http://schemas.microsoft.com/office/drawing/2010/main"/>
                      </a:ext>
                    </a:extLst>
                  </pic:spPr>
                </pic:pic>
              </a:graphicData>
            </a:graphic>
          </wp:inline>
        </w:drawing>
      </w:r>
    </w:p>
    <w:p w14:paraId="68BDCDC0" w14:textId="19899CA0" w:rsidR="002E1F07" w:rsidRPr="002E1F07" w:rsidRDefault="002E1F07" w:rsidP="002E1F07">
      <w:pPr>
        <w:pStyle w:val="Caption"/>
        <w:rPr>
          <w:lang w:val="en-GB"/>
        </w:rPr>
      </w:pPr>
      <w:bookmarkStart w:id="7" w:name="_Ref129572874"/>
      <w:r>
        <w:t xml:space="preserve">Figure </w:t>
      </w:r>
      <w:fldSimple w:instr=" SEQ Figure \* ARABIC ">
        <w:r w:rsidR="00625602">
          <w:rPr>
            <w:noProof/>
          </w:rPr>
          <w:t>6</w:t>
        </w:r>
      </w:fldSimple>
      <w:bookmarkEnd w:id="7"/>
      <w:r>
        <w:t>: Cancer predictions for stage using chi2</w:t>
      </w:r>
    </w:p>
    <w:p w14:paraId="6637EAD4" w14:textId="3DF536BC" w:rsidR="00283898" w:rsidRDefault="00283898" w:rsidP="00283898">
      <w:pPr>
        <w:pStyle w:val="Heading3"/>
        <w:rPr>
          <w:lang w:val="en-GB"/>
        </w:rPr>
      </w:pPr>
      <w:r>
        <w:rPr>
          <w:lang w:val="en-GB"/>
        </w:rPr>
        <w:t>Feature selection is dominated by one modality</w:t>
      </w:r>
    </w:p>
    <w:p w14:paraId="449368DB" w14:textId="77777777" w:rsidR="00E34420" w:rsidRDefault="00E34420" w:rsidP="00E34420">
      <w:pPr>
        <w:rPr>
          <w:lang w:val="en-GB"/>
        </w:rPr>
      </w:pPr>
      <w:r>
        <w:rPr>
          <w:lang w:val="en-GB"/>
        </w:rPr>
        <w:t>To investigate the distribution of the types of features selected for each feature selection method and feature amounts, the proportion for which each layer is represented in the final feature sets is investigated by saving the selected features for each combinatorial state of the pipeline in each iteration. The proportion is then plotted for all the different cancers for each feature amount.</w:t>
      </w:r>
    </w:p>
    <w:p w14:paraId="71A58F35" w14:textId="528BE4E6" w:rsidR="00283898" w:rsidRPr="00283898" w:rsidRDefault="00283898" w:rsidP="00283898">
      <w:pPr>
        <w:rPr>
          <w:lang w:val="en-GB"/>
        </w:rPr>
      </w:pPr>
      <w:r>
        <w:rPr>
          <w:lang w:val="en-GB"/>
        </w:rPr>
        <w:t>It seems that when performing feature selection on the integrated data set, most of the features selected</w:t>
      </w:r>
      <w:r w:rsidR="00B17DBC">
        <w:rPr>
          <w:lang w:val="en-GB"/>
        </w:rPr>
        <w:t xml:space="preserve"> originate from the gene expression set</w:t>
      </w:r>
      <w:r w:rsidR="005A59C9">
        <w:rPr>
          <w:lang w:val="en-GB"/>
        </w:rPr>
        <w:t xml:space="preserve"> (</w:t>
      </w:r>
      <w:r w:rsidR="005A59C9">
        <w:rPr>
          <w:lang w:val="en-GB"/>
        </w:rPr>
        <w:fldChar w:fldCharType="begin"/>
      </w:r>
      <w:r w:rsidR="005A59C9">
        <w:rPr>
          <w:lang w:val="en-GB"/>
        </w:rPr>
        <w:instrText xml:space="preserve"> REF _Ref121922778 \h </w:instrText>
      </w:r>
      <w:r w:rsidR="005A59C9">
        <w:rPr>
          <w:lang w:val="en-GB"/>
        </w:rPr>
      </w:r>
      <w:r w:rsidR="005A59C9">
        <w:rPr>
          <w:lang w:val="en-GB"/>
        </w:rPr>
        <w:fldChar w:fldCharType="separate"/>
      </w:r>
      <w:r w:rsidR="00C91258">
        <w:t xml:space="preserve">Figure </w:t>
      </w:r>
      <w:r w:rsidR="00C91258">
        <w:rPr>
          <w:noProof/>
        </w:rPr>
        <w:t>7</w:t>
      </w:r>
      <w:r w:rsidR="005A59C9">
        <w:rPr>
          <w:lang w:val="en-GB"/>
        </w:rPr>
        <w:fldChar w:fldCharType="end"/>
      </w:r>
      <w:r w:rsidR="005A59C9">
        <w:rPr>
          <w:lang w:val="en-GB"/>
        </w:rPr>
        <w:t>)</w:t>
      </w:r>
      <w:r w:rsidR="00B17DBC">
        <w:rPr>
          <w:lang w:val="en-GB"/>
        </w:rPr>
        <w:t>.</w:t>
      </w:r>
      <w:r>
        <w:rPr>
          <w:lang w:val="en-GB"/>
        </w:rPr>
        <w:t xml:space="preserve"> </w:t>
      </w:r>
    </w:p>
    <w:p w14:paraId="6C63F8CD" w14:textId="77083CCB" w:rsidR="005E5774" w:rsidRDefault="005E5774" w:rsidP="005E5774">
      <w:pPr>
        <w:pStyle w:val="Caption"/>
      </w:pPr>
    </w:p>
    <w:p w14:paraId="23C22CE1" w14:textId="280B4D05" w:rsidR="00C401CE" w:rsidRDefault="00C401CE" w:rsidP="00C401CE">
      <w:pPr>
        <w:rPr>
          <w:lang w:val="en-GB"/>
        </w:rPr>
      </w:pPr>
      <w:r>
        <w:rPr>
          <w:lang w:val="en-GB"/>
        </w:rPr>
        <w:t>One possible reason for the domination of gene expression features is that the original data set contains much more gene expression features than taxonomic genus features (more than 20 times as much). Thus, there are simply more gene expression features to select from. It is clear that the microbial features are still useful, given that they are still reasonably well represented when selecting the top 5 or 10 features.</w:t>
      </w:r>
    </w:p>
    <w:p w14:paraId="54968278" w14:textId="17C5AD16" w:rsidR="00484C0B" w:rsidRDefault="00484C0B" w:rsidP="00C401CE">
      <w:pPr>
        <w:rPr>
          <w:lang w:val="en-GB"/>
        </w:rPr>
      </w:pPr>
      <w:r>
        <w:rPr>
          <w:lang w:val="en-GB"/>
        </w:rPr>
        <w:t>The chi-square test is not model for dependency between features.</w:t>
      </w:r>
    </w:p>
    <w:p w14:paraId="158DEA27" w14:textId="477ECA2C" w:rsidR="00484C0B" w:rsidRPr="00C401CE" w:rsidRDefault="00484C0B" w:rsidP="00C401CE">
      <w:pPr>
        <w:rPr>
          <w:lang w:val="en-GB"/>
        </w:rPr>
      </w:pPr>
      <w:hyperlink r:id="rId17" w:history="1">
        <w:r w:rsidRPr="00663181">
          <w:rPr>
            <w:rStyle w:val="Hyperlink"/>
            <w:lang w:val="en-GB"/>
          </w:rPr>
          <w:t>https://www.ncbi.nlm.nih.gov/pmc/articles/PMC9580915/</w:t>
        </w:r>
      </w:hyperlink>
      <w:r>
        <w:rPr>
          <w:lang w:val="en-GB"/>
        </w:rPr>
        <w:t xml:space="preserve"> there is no best feature selection and linear regression doesn’t automatically model dependencies ()</w:t>
      </w:r>
    </w:p>
    <w:p w14:paraId="43D1E8A4" w14:textId="58C99749" w:rsidR="005A59C9" w:rsidRDefault="005A59C9" w:rsidP="005A59C9">
      <w:pPr>
        <w:pStyle w:val="Heading4"/>
      </w:pPr>
      <w:r>
        <w:t>GE modality dominance is smaller in stage prediction</w:t>
      </w:r>
    </w:p>
    <w:p w14:paraId="48BD9FD0" w14:textId="51D6C416" w:rsidR="00C401CE" w:rsidRPr="00C401CE" w:rsidRDefault="00C401CE" w:rsidP="00C401CE">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5BD9238D" w14:textId="77777777" w:rsidR="00B17DBC" w:rsidRDefault="00283898" w:rsidP="00B17DBC">
      <w:pPr>
        <w:keepNext/>
      </w:pPr>
      <w:r>
        <w:rPr>
          <w:noProof/>
          <w:lang w:val="en-GB"/>
        </w:rPr>
        <w:lastRenderedPageBreak/>
        <w:drawing>
          <wp:inline distT="0" distB="0" distL="0" distR="0" wp14:anchorId="5BE6D455" wp14:editId="7007FACB">
            <wp:extent cx="5731510"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CF055E6" w14:textId="3E13DF1D" w:rsidR="004E7F30" w:rsidRDefault="00B17DBC" w:rsidP="004E7F30">
      <w:pPr>
        <w:pStyle w:val="Caption"/>
      </w:pPr>
      <w:r>
        <w:t xml:space="preserve">Figure </w:t>
      </w:r>
      <w:fldSimple w:instr=" SEQ Figure \* ARABIC ">
        <w:r w:rsidR="00625602">
          <w:rPr>
            <w:noProof/>
          </w:rPr>
          <w:t>7</w:t>
        </w:r>
      </w:fldSimple>
      <w:r>
        <w:t xml:space="preserve">: </w:t>
      </w:r>
      <w:r w:rsidR="004E7F30">
        <w:t xml:space="preserve">the fraction of GE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B2FBE3E" w14:textId="6B1C1E29" w:rsidR="00EE7197" w:rsidRDefault="00EE7197" w:rsidP="004E7F30">
      <w:pPr>
        <w:pStyle w:val="Caption"/>
      </w:pPr>
      <w:r>
        <w:rPr>
          <w:noProof/>
        </w:rPr>
        <w:drawing>
          <wp:inline distT="0" distB="0" distL="0" distR="0" wp14:anchorId="5B87FA20" wp14:editId="4BBFA43F">
            <wp:extent cx="573151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14FECEE" w14:textId="1C85032D" w:rsidR="004E7F30" w:rsidRDefault="00EE7197" w:rsidP="004E7F30">
      <w:pPr>
        <w:pStyle w:val="Caption"/>
      </w:pPr>
      <w:r>
        <w:t xml:space="preserve">Figure </w:t>
      </w:r>
      <w:fldSimple w:instr=" SEQ Figure \* ARABIC ">
        <w:r w:rsidR="00625602">
          <w:rPr>
            <w:noProof/>
          </w:rPr>
          <w:t>8</w:t>
        </w:r>
      </w:fldSimple>
      <w:r>
        <w:t xml:space="preserve">: </w:t>
      </w:r>
      <w:r w:rsidR="004E7F30">
        <w:t xml:space="preserve">the absolute amount of GENUS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BDC0AC0" w14:textId="05676CBD" w:rsidR="00B17DBC" w:rsidRDefault="00B17DBC" w:rsidP="004E7F30">
      <w:pPr>
        <w:pStyle w:val="Caption"/>
        <w:rPr>
          <w:lang w:val="en-GB"/>
        </w:rPr>
      </w:pPr>
      <w:r>
        <w:rPr>
          <w:lang w:val="en-GB"/>
        </w:rPr>
        <w:t>One possible way to deal with this is to correct for the amount of base features in each modality. Additionally, it is possible to use</w:t>
      </w:r>
      <w:r w:rsidR="008D0951">
        <w:rPr>
          <w:lang w:val="en-GB"/>
        </w:rPr>
        <w:t xml:space="preserve"> feature selection on the original modalities separately prior to concatenating.</w:t>
      </w:r>
    </w:p>
    <w:p w14:paraId="60952C38" w14:textId="2985E1AE" w:rsidR="00206688" w:rsidRDefault="00334B32" w:rsidP="00334B32">
      <w:pPr>
        <w:rPr>
          <w:lang w:val="en-GB"/>
        </w:rPr>
      </w:pPr>
      <w:r>
        <w:rPr>
          <w:lang w:val="en-GB"/>
        </w:rPr>
        <w:t>When selecting features with linreg for HNSC for tumor versus normal prediction, one microbial genus which is consistently selected is Prevotella.</w:t>
      </w:r>
      <w:r w:rsidR="00206688">
        <w:rPr>
          <w:lang w:val="en-GB"/>
        </w:rPr>
        <w:t xml:space="preserve"> Across </w:t>
      </w:r>
      <w:r w:rsidR="00D47231">
        <w:rPr>
          <w:lang w:val="en-GB"/>
        </w:rPr>
        <w:t>iterations</w:t>
      </w:r>
      <w:r w:rsidR="00206688">
        <w:rPr>
          <w:lang w:val="en-GB"/>
        </w:rPr>
        <w:t xml:space="preserve">, even when only 6 features are selected, this one is selected. </w:t>
      </w:r>
    </w:p>
    <w:p w14:paraId="102F99A5" w14:textId="0EE98859" w:rsidR="00D47231" w:rsidRDefault="00D47231" w:rsidP="00334B32">
      <w:pPr>
        <w:rPr>
          <w:lang w:val="en-GB"/>
        </w:rPr>
      </w:pPr>
      <w:r>
        <w:rPr>
          <w:lang w:val="en-GB"/>
        </w:rPr>
        <w:lastRenderedPageBreak/>
        <w:t>For linreg/HNSC/Stage prediction, in certain iterations with 6 or 10 features selected, the microbial Genus which is consistently selected (when one is selected) is Fusobacterium.</w:t>
      </w:r>
    </w:p>
    <w:p w14:paraId="30206F69" w14:textId="55E5A3B6" w:rsidR="00824604" w:rsidRDefault="00824604" w:rsidP="00334B32">
      <w:pPr>
        <w:rPr>
          <w:lang w:val="en-GB"/>
        </w:rPr>
      </w:pPr>
      <w:r>
        <w:rPr>
          <w:lang w:val="en-GB"/>
        </w:rPr>
        <w:t>This is consistent with previous studies confirming the association between Fusobacterium and oral squamous cell carcinoma</w:t>
      </w:r>
      <w:r w:rsidR="0069728B">
        <w:rPr>
          <w:lang w:val="en-GB"/>
        </w:rPr>
        <w:t xml:space="preserve"> </w:t>
      </w:r>
      <w:r w:rsidR="0069728B">
        <w:rPr>
          <w:lang w:val="en-GB"/>
        </w:rPr>
        <w:fldChar w:fldCharType="begin"/>
      </w:r>
      <w:r w:rsidR="00FE241F">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sidR="0069728B">
        <w:rPr>
          <w:lang w:val="en-GB"/>
        </w:rPr>
        <w:fldChar w:fldCharType="separate"/>
      </w:r>
      <w:r w:rsidR="00FE241F" w:rsidRPr="00FE241F">
        <w:rPr>
          <w:rFonts w:ascii="Calibri" w:hAnsi="Calibri" w:cs="Calibri"/>
          <w:szCs w:val="24"/>
          <w:vertAlign w:val="superscript"/>
        </w:rPr>
        <w:t>28</w:t>
      </w:r>
      <w:r w:rsidR="0069728B">
        <w:rPr>
          <w:lang w:val="en-GB"/>
        </w:rPr>
        <w:fldChar w:fldCharType="end"/>
      </w:r>
      <w:r>
        <w:rPr>
          <w:lang w:val="en-GB"/>
        </w:rPr>
        <w:t>.</w:t>
      </w:r>
    </w:p>
    <w:p w14:paraId="6BC34189" w14:textId="0A5B450C" w:rsidR="00334B32" w:rsidRDefault="00206688" w:rsidP="00334B32">
      <w:pPr>
        <w:rPr>
          <w:lang w:val="en-GB"/>
        </w:rPr>
      </w:pPr>
      <w:r>
        <w:rPr>
          <w:lang w:val="en-GB"/>
        </w:rPr>
        <w:t xml:space="preserve">The same counts for linreg for COAD for stage prediction </w:t>
      </w:r>
      <w:r w:rsidR="00D47231">
        <w:rPr>
          <w:lang w:val="en-GB"/>
        </w:rPr>
        <w:t xml:space="preserve">with 6 features </w:t>
      </w:r>
      <w:r>
        <w:rPr>
          <w:lang w:val="en-GB"/>
        </w:rPr>
        <w:t xml:space="preserve">but </w:t>
      </w:r>
      <w:r w:rsidR="00D47231">
        <w:rPr>
          <w:lang w:val="en-GB"/>
        </w:rPr>
        <w:t xml:space="preserve"> him </w:t>
      </w:r>
      <w:r>
        <w:rPr>
          <w:lang w:val="en-GB"/>
        </w:rPr>
        <w:t>with Bacteroides.</w:t>
      </w:r>
    </w:p>
    <w:p w14:paraId="24BEA7B7" w14:textId="2AD6D657" w:rsidR="00206688" w:rsidRPr="00334B32" w:rsidRDefault="00824604" w:rsidP="00334B32">
      <w:pPr>
        <w:rPr>
          <w:lang w:val="en-GB"/>
        </w:rPr>
      </w:pPr>
      <w:r>
        <w:rPr>
          <w:lang w:val="en-GB"/>
        </w:rPr>
        <w:t>[Maybe make a table with all the combinatorial combinations along with distribution of selected or the most frequently selected genus] maybe try univariate for PERMANOVA tests? (</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7E53BF27" w:rsidR="00451C9E" w:rsidRDefault="00451C9E" w:rsidP="00451C9E">
      <w:pPr>
        <w:rPr>
          <w:lang w:val="en-GB"/>
        </w:rPr>
      </w:pPr>
      <w:r>
        <w:rPr>
          <w:lang w:val="en-GB"/>
        </w:rPr>
        <w:t xml:space="preserve">To determine whether the domination of one modality in the features selected has an effect on the added performance of the holo-omic approach, we repeated the above experiments while enforcing parity in the amount of features selected of each modality. To do this, we performed feature selection prior to integrating the modalities to ensure that the same amount of features are selected of each modality. </w:t>
      </w:r>
    </w:p>
    <w:p w14:paraId="6DD93C1E" w14:textId="50767231"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Pr>
          <w:lang w:val="en-GB"/>
        </w:rPr>
        <w:fldChar w:fldCharType="begin"/>
      </w:r>
      <w:r>
        <w:rPr>
          <w:lang w:val="en-GB"/>
        </w:rPr>
        <w:instrText xml:space="preserve"> REF _Ref121922446 \h </w:instrText>
      </w:r>
      <w:r>
        <w:rPr>
          <w:lang w:val="en-GB"/>
        </w:rPr>
      </w:r>
      <w:r>
        <w:rPr>
          <w:lang w:val="en-GB"/>
        </w:rPr>
        <w:fldChar w:fldCharType="separate"/>
      </w:r>
      <w:r w:rsidR="00C91258">
        <w:t xml:space="preserve">Figure </w:t>
      </w:r>
      <w:r w:rsidR="00C91258">
        <w:rPr>
          <w:noProof/>
        </w:rPr>
        <w:t>4</w:t>
      </w:r>
      <w:r>
        <w:rPr>
          <w:lang w:val="en-GB"/>
        </w:rPr>
        <w:fldChar w:fldCharType="end"/>
      </w:r>
      <w:r>
        <w:rPr>
          <w:lang w:val="en-GB"/>
        </w:rPr>
        <w:t>).</w:t>
      </w:r>
    </w:p>
    <w:p w14:paraId="1412B0FB" w14:textId="5F1812C0" w:rsidR="009240AB" w:rsidRDefault="00AB3B0E" w:rsidP="009240AB">
      <w:pPr>
        <w:rPr>
          <w:lang w:val="en-GB"/>
        </w:rPr>
      </w:pPr>
      <w:r>
        <w:rPr>
          <w:lang w:val="en-GB"/>
        </w:rPr>
        <w:t>[Display performance of integrated modality versus individual modalities when enforcing modality parity]</w:t>
      </w:r>
    </w:p>
    <w:p w14:paraId="29D50F0B" w14:textId="77777777" w:rsidR="00E07EFA" w:rsidRDefault="00792A21" w:rsidP="00E07EFA">
      <w:pPr>
        <w:keepNext/>
      </w:pPr>
      <w:r>
        <w:rPr>
          <w:noProof/>
          <w:lang w:val="en-GB"/>
        </w:rPr>
        <w:drawing>
          <wp:inline distT="0" distB="0" distL="0" distR="0" wp14:anchorId="73FFC065" wp14:editId="1F4239FB">
            <wp:extent cx="573024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240" cy="1432560"/>
                    </a:xfrm>
                    <a:prstGeom prst="rect">
                      <a:avLst/>
                    </a:prstGeom>
                  </pic:spPr>
                </pic:pic>
              </a:graphicData>
            </a:graphic>
          </wp:inline>
        </w:drawing>
      </w:r>
    </w:p>
    <w:p w14:paraId="399445FD" w14:textId="180E48BD" w:rsidR="00792A21" w:rsidRDefault="00E07EFA" w:rsidP="00E07EFA">
      <w:pPr>
        <w:pStyle w:val="Caption"/>
      </w:pPr>
      <w:r>
        <w:t xml:space="preserve">Figure </w:t>
      </w:r>
      <w:fldSimple w:instr=" SEQ Figure \* ARABIC ">
        <w:r w:rsidR="00625602">
          <w:rPr>
            <w:noProof/>
          </w:rPr>
          <w:t>9</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r w:rsidR="00792A21">
        <w:t xml:space="preserve"> </w:t>
      </w:r>
    </w:p>
    <w:p w14:paraId="27F2B746" w14:textId="7FF200B4" w:rsidR="00FA06DE" w:rsidRDefault="00FA06DE">
      <w:pPr>
        <w:pStyle w:val="Heading3"/>
      </w:pPr>
      <w:r>
        <w:t>Selected genus features are supported by research</w:t>
      </w:r>
    </w:p>
    <w:p w14:paraId="76F7F7E5" w14:textId="1B6154D8"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8D4084">
        <w:t xml:space="preserve">Figure </w:t>
      </w:r>
      <w:r w:rsidR="008D4084">
        <w:rPr>
          <w:noProof/>
        </w:rPr>
        <w:t>15</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esophageal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61AE4521" w:rsidR="00FA06DE" w:rsidRDefault="00FA06DE" w:rsidP="00FA06DE">
      <w:pPr>
        <w:rPr>
          <w:iCs/>
          <w:lang w:val="en-GB"/>
        </w:rPr>
      </w:pPr>
      <w:r>
        <w:rPr>
          <w:lang w:val="en-GB"/>
        </w:rPr>
        <w:lastRenderedPageBreak/>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FE241F">
        <w:rPr>
          <w:iCs/>
          <w:lang w:val="en-GB"/>
        </w:rPr>
        <w:instrText xml:space="preserve"> ADDIN ZOTERO_ITEM CSL_CITATION {"citationID":"fngFedKv","properties":{"formattedCitation":"\\super 33\\nosupersub{}","plainCitation":"33","noteIndex":0},"citationItems":[{"id":229,"uris":["http://zotero.org/users/local/0zqklVfX/items/Y3ENSH5I"],"itemData":{"id":229,"type":"article-journal","abstract":"Purpose: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343BECD4" w:rsidR="008D4084" w:rsidRPr="00C170C1" w:rsidRDefault="008D4084" w:rsidP="008D4084">
      <w:pPr>
        <w:pStyle w:val="Caption"/>
        <w:rPr>
          <w:lang w:val="en-GB"/>
        </w:rPr>
      </w:pPr>
      <w:bookmarkStart w:id="8" w:name="_Ref129019113"/>
      <w:r>
        <w:t xml:space="preserve">Figure </w:t>
      </w:r>
      <w:fldSimple w:instr=" SEQ Figure \* ARABIC ">
        <w:r w:rsidR="00625602">
          <w:rPr>
            <w:noProof/>
          </w:rPr>
          <w:t>10</w:t>
        </w:r>
      </w:fldSimple>
      <w:bookmarkEnd w:id="8"/>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5B32FD8F" w:rsidR="00FA06DE" w:rsidRDefault="00447E7D" w:rsidP="00F0583A">
      <w:pPr>
        <w:pStyle w:val="Heading2"/>
      </w:pPr>
      <w:r w:rsidRPr="00447E7D">
        <w:t>No improvement from complex integration</w:t>
      </w:r>
    </w:p>
    <w:p w14:paraId="4E364671" w14:textId="657938D1" w:rsidR="006442A3" w:rsidRP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4ADB43" w:rsidR="006442A3" w:rsidRPr="006442A3" w:rsidRDefault="00447E7D" w:rsidP="006442A3">
      <w:pPr>
        <w:pStyle w:val="Heading3"/>
      </w:pPr>
      <w:r w:rsidRPr="00447E7D">
        <w:t xml:space="preserve">Autoencoder </w:t>
      </w:r>
    </w:p>
    <w:p w14:paraId="2C3280B2" w14:textId="2D6F20AD" w:rsidR="006442A3" w:rsidRPr="00CB4397" w:rsidRDefault="006442A3" w:rsidP="00447E7D">
      <w:r>
        <w:t xml:space="preserve">Recently, autoencoders have seen much use in bioinformatics. Chaudhary et al. integrated host multi-omics data using an autoenoder for liver cancer survival rate prediction and subtype classification </w:t>
      </w:r>
      <w:r>
        <w:fldChar w:fldCharType="begin"/>
      </w:r>
      <w:r w:rsidR="004A78E6">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4A78E6" w:rsidRPr="004A78E6">
        <w:rPr>
          <w:rFonts w:ascii="Calibri" w:hAnsi="Calibri" w:cs="Calibri"/>
          <w:szCs w:val="24"/>
          <w:vertAlign w:val="superscript"/>
        </w:rPr>
        <w:t>23</w:t>
      </w:r>
      <w:r>
        <w:fldChar w:fldCharType="end"/>
      </w:r>
      <w:r w:rsidR="007F4E7B">
        <w:t xml:space="preserve"> as well as other prediction tasks </w:t>
      </w:r>
      <w:r w:rsidR="007F4E7B">
        <w:fldChar w:fldCharType="begin"/>
      </w:r>
      <w:r w:rsidR="004A78E6">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7F4E7B">
        <w:fldChar w:fldCharType="separate"/>
      </w:r>
      <w:r w:rsidR="004A78E6" w:rsidRPr="004A78E6">
        <w:rPr>
          <w:rFonts w:ascii="Calibri" w:hAnsi="Calibri" w:cs="Calibri"/>
          <w:szCs w:val="24"/>
          <w:vertAlign w:val="superscript"/>
        </w:rPr>
        <w:t>22</w:t>
      </w:r>
      <w:r w:rsidR="007F4E7B">
        <w:fldChar w:fldCharType="end"/>
      </w:r>
      <w:r>
        <w:t>.</w:t>
      </w:r>
      <w:r w:rsidR="007F4E7B">
        <w:t xml:space="preserve"> </w:t>
      </w:r>
      <w:r>
        <w:t xml:space="preserve"> </w:t>
      </w:r>
      <w:r w:rsidR="00CB4397">
        <w:t xml:space="preserve"> As it showed effectiveness, we based our autoencoder architecture and strategy on th</w:t>
      </w:r>
      <w:r w:rsidR="007F4E7B">
        <w:t>e</w:t>
      </w:r>
      <w:r w:rsidR="00CB4397">
        <w:t xml:space="preserve"> paper</w:t>
      </w:r>
      <w:r w:rsidR="007F4E7B">
        <w:t xml:space="preserve"> by Chaudhary et al.</w:t>
      </w:r>
    </w:p>
    <w:p w14:paraId="22CBA7D2" w14:textId="70E684B2" w:rsidR="00447E7D" w:rsidRDefault="00AB203A" w:rsidP="00447E7D">
      <w:r>
        <w:t xml:space="preserve">To investigate whoever the lack of integration performance was due to the integration method chosen, we used the autoenoder to integrate the genus and gene expression features. It seems that the model flat lines and does not improve across feature selection amounts </w:t>
      </w:r>
      <w:r w:rsidR="00D11545">
        <w:t>(</w:t>
      </w:r>
      <w:r w:rsidR="00D11545">
        <w:fldChar w:fldCharType="begin"/>
      </w:r>
      <w:r w:rsidR="00D11545">
        <w:instrText xml:space="preserve"> REF _Ref128409828 \h </w:instrText>
      </w:r>
      <w:r w:rsidR="00D11545">
        <w:fldChar w:fldCharType="separate"/>
      </w:r>
      <w:r w:rsidR="00D11545">
        <w:t xml:space="preserve">Figure </w:t>
      </w:r>
      <w:r w:rsidR="00D11545">
        <w:rPr>
          <w:noProof/>
        </w:rPr>
        <w:t>15</w:t>
      </w:r>
      <w:r w:rsidR="00D11545">
        <w:fldChar w:fldCharType="end"/>
      </w:r>
      <w:r w:rsidR="00D11545">
        <w:t>).</w:t>
      </w:r>
    </w:p>
    <w:p w14:paraId="62AF5B0F" w14:textId="77777777" w:rsidR="00277133" w:rsidRDefault="00277133" w:rsidP="00277133">
      <w:pPr>
        <w:keepNext/>
      </w:pPr>
      <w:r>
        <w:rPr>
          <w:noProof/>
        </w:rPr>
        <w:drawing>
          <wp:inline distT="0" distB="0" distL="0" distR="0" wp14:anchorId="2B0AA7A2" wp14:editId="77E7E61D">
            <wp:extent cx="2331720" cy="222183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8411" cy="2228208"/>
                    </a:xfrm>
                    <a:prstGeom prst="rect">
                      <a:avLst/>
                    </a:prstGeom>
                  </pic:spPr>
                </pic:pic>
              </a:graphicData>
            </a:graphic>
          </wp:inline>
        </w:drawing>
      </w:r>
    </w:p>
    <w:p w14:paraId="318B3630" w14:textId="0B5247DB" w:rsidR="00277133" w:rsidRDefault="00277133" w:rsidP="00277133">
      <w:pPr>
        <w:pStyle w:val="Caption"/>
        <w:rPr>
          <w:noProof/>
        </w:rPr>
      </w:pPr>
      <w:bookmarkStart w:id="9" w:name="_Ref128409828"/>
      <w:r>
        <w:t xml:space="preserve">Figure </w:t>
      </w:r>
      <w:fldSimple w:instr=" SEQ Figure \* ARABIC ">
        <w:r w:rsidR="00625602">
          <w:rPr>
            <w:noProof/>
          </w:rPr>
          <w:t>11</w:t>
        </w:r>
      </w:fldSimple>
      <w:bookmarkEnd w:id="9"/>
      <w:r>
        <w:t xml:space="preserve">: </w:t>
      </w:r>
      <w:r w:rsidR="00D90D87">
        <w:t xml:space="preserve">RMSE of </w:t>
      </w:r>
      <w:r>
        <w:rPr>
          <w:noProof/>
        </w:rPr>
        <w:t xml:space="preserve">stage prediction </w:t>
      </w:r>
      <w:r w:rsidR="00D90D87">
        <w:rPr>
          <w:noProof/>
        </w:rPr>
        <w:t xml:space="preserve">for </w:t>
      </w:r>
      <w:r w:rsidR="00D90D87">
        <w:t>STAD</w:t>
      </w:r>
      <w:r w:rsidR="00D90D87">
        <w:rPr>
          <w:noProof/>
        </w:rPr>
        <w:t xml:space="preserve"> when using an </w:t>
      </w:r>
      <w:r>
        <w:rPr>
          <w:noProof/>
        </w:rPr>
        <w:t xml:space="preserve">elastic net </w:t>
      </w:r>
      <w:r w:rsidR="00D90D87">
        <w:rPr>
          <w:noProof/>
        </w:rPr>
        <w:t>prediction model with linear regression feature selection and the features extracted from an autoencoder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0BE3466A" w14:textId="7351BDB4" w:rsidR="00D84B1D" w:rsidRPr="00D84B1D" w:rsidRDefault="00D84B1D" w:rsidP="00D84B1D">
      <w:r>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6C7525C3" w:rsidR="00447E7D" w:rsidRDefault="00447E7D" w:rsidP="00447E7D">
      <w:pPr>
        <w:pStyle w:val="Heading3"/>
      </w:pPr>
      <w:r>
        <w:t xml:space="preserve">Nonnegative matrix factorization </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3EC8E1A7"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D11545">
        <w:t xml:space="preserve">Figure </w:t>
      </w:r>
      <w:r w:rsidR="00D11545">
        <w:rPr>
          <w:noProof/>
        </w:rPr>
        <w:t>16</w:t>
      </w:r>
      <w:r w:rsidR="00D11545">
        <w:fldChar w:fldCharType="end"/>
      </w:r>
      <w:r w:rsidR="00277133">
        <w:t>)</w:t>
      </w:r>
      <w:r w:rsidR="00D84B1D">
        <w:t>.</w:t>
      </w:r>
    </w:p>
    <w:p w14:paraId="48991351" w14:textId="77777777" w:rsidR="00277133" w:rsidRDefault="00277133" w:rsidP="00277133">
      <w:pPr>
        <w:keepNext/>
      </w:pPr>
      <w:r>
        <w:rPr>
          <w:noProof/>
        </w:rPr>
        <w:drawing>
          <wp:inline distT="0" distB="0" distL="0" distR="0" wp14:anchorId="5DEBBBA8" wp14:editId="606F7D2F">
            <wp:extent cx="2351080" cy="224028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909" cy="2244881"/>
                    </a:xfrm>
                    <a:prstGeom prst="rect">
                      <a:avLst/>
                    </a:prstGeom>
                  </pic:spPr>
                </pic:pic>
              </a:graphicData>
            </a:graphic>
          </wp:inline>
        </w:drawing>
      </w:r>
    </w:p>
    <w:p w14:paraId="0DE9743C" w14:textId="18FB0231" w:rsidR="00277133" w:rsidRPr="00447E7D" w:rsidRDefault="00277133" w:rsidP="00277133">
      <w:pPr>
        <w:pStyle w:val="Caption"/>
      </w:pPr>
      <w:bookmarkStart w:id="10" w:name="_Ref128409800"/>
      <w:r>
        <w:t xml:space="preserve">Figure </w:t>
      </w:r>
      <w:fldSimple w:instr=" SEQ Figure \* ARABIC ">
        <w:r w:rsidR="00625602">
          <w:rPr>
            <w:noProof/>
          </w:rPr>
          <w:t>12</w:t>
        </w:r>
      </w:fldSimple>
      <w:bookmarkEnd w:id="10"/>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F0583A">
      <w:pPr>
        <w:pStyle w:val="Heading2"/>
      </w:pPr>
      <w:r>
        <w:t>Discussion</w:t>
      </w:r>
    </w:p>
    <w:p w14:paraId="26897EE6" w14:textId="5222442C" w:rsidR="00522598" w:rsidRDefault="00522598" w:rsidP="00F0583A">
      <w:pPr>
        <w:pStyle w:val="Heading3"/>
      </w:pPr>
      <w:r>
        <w:t>Genus data selection</w:t>
      </w:r>
    </w:p>
    <w:p w14:paraId="079E1CD6" w14:textId="7CC8EE14" w:rsidR="00522598" w:rsidRDefault="00522598" w:rsidP="00F0583A">
      <w:r>
        <w:t>Microbial data used only goes up to the genus level</w:t>
      </w:r>
      <w:r w:rsidR="00E70D5F">
        <w:t xml:space="preserve"> and we don’t have of viruses or other types of data</w:t>
      </w:r>
      <w:r>
        <w:t>.</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27EB33E2" w:rsidR="00A815EC" w:rsidRDefault="00A815EC" w:rsidP="00F0583A">
      <w:r>
        <w:t>The data might not be perfect, as care often has to be taken to clear the data of contaminants when microbial data is mined from TCGA</w:t>
      </w:r>
      <w:r w:rsidR="00E26537">
        <w:t xml:space="preserve"> </w:t>
      </w:r>
      <w:r w:rsidR="00E26537">
        <w:fldChar w:fldCharType="begin"/>
      </w:r>
      <w:r w:rsidR="004A78E6">
        <w:instrText xml:space="preserve"> ADDIN ZOTERO_ITEM CSL_CITATION {"citationID":"xYoiYEvx","properties":{"formattedCitation":"\\super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E26537">
        <w:fldChar w:fldCharType="separate"/>
      </w:r>
      <w:r w:rsidR="004A78E6" w:rsidRPr="004A78E6">
        <w:rPr>
          <w:rFonts w:ascii="Calibri" w:hAnsi="Calibri" w:cs="Calibri"/>
          <w:szCs w:val="24"/>
          <w:vertAlign w:val="superscript"/>
        </w:rPr>
        <w:t>16</w:t>
      </w:r>
      <w:r w:rsidR="00E26537">
        <w:fldChar w:fldCharType="end"/>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r>
        <w:rPr>
          <w:rFonts w:ascii="Calibri" w:hAnsi="Calibri" w:cs="Calibri"/>
        </w:rPr>
        <w:t xml:space="preserve">Hermida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3B1B9844" w:rsidR="00C70411" w:rsidRPr="00522598"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In conclusion, it appears that integrating genus and ge data does not help improve prediction performance. It is clear that the human microbiome has an effect on cancer aetiology, however, the prediction performance of just ge alone might be enough to capture the underlying patterns relevant for cancer diagnostics. This is similar to the redundancy of other omics types in human cancer diagnostics using multi-omic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5CAAABB6"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for hyper parameter tuning?</w:t>
      </w:r>
    </w:p>
    <w:p w14:paraId="4CE48A93" w14:textId="668CA64D" w:rsidR="00F16DF2" w:rsidRDefault="00F16DF2" w:rsidP="00F16DF2">
      <w:pPr>
        <w:pStyle w:val="Heading1"/>
        <w:rPr>
          <w:lang w:val="en-GB"/>
        </w:rPr>
      </w:pPr>
      <w:r>
        <w:rPr>
          <w:lang w:val="en-GB"/>
        </w:rPr>
        <w:t>Acknowledgments</w:t>
      </w:r>
    </w:p>
    <w:p w14:paraId="3CD4D255" w14:textId="265ED39D" w:rsidR="00F16DF2" w:rsidRDefault="0024360D" w:rsidP="00F16DF2">
      <w:pPr>
        <w:rPr>
          <w:lang w:val="en-GB"/>
        </w:rPr>
      </w:pPr>
      <w:r>
        <w:rPr>
          <w:noProof/>
          <w:lang w:val="en-GB"/>
        </w:rPr>
        <w:drawing>
          <wp:anchor distT="0" distB="0" distL="114300" distR="114300" simplePos="0" relativeHeight="251657216" behindDoc="0" locked="0" layoutInCell="1" allowOverlap="1" wp14:anchorId="58C8534A" wp14:editId="75376E8D">
            <wp:simplePos x="0" y="0"/>
            <wp:positionH relativeFrom="margin">
              <wp:posOffset>4899660</wp:posOffset>
            </wp:positionH>
            <wp:positionV relativeFrom="margin">
              <wp:posOffset>5625042</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Pr>
          <w:lang w:val="en-GB"/>
        </w:rPr>
        <w:t>daily supervisor</w:t>
      </w:r>
      <w:r w:rsidR="00F16DF2">
        <w:rPr>
          <w:lang w:val="en-GB"/>
        </w:rPr>
        <w:t xml:space="preserve"> Aakash</w:t>
      </w:r>
      <w:r w:rsidR="00013F94">
        <w:rPr>
          <w:lang w:val="en-GB"/>
        </w:rPr>
        <w:t xml:space="preserve"> </w:t>
      </w:r>
      <w:r>
        <w:rPr>
          <w:lang w:val="en-GB"/>
        </w:rPr>
        <w:t>for always being there to supervise me and give me advice. While it was not always easy, I learned a lot.</w:t>
      </w:r>
    </w:p>
    <w:p w14:paraId="5075D9E9" w14:textId="02E1B0DF" w:rsidR="0024360D" w:rsidRDefault="0024360D" w:rsidP="00F16DF2">
      <w:pPr>
        <w:rPr>
          <w:lang w:val="en-GB"/>
        </w:rPr>
      </w:pPr>
    </w:p>
    <w:p w14:paraId="274AFA55" w14:textId="027265E1" w:rsidR="0024360D" w:rsidRDefault="0024360D" w:rsidP="00F16DF2">
      <w:pPr>
        <w:rPr>
          <w:lang w:val="en-GB"/>
        </w:rPr>
      </w:pPr>
    </w:p>
    <w:p w14:paraId="79BB086E" w14:textId="173F5DCD" w:rsidR="0024360D" w:rsidRDefault="0024360D" w:rsidP="00F16DF2">
      <w:pPr>
        <w:rPr>
          <w:lang w:val="en-GB"/>
        </w:rPr>
      </w:pPr>
    </w:p>
    <w:p w14:paraId="6BA9C582" w14:textId="77777777" w:rsidR="0024360D" w:rsidRPr="00F16DF2" w:rsidRDefault="0024360D" w:rsidP="00F16DF2">
      <w:pPr>
        <w:rPr>
          <w:lang w:val="en-GB"/>
        </w:rPr>
      </w:pPr>
    </w:p>
    <w:p w14:paraId="75A1FD9B" w14:textId="065DF065" w:rsidR="003B7442" w:rsidRDefault="003B7442" w:rsidP="00F16DF2">
      <w:pPr>
        <w:pStyle w:val="Heading1"/>
        <w:rPr>
          <w:lang w:val="en-GB"/>
        </w:rPr>
      </w:pPr>
      <w:r>
        <w:rPr>
          <w:lang w:val="en-GB"/>
        </w:rPr>
        <w:lastRenderedPageBreak/>
        <w:t>Appendix</w:t>
      </w:r>
    </w:p>
    <w:p w14:paraId="5946A988" w14:textId="787D2BAA"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r>
        <w:rPr>
          <w:lang w:val="en-GB"/>
        </w:rPr>
        <w:t>Tumor PCA does not show additional class separation</w:t>
      </w:r>
    </w:p>
    <w:p w14:paraId="44C53B1E" w14:textId="77777777"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t xml:space="preserve">Figure </w:t>
      </w:r>
      <w:r>
        <w:rPr>
          <w:noProof/>
        </w:rPr>
        <w:t>1</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3732137B" w:rsidR="002300CC" w:rsidRPr="006B2F31" w:rsidRDefault="002300CC" w:rsidP="002300CC">
      <w:pPr>
        <w:pStyle w:val="Caption"/>
      </w:pPr>
      <w:bookmarkStart w:id="11" w:name="_Ref121920412"/>
      <w:r>
        <w:t xml:space="preserve">Figure </w:t>
      </w:r>
      <w:fldSimple w:instr=" SEQ Figure \* ARABIC ">
        <w:r w:rsidR="00625602">
          <w:rPr>
            <w:noProof/>
          </w:rPr>
          <w:t>13</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tumor versus normal prediction, features (0,5,10) exhibit about the same behavior. GE tends to for show much better separation than genus, and GE+Genus is almost exactly the same as just GE, </w:t>
      </w:r>
      <w:r>
        <w:rPr>
          <w:lang w:val="en-GB"/>
        </w:rPr>
        <w:lastRenderedPageBreak/>
        <w:t>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63F92897" w:rsidR="002300CC" w:rsidRDefault="002300CC" w:rsidP="002300CC">
      <w:pPr>
        <w:pStyle w:val="Caption"/>
      </w:pPr>
      <w:bookmarkStart w:id="12" w:name="_Ref121920839"/>
      <w:r>
        <w:t xml:space="preserve">Figure </w:t>
      </w:r>
      <w:fldSimple w:instr=" SEQ Figure \* ARABIC ">
        <w:r w:rsidR="00625602">
          <w:rPr>
            <w:noProof/>
          </w:rPr>
          <w:t>14</w:t>
        </w:r>
      </w:fldSimple>
      <w:bookmarkEnd w:id="12"/>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77777777"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t xml:space="preserve">Figure </w:t>
      </w:r>
      <w:r>
        <w:rPr>
          <w:noProof/>
        </w:rPr>
        <w:t>2</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77777777"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t xml:space="preserve">Figure </w:t>
      </w:r>
      <w:r>
        <w:rPr>
          <w:noProof/>
        </w:rPr>
        <w:t>3</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00FBAA1D" w:rsidR="002300CC" w:rsidRDefault="002300CC" w:rsidP="002300CC">
      <w:pPr>
        <w:pStyle w:val="Caption"/>
      </w:pPr>
      <w:bookmarkStart w:id="13" w:name="_Ref121921085"/>
      <w:r>
        <w:t xml:space="preserve">Figure </w:t>
      </w:r>
      <w:fldSimple w:instr=" SEQ Figure \* ARABIC ">
        <w:r w:rsidR="00625602">
          <w:rPr>
            <w:noProof/>
          </w:rPr>
          <w:t>15</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lastRenderedPageBreak/>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19E1FDE1" w:rsidR="00625602" w:rsidRPr="00A96526" w:rsidRDefault="00625602" w:rsidP="00625602">
      <w:pPr>
        <w:rPr>
          <w:lang w:val="en-GB"/>
        </w:rPr>
      </w:pPr>
      <w:r>
        <w:rPr>
          <w:lang w:val="en-GB"/>
        </w:rPr>
        <w:t>These are the performances for tumor prediction using SVC and chi-squared for all the cancers.</w:t>
      </w:r>
    </w:p>
    <w:p w14:paraId="58C92857" w14:textId="4D16306F" w:rsidR="00625602" w:rsidRDefault="00625602" w:rsidP="00625602">
      <w:r w:rsidRPr="00472ECD">
        <w:rPr>
          <w:noProof/>
        </w:rPr>
        <w:drawing>
          <wp:inline distT="0" distB="0" distL="0" distR="0" wp14:anchorId="50DFE790" wp14:editId="2D63927C">
            <wp:extent cx="5730238"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38" cy="1339324"/>
                    </a:xfrm>
                    <a:prstGeom prst="rect">
                      <a:avLst/>
                    </a:prstGeom>
                  </pic:spPr>
                </pic:pic>
              </a:graphicData>
            </a:graphic>
          </wp:inline>
        </w:drawing>
      </w:r>
    </w:p>
    <w:p w14:paraId="53E51166" w14:textId="0604DDC4" w:rsidR="00625602" w:rsidRDefault="00625602" w:rsidP="00625602">
      <w:pPr>
        <w:pStyle w:val="Caption"/>
      </w:pPr>
      <w:r>
        <w:t xml:space="preserve">Figure </w:t>
      </w:r>
      <w:fldSimple w:instr=" SEQ Figure \* ARABIC ">
        <w:r>
          <w:rPr>
            <w:noProof/>
          </w:rPr>
          <w:t>16</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77860AF6" w14:textId="1A1DE774" w:rsidR="00625602" w:rsidRDefault="00625602" w:rsidP="00625602">
      <w:pPr>
        <w:pStyle w:val="Heading3"/>
      </w:pPr>
      <w:r>
        <w:t>Modality parity enforcement</w:t>
      </w:r>
    </w:p>
    <w:p w14:paraId="084518BF" w14:textId="3533B0B8" w:rsidR="00625602" w:rsidRDefault="00625602" w:rsidP="00625602">
      <w:r>
        <w:t>These are the results when using modality enforcement for all cancers.</w:t>
      </w:r>
    </w:p>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1290B063">
            <wp:extent cx="5730240"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240" cy="1339324"/>
                    </a:xfrm>
                    <a:prstGeom prst="rect">
                      <a:avLst/>
                    </a:prstGeom>
                  </pic:spPr>
                </pic:pic>
              </a:graphicData>
            </a:graphic>
          </wp:inline>
        </w:drawing>
      </w:r>
    </w:p>
    <w:p w14:paraId="79E5848A" w14:textId="0AFCCBDD" w:rsidR="00625602" w:rsidRPr="00625602" w:rsidRDefault="00625602" w:rsidP="00625602">
      <w:pPr>
        <w:pStyle w:val="Caption"/>
      </w:pPr>
      <w:r>
        <w:t xml:space="preserve">Figure </w:t>
      </w:r>
      <w:fldSimple w:instr=" SEQ Figure \* ARABIC ">
        <w:r>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4262A55A" w:rsidR="006522F4" w:rsidRDefault="006522F4" w:rsidP="006522F4">
      <w:pPr>
        <w:pStyle w:val="Caption"/>
      </w:pPr>
      <w:bookmarkStart w:id="14" w:name="_Ref121922778"/>
      <w:r>
        <w:t xml:space="preserve">Figure </w:t>
      </w:r>
      <w:fldSimple w:instr=" SEQ Figure \* ARABIC ">
        <w:r w:rsidR="00625602">
          <w:rPr>
            <w:noProof/>
          </w:rPr>
          <w:t>18</w:t>
        </w:r>
      </w:fldSimple>
      <w:bookmarkEnd w:id="14"/>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77777777"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t xml:space="preserve">Figure </w:t>
      </w:r>
      <w:r>
        <w:rPr>
          <w:noProof/>
        </w:rPr>
        <w:t>8</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AA96126" w:rsidR="006522F4" w:rsidRDefault="006522F4" w:rsidP="006522F4">
      <w:pPr>
        <w:pStyle w:val="Caption"/>
      </w:pPr>
      <w:bookmarkStart w:id="15" w:name="_Ref121922934"/>
      <w:r>
        <w:t xml:space="preserve">Figure </w:t>
      </w:r>
      <w:fldSimple w:instr=" SEQ Figure \* ARABIC ">
        <w:r w:rsidR="00625602">
          <w:rPr>
            <w:noProof/>
          </w:rPr>
          <w:t>19</w:t>
        </w:r>
      </w:fldSimple>
      <w:bookmarkEnd w:id="15"/>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5B5CDE2D" w:rsidR="00AB203A" w:rsidRPr="00AB203A" w:rsidRDefault="00AB203A" w:rsidP="00AB203A">
      <w:pPr>
        <w:rPr>
          <w:lang w:val="en-GB"/>
        </w:rPr>
      </w:pPr>
      <w:r>
        <w:rPr>
          <w:lang w:val="en-GB"/>
        </w:rPr>
        <w:t>We have also conducted the random Forest Regression Model with hyper parameter tuning for all the different cancers.</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5D45F0CB" w:rsidR="00FE7B96" w:rsidRDefault="00FE7B96" w:rsidP="00FE7B96">
      <w:pPr>
        <w:pStyle w:val="Caption"/>
        <w:rPr>
          <w:lang w:val="en-GB"/>
        </w:rPr>
      </w:pPr>
      <w:r>
        <w:t xml:space="preserve">Figure </w:t>
      </w:r>
      <w:fldSimple w:instr=" SEQ Figure \* ARABIC ">
        <w:r w:rsidR="00625602">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73853865" w:rsidR="00FE7B96" w:rsidRPr="00FE7B96" w:rsidRDefault="00FE7B96" w:rsidP="00FE7B96">
      <w:pPr>
        <w:pStyle w:val="Caption"/>
        <w:rPr>
          <w:lang w:val="en-GB"/>
        </w:rPr>
      </w:pPr>
      <w:r>
        <w:t xml:space="preserve">Figure </w:t>
      </w:r>
      <w:fldSimple w:instr=" SEQ Figure \* ARABIC ">
        <w:r w:rsidR="00625602">
          <w:rPr>
            <w:noProof/>
          </w:rPr>
          <w:t>21</w:t>
        </w:r>
      </w:fldSimple>
      <w:r>
        <w:t>: Cancer predictions for stage using chi2</w:t>
      </w:r>
    </w:p>
    <w:p w14:paraId="2993969D" w14:textId="1B53B70C"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lastRenderedPageBreak/>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4B4A68F" w14:textId="77777777" w:rsidR="00FE241F" w:rsidRPr="00FE241F" w:rsidRDefault="008D0A23" w:rsidP="00FE241F">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FE241F" w:rsidRPr="00FE241F">
        <w:rPr>
          <w:rFonts w:ascii="Calibri" w:hAnsi="Calibri" w:cs="Calibri"/>
        </w:rPr>
        <w:t>1.</w:t>
      </w:r>
      <w:r w:rsidR="00FE241F" w:rsidRPr="00FE241F">
        <w:rPr>
          <w:rFonts w:ascii="Calibri" w:hAnsi="Calibri" w:cs="Calibri"/>
        </w:rPr>
        <w:tab/>
        <w:t xml:space="preserve">Tomczak, K., Czerwińska, P. &amp; Wiznerowicz, M. Review&lt;br&gt;The Cancer Genome Atlas (TCGA): an immeasurable source of knowledge. </w:t>
      </w:r>
      <w:r w:rsidR="00FE241F" w:rsidRPr="00FE241F">
        <w:rPr>
          <w:rFonts w:ascii="Calibri" w:hAnsi="Calibri" w:cs="Calibri"/>
          <w:i/>
          <w:iCs/>
        </w:rPr>
        <w:t>Contemp. Oncol. Onkol.</w:t>
      </w:r>
      <w:r w:rsidR="00FE241F" w:rsidRPr="00FE241F">
        <w:rPr>
          <w:rFonts w:ascii="Calibri" w:hAnsi="Calibri" w:cs="Calibri"/>
        </w:rPr>
        <w:t xml:space="preserve"> </w:t>
      </w:r>
      <w:r w:rsidR="00FE241F" w:rsidRPr="00FE241F">
        <w:rPr>
          <w:rFonts w:ascii="Calibri" w:hAnsi="Calibri" w:cs="Calibri"/>
          <w:b/>
          <w:bCs/>
        </w:rPr>
        <w:t>2015</w:t>
      </w:r>
      <w:r w:rsidR="00FE241F" w:rsidRPr="00FE241F">
        <w:rPr>
          <w:rFonts w:ascii="Calibri" w:hAnsi="Calibri" w:cs="Calibri"/>
        </w:rPr>
        <w:t>, 68–77 (2015).</w:t>
      </w:r>
    </w:p>
    <w:p w14:paraId="0166B57D" w14:textId="77777777" w:rsidR="00FE241F" w:rsidRPr="00FE241F" w:rsidRDefault="00FE241F" w:rsidP="00FE241F">
      <w:pPr>
        <w:pStyle w:val="Bibliography"/>
        <w:rPr>
          <w:rFonts w:ascii="Calibri" w:hAnsi="Calibri" w:cs="Calibri"/>
        </w:rPr>
      </w:pPr>
      <w:r w:rsidRPr="00FE241F">
        <w:rPr>
          <w:rFonts w:ascii="Calibri" w:hAnsi="Calibri" w:cs="Calibri"/>
        </w:rPr>
        <w:t>2.</w:t>
      </w:r>
      <w:r w:rsidRPr="00FE241F">
        <w:rPr>
          <w:rFonts w:ascii="Calibri" w:hAnsi="Calibri" w:cs="Calibri"/>
        </w:rPr>
        <w:tab/>
        <w:t>Machiraju, G., Amar, D. &amp; Ashley, E. Multi-omics factorization illustrates the added value of deep learning approaches. 7.</w:t>
      </w:r>
    </w:p>
    <w:p w14:paraId="5C4D385A" w14:textId="77777777" w:rsidR="00FE241F" w:rsidRPr="00FE241F" w:rsidRDefault="00FE241F" w:rsidP="00FE241F">
      <w:pPr>
        <w:pStyle w:val="Bibliography"/>
        <w:rPr>
          <w:rFonts w:ascii="Calibri" w:hAnsi="Calibri" w:cs="Calibri"/>
        </w:rPr>
      </w:pPr>
      <w:r w:rsidRPr="00FE241F">
        <w:rPr>
          <w:rFonts w:ascii="Calibri" w:hAnsi="Calibri" w:cs="Calibri"/>
        </w:rPr>
        <w:t>3.</w:t>
      </w:r>
      <w:r w:rsidRPr="00FE241F">
        <w:rPr>
          <w:rFonts w:ascii="Calibri" w:hAnsi="Calibri" w:cs="Calibri"/>
        </w:rPr>
        <w:tab/>
        <w:t xml:space="preserve">Dohlman, A. B. </w:t>
      </w:r>
      <w:r w:rsidRPr="00FE241F">
        <w:rPr>
          <w:rFonts w:ascii="Calibri" w:hAnsi="Calibri" w:cs="Calibri"/>
          <w:i/>
          <w:iCs/>
        </w:rPr>
        <w:t>et al.</w:t>
      </w:r>
      <w:r w:rsidRPr="00FE241F">
        <w:rPr>
          <w:rFonts w:ascii="Calibri" w:hAnsi="Calibri" w:cs="Calibri"/>
        </w:rPr>
        <w:t xml:space="preserve"> The cancer microbiome atlas: a pan-cancer comparative analysis to distinguish tissue-resident microbiota from contaminants. </w:t>
      </w:r>
      <w:r w:rsidRPr="00FE241F">
        <w:rPr>
          <w:rFonts w:ascii="Calibri" w:hAnsi="Calibri" w:cs="Calibri"/>
          <w:i/>
          <w:iCs/>
        </w:rPr>
        <w:t>Cell Host Microbe</w:t>
      </w:r>
      <w:r w:rsidRPr="00FE241F">
        <w:rPr>
          <w:rFonts w:ascii="Calibri" w:hAnsi="Calibri" w:cs="Calibri"/>
        </w:rPr>
        <w:t xml:space="preserve"> </w:t>
      </w:r>
      <w:r w:rsidRPr="00FE241F">
        <w:rPr>
          <w:rFonts w:ascii="Calibri" w:hAnsi="Calibri" w:cs="Calibri"/>
          <w:b/>
          <w:bCs/>
        </w:rPr>
        <w:t>29</w:t>
      </w:r>
      <w:r w:rsidRPr="00FE241F">
        <w:rPr>
          <w:rFonts w:ascii="Calibri" w:hAnsi="Calibri" w:cs="Calibri"/>
        </w:rPr>
        <w:t>, 281-298.e5 (2021).</w:t>
      </w:r>
    </w:p>
    <w:p w14:paraId="1977BA87" w14:textId="77777777" w:rsidR="00FE241F" w:rsidRPr="00FE241F" w:rsidRDefault="00FE241F" w:rsidP="00FE241F">
      <w:pPr>
        <w:pStyle w:val="Bibliography"/>
        <w:rPr>
          <w:rFonts w:ascii="Calibri" w:hAnsi="Calibri" w:cs="Calibri"/>
          <w:lang w:val="nl-NL"/>
        </w:rPr>
      </w:pPr>
      <w:r w:rsidRPr="00FE241F">
        <w:rPr>
          <w:rFonts w:ascii="Calibri" w:hAnsi="Calibri" w:cs="Calibri"/>
        </w:rPr>
        <w:t>4.</w:t>
      </w:r>
      <w:r w:rsidRPr="00FE241F">
        <w:rPr>
          <w:rFonts w:ascii="Calibri" w:hAnsi="Calibri" w:cs="Calibri"/>
        </w:rPr>
        <w:tab/>
        <w:t xml:space="preserve">Ehrlich, S. D. MetaHIT: The European Union Project on Metagenomics of the Human Intestinal Tract. in </w:t>
      </w:r>
      <w:r w:rsidRPr="00FE241F">
        <w:rPr>
          <w:rFonts w:ascii="Calibri" w:hAnsi="Calibri" w:cs="Calibri"/>
          <w:i/>
          <w:iCs/>
        </w:rPr>
        <w:t>Metagenomics of the Human Body</w:t>
      </w:r>
      <w:r w:rsidRPr="00FE241F">
        <w:rPr>
          <w:rFonts w:ascii="Calibri" w:hAnsi="Calibri" w:cs="Calibri"/>
        </w:rPr>
        <w:t xml:space="preserve"> (ed. </w:t>
      </w:r>
      <w:r w:rsidRPr="00FE241F">
        <w:rPr>
          <w:rFonts w:ascii="Calibri" w:hAnsi="Calibri" w:cs="Calibri"/>
          <w:lang w:val="nl-NL"/>
        </w:rPr>
        <w:t>Nelson, K. E.) 307–316 (Springer, 2011). doi:10.1007/978-1-4419-7089-3_15.</w:t>
      </w:r>
    </w:p>
    <w:p w14:paraId="213B8637" w14:textId="77777777" w:rsidR="00FE241F" w:rsidRPr="00FE241F" w:rsidRDefault="00FE241F" w:rsidP="00FE241F">
      <w:pPr>
        <w:pStyle w:val="Bibliography"/>
        <w:rPr>
          <w:rFonts w:ascii="Calibri" w:hAnsi="Calibri" w:cs="Calibri"/>
        </w:rPr>
      </w:pPr>
      <w:r w:rsidRPr="00FE241F">
        <w:rPr>
          <w:rFonts w:ascii="Calibri" w:hAnsi="Calibri" w:cs="Calibri"/>
          <w:lang w:val="nl-NL"/>
        </w:rPr>
        <w:t>5.</w:t>
      </w:r>
      <w:r w:rsidRPr="00FE241F">
        <w:rPr>
          <w:rFonts w:ascii="Calibri" w:hAnsi="Calibri" w:cs="Calibri"/>
          <w:lang w:val="nl-NL"/>
        </w:rPr>
        <w:tab/>
        <w:t xml:space="preserve">Proctor, L. M.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The Integrative Human Microbiome Project.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569</w:t>
      </w:r>
      <w:r w:rsidRPr="00FE241F">
        <w:rPr>
          <w:rFonts w:ascii="Calibri" w:hAnsi="Calibri" w:cs="Calibri"/>
        </w:rPr>
        <w:t>, 641–648 (2019).</w:t>
      </w:r>
    </w:p>
    <w:p w14:paraId="0398B62A"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6.</w:t>
      </w:r>
      <w:r w:rsidRPr="00FE241F">
        <w:rPr>
          <w:rFonts w:ascii="Calibri" w:hAnsi="Calibri" w:cs="Calibri"/>
        </w:rPr>
        <w:tab/>
        <w:t xml:space="preserve">Poore, G. D. </w:t>
      </w:r>
      <w:r w:rsidRPr="00FE241F">
        <w:rPr>
          <w:rFonts w:ascii="Calibri" w:hAnsi="Calibri" w:cs="Calibri"/>
          <w:i/>
          <w:iCs/>
        </w:rPr>
        <w:t>et al.</w:t>
      </w:r>
      <w:r w:rsidRPr="00FE241F">
        <w:rPr>
          <w:rFonts w:ascii="Calibri" w:hAnsi="Calibri" w:cs="Calibri"/>
        </w:rPr>
        <w:t xml:space="preserve"> Microbiome analyses of blood and tissues suggest cancer diagnostic approach.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579</w:t>
      </w:r>
      <w:r w:rsidRPr="00FE241F">
        <w:rPr>
          <w:rFonts w:ascii="Calibri" w:hAnsi="Calibri" w:cs="Calibri"/>
        </w:rPr>
        <w:t>, 567–574 (2020).</w:t>
      </w:r>
    </w:p>
    <w:p w14:paraId="149115FE" w14:textId="77777777" w:rsidR="00FE241F" w:rsidRPr="00FE241F" w:rsidRDefault="00FE241F" w:rsidP="00FE241F">
      <w:pPr>
        <w:pStyle w:val="Bibliography"/>
        <w:rPr>
          <w:rFonts w:ascii="Calibri" w:hAnsi="Calibri" w:cs="Calibri"/>
        </w:rPr>
      </w:pPr>
      <w:r w:rsidRPr="00FE241F">
        <w:rPr>
          <w:rFonts w:ascii="Calibri" w:hAnsi="Calibri" w:cs="Calibri"/>
        </w:rPr>
        <w:t>7.</w:t>
      </w:r>
      <w:r w:rsidRPr="00FE241F">
        <w:rPr>
          <w:rFonts w:ascii="Calibri" w:hAnsi="Calibri" w:cs="Calibri"/>
        </w:rPr>
        <w:tab/>
        <w:t xml:space="preserve">Knippel, R. J., Drewes, J. L. &amp; Sears, C. L. The Cancer Microbiome: Recent Highlights and Knowledge Gaps. </w:t>
      </w:r>
      <w:r w:rsidRPr="00FE241F">
        <w:rPr>
          <w:rFonts w:ascii="Calibri" w:hAnsi="Calibri" w:cs="Calibri"/>
          <w:i/>
          <w:iCs/>
        </w:rPr>
        <w:t>Cancer Discov.</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2378–2395 (2021).</w:t>
      </w:r>
    </w:p>
    <w:p w14:paraId="1D05759C" w14:textId="77777777" w:rsidR="00FE241F" w:rsidRPr="00FE241F" w:rsidRDefault="00FE241F" w:rsidP="00FE241F">
      <w:pPr>
        <w:pStyle w:val="Bibliography"/>
        <w:rPr>
          <w:rFonts w:ascii="Calibri" w:hAnsi="Calibri" w:cs="Calibri"/>
        </w:rPr>
      </w:pPr>
      <w:r w:rsidRPr="00FE241F">
        <w:rPr>
          <w:rFonts w:ascii="Calibri" w:hAnsi="Calibri" w:cs="Calibri"/>
        </w:rPr>
        <w:t>8.</w:t>
      </w:r>
      <w:r w:rsidRPr="00FE241F">
        <w:rPr>
          <w:rFonts w:ascii="Calibri" w:hAnsi="Calibri" w:cs="Calibri"/>
        </w:rPr>
        <w:tab/>
        <w:t xml:space="preserve">Garrett, W. S. The gut microbiota and colon cancer. </w:t>
      </w:r>
      <w:r w:rsidRPr="00FE241F">
        <w:rPr>
          <w:rFonts w:ascii="Calibri" w:hAnsi="Calibri" w:cs="Calibri"/>
          <w:i/>
          <w:iCs/>
        </w:rPr>
        <w:t>Science</w:t>
      </w:r>
      <w:r w:rsidRPr="00FE241F">
        <w:rPr>
          <w:rFonts w:ascii="Calibri" w:hAnsi="Calibri" w:cs="Calibri"/>
        </w:rPr>
        <w:t xml:space="preserve"> </w:t>
      </w:r>
      <w:r w:rsidRPr="00FE241F">
        <w:rPr>
          <w:rFonts w:ascii="Calibri" w:hAnsi="Calibri" w:cs="Calibri"/>
          <w:b/>
          <w:bCs/>
        </w:rPr>
        <w:t>364</w:t>
      </w:r>
      <w:r w:rsidRPr="00FE241F">
        <w:rPr>
          <w:rFonts w:ascii="Calibri" w:hAnsi="Calibri" w:cs="Calibri"/>
        </w:rPr>
        <w:t>, 1133–1135 (2019).</w:t>
      </w:r>
    </w:p>
    <w:p w14:paraId="757DAE52" w14:textId="77777777" w:rsidR="00FE241F" w:rsidRPr="00FE241F" w:rsidRDefault="00FE241F" w:rsidP="00FE241F">
      <w:pPr>
        <w:pStyle w:val="Bibliography"/>
        <w:rPr>
          <w:rFonts w:ascii="Calibri" w:hAnsi="Calibri" w:cs="Calibri"/>
        </w:rPr>
      </w:pPr>
      <w:r w:rsidRPr="00FE241F">
        <w:rPr>
          <w:rFonts w:ascii="Calibri" w:hAnsi="Calibri" w:cs="Calibri"/>
        </w:rPr>
        <w:t>9.</w:t>
      </w:r>
      <w:r w:rsidRPr="00FE241F">
        <w:rPr>
          <w:rFonts w:ascii="Calibri" w:hAnsi="Calibri" w:cs="Calibri"/>
        </w:rPr>
        <w:tab/>
        <w:t xml:space="preserve">Nyholm, L. </w:t>
      </w:r>
      <w:r w:rsidRPr="00FE241F">
        <w:rPr>
          <w:rFonts w:ascii="Calibri" w:hAnsi="Calibri" w:cs="Calibri"/>
          <w:i/>
          <w:iCs/>
        </w:rPr>
        <w:t>et al.</w:t>
      </w:r>
      <w:r w:rsidRPr="00FE241F">
        <w:rPr>
          <w:rFonts w:ascii="Calibri" w:hAnsi="Calibri" w:cs="Calibri"/>
        </w:rPr>
        <w:t xml:space="preserve"> Holo-Omics: Integrated Host-Microbiota Multi-omics for Basic and Applied Biological Research. </w:t>
      </w:r>
      <w:r w:rsidRPr="00FE241F">
        <w:rPr>
          <w:rFonts w:ascii="Calibri" w:hAnsi="Calibri" w:cs="Calibri"/>
          <w:i/>
          <w:iCs/>
        </w:rPr>
        <w:t>iScience</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101414 (2020).</w:t>
      </w:r>
    </w:p>
    <w:p w14:paraId="71957905" w14:textId="77777777" w:rsidR="00FE241F" w:rsidRPr="00FE241F" w:rsidRDefault="00FE241F" w:rsidP="00FE241F">
      <w:pPr>
        <w:pStyle w:val="Bibliography"/>
        <w:rPr>
          <w:rFonts w:ascii="Calibri" w:hAnsi="Calibri" w:cs="Calibri"/>
        </w:rPr>
      </w:pPr>
      <w:r w:rsidRPr="00FE241F">
        <w:rPr>
          <w:rFonts w:ascii="Calibri" w:hAnsi="Calibri" w:cs="Calibri"/>
        </w:rPr>
        <w:t>10.</w:t>
      </w:r>
      <w:r w:rsidRPr="00FE241F">
        <w:rPr>
          <w:rFonts w:ascii="Calibri" w:hAnsi="Calibri" w:cs="Calibri"/>
        </w:rPr>
        <w:tab/>
        <w:t xml:space="preserve">Kwon, M., Seo, S.-S., Kim, M. K., Lee, D. O. &amp; Lim, M. C. Compositional and Functional Differences between Microbiota and Cervical Carcinogenesis as Identified by Shotgun Metagenomic Sequencing.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309 (2019).</w:t>
      </w:r>
    </w:p>
    <w:p w14:paraId="0E50B120" w14:textId="77777777" w:rsidR="00FE241F" w:rsidRPr="00FE241F" w:rsidRDefault="00FE241F" w:rsidP="00FE241F">
      <w:pPr>
        <w:pStyle w:val="Bibliography"/>
        <w:rPr>
          <w:rFonts w:ascii="Calibri" w:hAnsi="Calibri" w:cs="Calibri"/>
        </w:rPr>
      </w:pPr>
      <w:r w:rsidRPr="00FE241F">
        <w:rPr>
          <w:rFonts w:ascii="Calibri" w:hAnsi="Calibri" w:cs="Calibri"/>
        </w:rPr>
        <w:t>11.</w:t>
      </w:r>
      <w:r w:rsidRPr="00FE241F">
        <w:rPr>
          <w:rFonts w:ascii="Calibri" w:hAnsi="Calibri" w:cs="Calibri"/>
        </w:rPr>
        <w:tab/>
        <w:t xml:space="preserve">Gnanasekar, A. </w:t>
      </w:r>
      <w:r w:rsidRPr="00FE241F">
        <w:rPr>
          <w:rFonts w:ascii="Calibri" w:hAnsi="Calibri" w:cs="Calibri"/>
          <w:i/>
          <w:iCs/>
        </w:rPr>
        <w:t>et al.</w:t>
      </w:r>
      <w:r w:rsidRPr="00FE241F">
        <w:rPr>
          <w:rFonts w:ascii="Calibri" w:hAnsi="Calibri" w:cs="Calibri"/>
        </w:rPr>
        <w:t xml:space="preserve"> The intratumor microbiome predicts prognosis across gender and subtypes in papillary thyroid carcinoma. </w:t>
      </w:r>
      <w:r w:rsidRPr="00FE241F">
        <w:rPr>
          <w:rFonts w:ascii="Calibri" w:hAnsi="Calibri" w:cs="Calibri"/>
          <w:i/>
          <w:iCs/>
        </w:rPr>
        <w:t>Comput. Struct. Biotechnol. J.</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1986–1997 (2021).</w:t>
      </w:r>
    </w:p>
    <w:p w14:paraId="48A7D94A" w14:textId="77777777" w:rsidR="00FE241F" w:rsidRPr="00FE241F" w:rsidRDefault="00FE241F" w:rsidP="00FE241F">
      <w:pPr>
        <w:pStyle w:val="Bibliography"/>
        <w:rPr>
          <w:rFonts w:ascii="Calibri" w:hAnsi="Calibri" w:cs="Calibri"/>
        </w:rPr>
      </w:pPr>
      <w:r w:rsidRPr="00FE241F">
        <w:rPr>
          <w:rFonts w:ascii="Calibri" w:hAnsi="Calibri" w:cs="Calibri"/>
        </w:rPr>
        <w:t>12.</w:t>
      </w:r>
      <w:r w:rsidRPr="00FE241F">
        <w:rPr>
          <w:rFonts w:ascii="Calibri" w:hAnsi="Calibri" w:cs="Calibri"/>
        </w:rPr>
        <w:tab/>
        <w:t xml:space="preserve">Elinav, E., Garrett, W. S., Trinchieri, G. &amp; Wargo, J. The cancer microbiome.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371–376 (2019).</w:t>
      </w:r>
    </w:p>
    <w:p w14:paraId="6A47BC5B" w14:textId="77777777" w:rsidR="00FE241F" w:rsidRPr="00FE241F" w:rsidRDefault="00FE241F" w:rsidP="00FE241F">
      <w:pPr>
        <w:pStyle w:val="Bibliography"/>
        <w:rPr>
          <w:rFonts w:ascii="Calibri" w:hAnsi="Calibri" w:cs="Calibri"/>
        </w:rPr>
      </w:pPr>
      <w:r w:rsidRPr="00FE241F">
        <w:rPr>
          <w:rFonts w:ascii="Calibri" w:hAnsi="Calibri" w:cs="Calibri"/>
        </w:rPr>
        <w:t>13.</w:t>
      </w:r>
      <w:r w:rsidRPr="00FE241F">
        <w:rPr>
          <w:rFonts w:ascii="Calibri" w:hAnsi="Calibri" w:cs="Calibri"/>
        </w:rPr>
        <w:tab/>
        <w:t xml:space="preserve">Fang, H., Du, Y., Pan, S., Zhong, M. &amp; Tang, J. Patients with Parkinson’s disease predict a lower incidence of colorectal cancer. </w:t>
      </w:r>
      <w:r w:rsidRPr="00FE241F">
        <w:rPr>
          <w:rFonts w:ascii="Calibri" w:hAnsi="Calibri" w:cs="Calibri"/>
          <w:i/>
          <w:iCs/>
        </w:rPr>
        <w:t>BMC Geriatr.</w:t>
      </w:r>
      <w:r w:rsidRPr="00FE241F">
        <w:rPr>
          <w:rFonts w:ascii="Calibri" w:hAnsi="Calibri" w:cs="Calibri"/>
        </w:rPr>
        <w:t xml:space="preserve"> </w:t>
      </w:r>
      <w:r w:rsidRPr="00FE241F">
        <w:rPr>
          <w:rFonts w:ascii="Calibri" w:hAnsi="Calibri" w:cs="Calibri"/>
          <w:b/>
          <w:bCs/>
        </w:rPr>
        <w:t>21</w:t>
      </w:r>
      <w:r w:rsidRPr="00FE241F">
        <w:rPr>
          <w:rFonts w:ascii="Calibri" w:hAnsi="Calibri" w:cs="Calibri"/>
        </w:rPr>
        <w:t>, 564 (2021).</w:t>
      </w:r>
    </w:p>
    <w:p w14:paraId="5D11CC0B" w14:textId="77777777" w:rsidR="00FE241F" w:rsidRPr="00FE241F" w:rsidRDefault="00FE241F" w:rsidP="00FE241F">
      <w:pPr>
        <w:pStyle w:val="Bibliography"/>
        <w:rPr>
          <w:rFonts w:ascii="Calibri" w:hAnsi="Calibri" w:cs="Calibri"/>
        </w:rPr>
      </w:pPr>
      <w:r w:rsidRPr="00FE241F">
        <w:rPr>
          <w:rFonts w:ascii="Calibri" w:hAnsi="Calibri" w:cs="Calibri"/>
        </w:rPr>
        <w:t>14.</w:t>
      </w:r>
      <w:r w:rsidRPr="00FE241F">
        <w:rPr>
          <w:rFonts w:ascii="Calibri" w:hAnsi="Calibri" w:cs="Calibri"/>
        </w:rPr>
        <w:tab/>
        <w:t xml:space="preserve">Greathouse, K. L. </w:t>
      </w:r>
      <w:r w:rsidRPr="00FE241F">
        <w:rPr>
          <w:rFonts w:ascii="Calibri" w:hAnsi="Calibri" w:cs="Calibri"/>
          <w:i/>
          <w:iCs/>
        </w:rPr>
        <w:t>et al.</w:t>
      </w:r>
      <w:r w:rsidRPr="00FE241F">
        <w:rPr>
          <w:rFonts w:ascii="Calibri" w:hAnsi="Calibri" w:cs="Calibri"/>
        </w:rPr>
        <w:t xml:space="preserve"> Interaction between the microbiome and TP53 in human lung cancer. </w:t>
      </w:r>
      <w:r w:rsidRPr="00FE241F">
        <w:rPr>
          <w:rFonts w:ascii="Calibri" w:hAnsi="Calibri" w:cs="Calibri"/>
          <w:i/>
          <w:iCs/>
        </w:rPr>
        <w:t>Genome Biol.</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123 (2018).</w:t>
      </w:r>
    </w:p>
    <w:p w14:paraId="0ECDABCC" w14:textId="77777777" w:rsidR="00FE241F" w:rsidRPr="00FE241F" w:rsidRDefault="00FE241F" w:rsidP="00FE241F">
      <w:pPr>
        <w:pStyle w:val="Bibliography"/>
        <w:rPr>
          <w:rFonts w:ascii="Calibri" w:hAnsi="Calibri" w:cs="Calibri"/>
        </w:rPr>
      </w:pPr>
      <w:r w:rsidRPr="00FE241F">
        <w:rPr>
          <w:rFonts w:ascii="Calibri" w:hAnsi="Calibri" w:cs="Calibri"/>
        </w:rPr>
        <w:t>15.</w:t>
      </w:r>
      <w:r w:rsidRPr="00FE241F">
        <w:rPr>
          <w:rFonts w:ascii="Calibri" w:hAnsi="Calibri" w:cs="Calibri"/>
        </w:rPr>
        <w:tab/>
        <w:t xml:space="preserve">Wang, Y., Wang, Y. &amp; Wang, J. A comprehensive analysis of intratumor microbiome in head and neck squamous cell carcinoma. </w:t>
      </w:r>
      <w:r w:rsidRPr="00FE241F">
        <w:rPr>
          <w:rFonts w:ascii="Calibri" w:hAnsi="Calibri" w:cs="Calibri"/>
          <w:i/>
          <w:iCs/>
        </w:rPr>
        <w:t>Eur. Arch. Otorhinolaryngol.</w:t>
      </w:r>
      <w:r w:rsidRPr="00FE241F">
        <w:rPr>
          <w:rFonts w:ascii="Calibri" w:hAnsi="Calibri" w:cs="Calibri"/>
        </w:rPr>
        <w:t xml:space="preserve"> (2022) doi:10.1007/s00405-022-07284-z.</w:t>
      </w:r>
    </w:p>
    <w:p w14:paraId="034476DF" w14:textId="77777777" w:rsidR="00FE241F" w:rsidRPr="00FE241F" w:rsidRDefault="00FE241F" w:rsidP="00FE241F">
      <w:pPr>
        <w:pStyle w:val="Bibliography"/>
        <w:rPr>
          <w:rFonts w:ascii="Calibri" w:hAnsi="Calibri" w:cs="Calibri"/>
        </w:rPr>
      </w:pPr>
      <w:r w:rsidRPr="00FE241F">
        <w:rPr>
          <w:rFonts w:ascii="Calibri" w:hAnsi="Calibri" w:cs="Calibri"/>
        </w:rPr>
        <w:t>16.</w:t>
      </w:r>
      <w:r w:rsidRPr="00FE241F">
        <w:rPr>
          <w:rFonts w:ascii="Calibri" w:hAnsi="Calibri" w:cs="Calibri"/>
        </w:rPr>
        <w:tab/>
        <w:t xml:space="preserve">Chakladar, J. </w:t>
      </w:r>
      <w:r w:rsidRPr="00FE241F">
        <w:rPr>
          <w:rFonts w:ascii="Calibri" w:hAnsi="Calibri" w:cs="Calibri"/>
          <w:i/>
          <w:iCs/>
        </w:rPr>
        <w:t>et al.</w:t>
      </w:r>
      <w:r w:rsidRPr="00FE241F">
        <w:rPr>
          <w:rFonts w:ascii="Calibri" w:hAnsi="Calibri" w:cs="Calibri"/>
        </w:rPr>
        <w:t xml:space="preserve"> The Pancreatic Microbiome is Associated with Carcinogenesis and Worse Prognosis in Males and Smokers.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2672 (2020).</w:t>
      </w:r>
    </w:p>
    <w:p w14:paraId="7491009B" w14:textId="77777777" w:rsidR="00FE241F" w:rsidRPr="00FE241F" w:rsidRDefault="00FE241F" w:rsidP="00FE241F">
      <w:pPr>
        <w:pStyle w:val="Bibliography"/>
        <w:rPr>
          <w:rFonts w:ascii="Calibri" w:hAnsi="Calibri" w:cs="Calibri"/>
        </w:rPr>
      </w:pPr>
      <w:r w:rsidRPr="00FE241F">
        <w:rPr>
          <w:rFonts w:ascii="Calibri" w:hAnsi="Calibri" w:cs="Calibri"/>
        </w:rPr>
        <w:t>17.</w:t>
      </w:r>
      <w:r w:rsidRPr="00FE241F">
        <w:rPr>
          <w:rFonts w:ascii="Calibri" w:hAnsi="Calibri" w:cs="Calibri"/>
        </w:rPr>
        <w:tab/>
        <w:t xml:space="preserve">Erickson, A. R. </w:t>
      </w:r>
      <w:r w:rsidRPr="00FE241F">
        <w:rPr>
          <w:rFonts w:ascii="Calibri" w:hAnsi="Calibri" w:cs="Calibri"/>
          <w:i/>
          <w:iCs/>
        </w:rPr>
        <w:t>et al.</w:t>
      </w:r>
      <w:r w:rsidRPr="00FE241F">
        <w:rPr>
          <w:rFonts w:ascii="Calibri" w:hAnsi="Calibri" w:cs="Calibri"/>
        </w:rPr>
        <w:t xml:space="preserve"> Integrated Metagenomics/Metaproteomics Reveals Human Host-Microbiota Signatures of Crohn’s Disease. </w:t>
      </w:r>
      <w:r w:rsidRPr="00FE241F">
        <w:rPr>
          <w:rFonts w:ascii="Calibri" w:hAnsi="Calibri" w:cs="Calibri"/>
          <w:i/>
          <w:iCs/>
        </w:rPr>
        <w:t>PLoS ONE</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e49138 (2012).</w:t>
      </w:r>
    </w:p>
    <w:p w14:paraId="79D131F8" w14:textId="77777777" w:rsidR="00FE241F" w:rsidRPr="00FE241F" w:rsidRDefault="00FE241F" w:rsidP="00FE241F">
      <w:pPr>
        <w:pStyle w:val="Bibliography"/>
        <w:rPr>
          <w:rFonts w:ascii="Calibri" w:hAnsi="Calibri" w:cs="Calibri"/>
          <w:lang w:val="nl-NL"/>
        </w:rPr>
      </w:pPr>
      <w:r w:rsidRPr="00FE241F">
        <w:rPr>
          <w:rFonts w:ascii="Calibri" w:hAnsi="Calibri" w:cs="Calibri"/>
        </w:rPr>
        <w:lastRenderedPageBreak/>
        <w:t>18.</w:t>
      </w:r>
      <w:r w:rsidRPr="00FE241F">
        <w:rPr>
          <w:rFonts w:ascii="Calibri" w:hAnsi="Calibri" w:cs="Calibri"/>
        </w:rPr>
        <w:tab/>
        <w:t xml:space="preserve">Alberdi, A., Andersen, S. B., Limborg, M. T., Dunn, R. R. &amp; Gilbert, M. T. P. Disentangling host–microbiota complexity through hologenomics. </w:t>
      </w:r>
      <w:r w:rsidRPr="00FE241F">
        <w:rPr>
          <w:rFonts w:ascii="Calibri" w:hAnsi="Calibri" w:cs="Calibri"/>
          <w:i/>
          <w:iCs/>
          <w:lang w:val="nl-NL"/>
        </w:rPr>
        <w:t>Nat. Rev. Genet.</w:t>
      </w:r>
      <w:r w:rsidRPr="00FE241F">
        <w:rPr>
          <w:rFonts w:ascii="Calibri" w:hAnsi="Calibri" w:cs="Calibri"/>
          <w:lang w:val="nl-NL"/>
        </w:rPr>
        <w:t xml:space="preserve"> 1–17 (2021) doi:10.1038/s41576-021-00421-0.</w:t>
      </w:r>
    </w:p>
    <w:p w14:paraId="6976EB01" w14:textId="77777777" w:rsidR="00FE241F" w:rsidRPr="00FE241F" w:rsidRDefault="00FE241F" w:rsidP="00FE241F">
      <w:pPr>
        <w:pStyle w:val="Bibliography"/>
        <w:rPr>
          <w:rFonts w:ascii="Calibri" w:hAnsi="Calibri" w:cs="Calibri"/>
        </w:rPr>
      </w:pPr>
      <w:r w:rsidRPr="00FE241F">
        <w:rPr>
          <w:rFonts w:ascii="Calibri" w:hAnsi="Calibri" w:cs="Calibri"/>
          <w:lang w:val="nl-NL"/>
        </w:rPr>
        <w:t>19.</w:t>
      </w:r>
      <w:r w:rsidRPr="00FE241F">
        <w:rPr>
          <w:rFonts w:ascii="Calibri" w:hAnsi="Calibri" w:cs="Calibri"/>
          <w:lang w:val="nl-NL"/>
        </w:rPr>
        <w:tab/>
        <w:t xml:space="preserve">Limborg, M. T.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Applied Hologenomics: Feasibility and Potential in Aquaculture. </w:t>
      </w:r>
      <w:r w:rsidRPr="00FE241F">
        <w:rPr>
          <w:rFonts w:ascii="Calibri" w:hAnsi="Calibri" w:cs="Calibri"/>
          <w:i/>
          <w:iCs/>
        </w:rPr>
        <w:t>Trends Biotechnol.</w:t>
      </w:r>
      <w:r w:rsidRPr="00FE241F">
        <w:rPr>
          <w:rFonts w:ascii="Calibri" w:hAnsi="Calibri" w:cs="Calibri"/>
        </w:rPr>
        <w:t xml:space="preserve"> </w:t>
      </w:r>
      <w:r w:rsidRPr="00FE241F">
        <w:rPr>
          <w:rFonts w:ascii="Calibri" w:hAnsi="Calibri" w:cs="Calibri"/>
          <w:b/>
          <w:bCs/>
        </w:rPr>
        <w:t>36</w:t>
      </w:r>
      <w:r w:rsidRPr="00FE241F">
        <w:rPr>
          <w:rFonts w:ascii="Calibri" w:hAnsi="Calibri" w:cs="Calibri"/>
        </w:rPr>
        <w:t>, 252–264 (2018).</w:t>
      </w:r>
    </w:p>
    <w:p w14:paraId="12228592" w14:textId="77777777" w:rsidR="00FE241F" w:rsidRPr="00FE241F" w:rsidRDefault="00FE241F" w:rsidP="00FE241F">
      <w:pPr>
        <w:pStyle w:val="Bibliography"/>
        <w:rPr>
          <w:rFonts w:ascii="Calibri" w:hAnsi="Calibri" w:cs="Calibri"/>
        </w:rPr>
      </w:pPr>
      <w:r w:rsidRPr="00FE241F">
        <w:rPr>
          <w:rFonts w:ascii="Calibri" w:hAnsi="Calibri" w:cs="Calibri"/>
        </w:rPr>
        <w:t>20.</w:t>
      </w:r>
      <w:r w:rsidRPr="00FE241F">
        <w:rPr>
          <w:rFonts w:ascii="Calibri" w:hAnsi="Calibri" w:cs="Calibri"/>
        </w:rPr>
        <w:tab/>
        <w:t xml:space="preserve">Way, G. P. &amp; Greene, C. S. Extracting a biologically relevant latent space from cancer transcriptomes with variational autoencoders. </w:t>
      </w:r>
      <w:r w:rsidRPr="00FE241F">
        <w:rPr>
          <w:rFonts w:ascii="Calibri" w:hAnsi="Calibri" w:cs="Calibri"/>
          <w:i/>
          <w:iCs/>
        </w:rPr>
        <w:t>Pac. Symp. Biocomput. Pac. Symp. Biocomput.</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80–91 (2018).</w:t>
      </w:r>
    </w:p>
    <w:p w14:paraId="516ADD59" w14:textId="77777777" w:rsidR="00FE241F" w:rsidRPr="00FE241F" w:rsidRDefault="00FE241F" w:rsidP="00FE241F">
      <w:pPr>
        <w:pStyle w:val="Bibliography"/>
        <w:rPr>
          <w:rFonts w:ascii="Calibri" w:hAnsi="Calibri" w:cs="Calibri"/>
        </w:rPr>
      </w:pPr>
      <w:r w:rsidRPr="00FE241F">
        <w:rPr>
          <w:rFonts w:ascii="Calibri" w:hAnsi="Calibri" w:cs="Calibri"/>
        </w:rPr>
        <w:t>21.</w:t>
      </w:r>
      <w:r w:rsidRPr="00FE241F">
        <w:rPr>
          <w:rFonts w:ascii="Calibri" w:hAnsi="Calibri" w:cs="Calibri"/>
        </w:rPr>
        <w:tab/>
        <w:t xml:space="preserve">Duan, R. </w:t>
      </w:r>
      <w:r w:rsidRPr="00FE241F">
        <w:rPr>
          <w:rFonts w:ascii="Calibri" w:hAnsi="Calibri" w:cs="Calibri"/>
          <w:i/>
          <w:iCs/>
        </w:rPr>
        <w:t>et al.</w:t>
      </w:r>
      <w:r w:rsidRPr="00FE241F">
        <w:rPr>
          <w:rFonts w:ascii="Calibri" w:hAnsi="Calibri" w:cs="Calibri"/>
        </w:rPr>
        <w:t xml:space="preserve"> Evaluation and comparison of multi-omics data integration methods for cancer subtyping. </w:t>
      </w:r>
      <w:r w:rsidRPr="00FE241F">
        <w:rPr>
          <w:rFonts w:ascii="Calibri" w:hAnsi="Calibri" w:cs="Calibri"/>
          <w:i/>
          <w:iCs/>
        </w:rPr>
        <w:t>PLOS Comput. Biol.</w:t>
      </w:r>
      <w:r w:rsidRPr="00FE241F">
        <w:rPr>
          <w:rFonts w:ascii="Calibri" w:hAnsi="Calibri" w:cs="Calibri"/>
        </w:rPr>
        <w:t xml:space="preserve"> </w:t>
      </w:r>
      <w:r w:rsidRPr="00FE241F">
        <w:rPr>
          <w:rFonts w:ascii="Calibri" w:hAnsi="Calibri" w:cs="Calibri"/>
          <w:b/>
          <w:bCs/>
        </w:rPr>
        <w:t>17</w:t>
      </w:r>
      <w:r w:rsidRPr="00FE241F">
        <w:rPr>
          <w:rFonts w:ascii="Calibri" w:hAnsi="Calibri" w:cs="Calibri"/>
        </w:rPr>
        <w:t>, e1009224 (2021).</w:t>
      </w:r>
    </w:p>
    <w:p w14:paraId="0BBA78BA" w14:textId="77777777" w:rsidR="00FE241F" w:rsidRPr="00FE241F" w:rsidRDefault="00FE241F" w:rsidP="00FE241F">
      <w:pPr>
        <w:pStyle w:val="Bibliography"/>
        <w:rPr>
          <w:rFonts w:ascii="Calibri" w:hAnsi="Calibri" w:cs="Calibri"/>
        </w:rPr>
      </w:pPr>
      <w:r w:rsidRPr="00FE241F">
        <w:rPr>
          <w:rFonts w:ascii="Calibri" w:hAnsi="Calibri" w:cs="Calibri"/>
        </w:rPr>
        <w:t>22.</w:t>
      </w:r>
      <w:r w:rsidRPr="00FE241F">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FE241F">
        <w:rPr>
          <w:rFonts w:ascii="Calibri" w:hAnsi="Calibri" w:cs="Calibri"/>
          <w:i/>
          <w:iCs/>
        </w:rPr>
        <w:t>Mol. Cancer Res.</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269–278 (2018).</w:t>
      </w:r>
    </w:p>
    <w:p w14:paraId="0BB61F70" w14:textId="77777777" w:rsidR="00FE241F" w:rsidRPr="00FE241F" w:rsidRDefault="00FE241F" w:rsidP="00FE241F">
      <w:pPr>
        <w:pStyle w:val="Bibliography"/>
        <w:rPr>
          <w:rFonts w:ascii="Calibri" w:hAnsi="Calibri" w:cs="Calibri"/>
        </w:rPr>
      </w:pPr>
      <w:r w:rsidRPr="00FE241F">
        <w:rPr>
          <w:rFonts w:ascii="Calibri" w:hAnsi="Calibri" w:cs="Calibri"/>
        </w:rPr>
        <w:t>23.</w:t>
      </w:r>
      <w:r w:rsidRPr="00FE241F">
        <w:rPr>
          <w:rFonts w:ascii="Calibri" w:hAnsi="Calibri" w:cs="Calibri"/>
        </w:rPr>
        <w:tab/>
        <w:t xml:space="preserve">Chaudhary, K., Poirion, O. B., Lu, L. &amp; Garmire, L. X. Deep Learning–Based Multi-Omics Integration Robustly Predicts Survival in Liver Cancer.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24</w:t>
      </w:r>
      <w:r w:rsidRPr="00FE241F">
        <w:rPr>
          <w:rFonts w:ascii="Calibri" w:hAnsi="Calibri" w:cs="Calibri"/>
        </w:rPr>
        <w:t>, 1248–1259 (2018).</w:t>
      </w:r>
    </w:p>
    <w:p w14:paraId="64E0B113" w14:textId="77777777" w:rsidR="00FE241F" w:rsidRPr="00FE241F" w:rsidRDefault="00FE241F" w:rsidP="00FE241F">
      <w:pPr>
        <w:pStyle w:val="Bibliography"/>
        <w:rPr>
          <w:rFonts w:ascii="Calibri" w:hAnsi="Calibri" w:cs="Calibri"/>
        </w:rPr>
      </w:pPr>
      <w:r w:rsidRPr="00FE241F">
        <w:rPr>
          <w:rFonts w:ascii="Calibri" w:hAnsi="Calibri" w:cs="Calibri"/>
        </w:rPr>
        <w:t>24.</w:t>
      </w:r>
      <w:r w:rsidRPr="00FE241F">
        <w:rPr>
          <w:rFonts w:ascii="Calibri" w:hAnsi="Calibri" w:cs="Calibri"/>
        </w:rPr>
        <w:tab/>
        <w:t xml:space="preserve">Koul, N. &amp; Manvi, S. S. Feature Selection From Gene Expression Data Using Simulated Annealing and Partial Least Squares Regression Coefficients. </w:t>
      </w:r>
      <w:r w:rsidRPr="00FE241F">
        <w:rPr>
          <w:rFonts w:ascii="Calibri" w:hAnsi="Calibri" w:cs="Calibri"/>
          <w:i/>
          <w:iCs/>
        </w:rPr>
        <w:t>Glob. Transit. Proc.</w:t>
      </w:r>
      <w:r w:rsidRPr="00FE241F">
        <w:rPr>
          <w:rFonts w:ascii="Calibri" w:hAnsi="Calibri" w:cs="Calibri"/>
        </w:rPr>
        <w:t xml:space="preserve"> </w:t>
      </w:r>
      <w:r w:rsidRPr="00FE241F">
        <w:rPr>
          <w:rFonts w:ascii="Calibri" w:hAnsi="Calibri" w:cs="Calibri"/>
          <w:b/>
          <w:bCs/>
        </w:rPr>
        <w:t>3</w:t>
      </w:r>
      <w:r w:rsidRPr="00FE241F">
        <w:rPr>
          <w:rFonts w:ascii="Calibri" w:hAnsi="Calibri" w:cs="Calibri"/>
        </w:rPr>
        <w:t>, 251–256 (2022).</w:t>
      </w:r>
    </w:p>
    <w:p w14:paraId="1AF6183F" w14:textId="77777777" w:rsidR="00FE241F" w:rsidRPr="00FE241F" w:rsidRDefault="00FE241F" w:rsidP="00FE241F">
      <w:pPr>
        <w:pStyle w:val="Bibliography"/>
        <w:rPr>
          <w:rFonts w:ascii="Calibri" w:hAnsi="Calibri" w:cs="Calibri"/>
        </w:rPr>
      </w:pPr>
      <w:r w:rsidRPr="00FE241F">
        <w:rPr>
          <w:rFonts w:ascii="Calibri" w:hAnsi="Calibri" w:cs="Calibri"/>
        </w:rPr>
        <w:t>25.</w:t>
      </w:r>
      <w:r w:rsidRPr="00FE241F">
        <w:rPr>
          <w:rFonts w:ascii="Calibri" w:hAnsi="Calibri" w:cs="Calibri"/>
        </w:rPr>
        <w:tab/>
        <w:t xml:space="preserve">Sen Puliparambil, B., Tomal, J. H. &amp; Yan, Y. A Novel Algorithm for Feature Selection Using Penalized Regression with Applications to Single-Cell RNA Sequencing Data. </w:t>
      </w:r>
      <w:r w:rsidRPr="00FE241F">
        <w:rPr>
          <w:rFonts w:ascii="Calibri" w:hAnsi="Calibri" w:cs="Calibri"/>
          <w:i/>
          <w:iCs/>
        </w:rPr>
        <w:t>Biology</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1495 (2022).</w:t>
      </w:r>
    </w:p>
    <w:p w14:paraId="6E0CE367" w14:textId="77777777" w:rsidR="00FE241F" w:rsidRPr="00FE241F" w:rsidRDefault="00FE241F" w:rsidP="00FE241F">
      <w:pPr>
        <w:pStyle w:val="Bibliography"/>
        <w:rPr>
          <w:rFonts w:ascii="Calibri" w:hAnsi="Calibri" w:cs="Calibri"/>
        </w:rPr>
      </w:pPr>
      <w:r w:rsidRPr="00FE241F">
        <w:rPr>
          <w:rFonts w:ascii="Calibri" w:hAnsi="Calibri" w:cs="Calibri"/>
        </w:rPr>
        <w:t>26.</w:t>
      </w:r>
      <w:r w:rsidRPr="00FE241F">
        <w:rPr>
          <w:rFonts w:ascii="Calibri" w:hAnsi="Calibri" w:cs="Calibri"/>
        </w:rPr>
        <w:tab/>
        <w:t xml:space="preserve">Rupapara, V. </w:t>
      </w:r>
      <w:r w:rsidRPr="00FE241F">
        <w:rPr>
          <w:rFonts w:ascii="Calibri" w:hAnsi="Calibri" w:cs="Calibri"/>
          <w:i/>
          <w:iCs/>
        </w:rPr>
        <w:t>et al.</w:t>
      </w:r>
      <w:r w:rsidRPr="00FE241F">
        <w:rPr>
          <w:rFonts w:ascii="Calibri" w:hAnsi="Calibri" w:cs="Calibri"/>
        </w:rPr>
        <w:t xml:space="preserve"> Blood cancer prediction using leukemia microarray gene data and hybrid logistic vector trees model.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1000 (2022).</w:t>
      </w:r>
    </w:p>
    <w:p w14:paraId="7F7CE14C" w14:textId="77777777" w:rsidR="00FE241F" w:rsidRPr="00FE241F" w:rsidRDefault="00FE241F" w:rsidP="00FE241F">
      <w:pPr>
        <w:pStyle w:val="Bibliography"/>
        <w:rPr>
          <w:rFonts w:ascii="Calibri" w:hAnsi="Calibri" w:cs="Calibri"/>
        </w:rPr>
      </w:pPr>
      <w:r w:rsidRPr="00FE241F">
        <w:rPr>
          <w:rFonts w:ascii="Calibri" w:hAnsi="Calibri" w:cs="Calibri"/>
        </w:rPr>
        <w:t>27.</w:t>
      </w:r>
      <w:r w:rsidRPr="00FE241F">
        <w:rPr>
          <w:rFonts w:ascii="Calibri" w:hAnsi="Calibri" w:cs="Calibri"/>
        </w:rPr>
        <w:tab/>
        <w:t xml:space="preserve">Abdelnaby, M., Alfonse, M. &amp; Roushdy, M. </w:t>
      </w:r>
      <w:r w:rsidRPr="00FE241F">
        <w:rPr>
          <w:rFonts w:ascii="Calibri" w:hAnsi="Calibri" w:cs="Calibri"/>
          <w:i/>
          <w:iCs/>
        </w:rPr>
        <w:t>A Hybrid Mutual Information-LASSO-Genetic Algorithm Selection Approach for Classifying Breast Cancer</w:t>
      </w:r>
      <w:r w:rsidRPr="00FE241F">
        <w:rPr>
          <w:rFonts w:ascii="Calibri" w:hAnsi="Calibri" w:cs="Calibri"/>
        </w:rPr>
        <w:t>. (2021). doi:10.1007/978-981-16-2275-5_36.</w:t>
      </w:r>
    </w:p>
    <w:p w14:paraId="74DC1C9D"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28.</w:t>
      </w:r>
      <w:r w:rsidRPr="00FE241F">
        <w:rPr>
          <w:rFonts w:ascii="Calibri" w:hAnsi="Calibri" w:cs="Calibri"/>
        </w:rPr>
        <w:tab/>
        <w:t xml:space="preserve">Al-hebshi, N. N. </w:t>
      </w:r>
      <w:r w:rsidRPr="00FE241F">
        <w:rPr>
          <w:rFonts w:ascii="Calibri" w:hAnsi="Calibri" w:cs="Calibri"/>
          <w:i/>
          <w:iCs/>
        </w:rPr>
        <w:t>et al.</w:t>
      </w:r>
      <w:r w:rsidRPr="00FE241F">
        <w:rPr>
          <w:rFonts w:ascii="Calibri" w:hAnsi="Calibri" w:cs="Calibri"/>
        </w:rPr>
        <w:t xml:space="preserve"> Inflammatory bacteriome featuring Fusobacterium nucleatum and Pseudomonas aeruginosa identified in association with oral squamous cell carcinoma.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1834 (2017).</w:t>
      </w:r>
    </w:p>
    <w:p w14:paraId="3B42A48D" w14:textId="77777777" w:rsidR="00FE241F" w:rsidRPr="00FE241F" w:rsidRDefault="00FE241F" w:rsidP="00FE241F">
      <w:pPr>
        <w:pStyle w:val="Bibliography"/>
        <w:rPr>
          <w:rFonts w:ascii="Calibri" w:hAnsi="Calibri" w:cs="Calibri"/>
        </w:rPr>
      </w:pPr>
      <w:r w:rsidRPr="00FE241F">
        <w:rPr>
          <w:rFonts w:ascii="Calibri" w:hAnsi="Calibri" w:cs="Calibri"/>
        </w:rPr>
        <w:t>29.</w:t>
      </w:r>
      <w:r w:rsidRPr="00FE241F">
        <w:rPr>
          <w:rFonts w:ascii="Calibri" w:hAnsi="Calibri" w:cs="Calibri"/>
        </w:rPr>
        <w:tab/>
        <w:t xml:space="preserve">Peek, R. M. &amp; Blaser, M. J. Helicobacter pylori and gastrointestinal tract adenocarcinomas.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2</w:t>
      </w:r>
      <w:r w:rsidRPr="00FE241F">
        <w:rPr>
          <w:rFonts w:ascii="Calibri" w:hAnsi="Calibri" w:cs="Calibri"/>
        </w:rPr>
        <w:t>, 28–37 (2002).</w:t>
      </w:r>
    </w:p>
    <w:p w14:paraId="06AF9642" w14:textId="77777777" w:rsidR="00FE241F" w:rsidRPr="00FE241F" w:rsidRDefault="00FE241F" w:rsidP="00FE241F">
      <w:pPr>
        <w:pStyle w:val="Bibliography"/>
        <w:rPr>
          <w:rFonts w:ascii="Calibri" w:hAnsi="Calibri" w:cs="Calibri"/>
        </w:rPr>
      </w:pPr>
      <w:r w:rsidRPr="00FE241F">
        <w:rPr>
          <w:rFonts w:ascii="Calibri" w:hAnsi="Calibri" w:cs="Calibri"/>
        </w:rPr>
        <w:t>30.</w:t>
      </w:r>
      <w:r w:rsidRPr="00FE241F">
        <w:rPr>
          <w:rFonts w:ascii="Calibri" w:hAnsi="Calibri" w:cs="Calibri"/>
        </w:rPr>
        <w:tab/>
        <w:t xml:space="preserve">Blaser, M. J. </w:t>
      </w:r>
      <w:r w:rsidRPr="00FE241F">
        <w:rPr>
          <w:rFonts w:ascii="Calibri" w:hAnsi="Calibri" w:cs="Calibri"/>
          <w:i/>
          <w:iCs/>
        </w:rPr>
        <w:t>et al.</w:t>
      </w:r>
      <w:r w:rsidRPr="00FE241F">
        <w:rPr>
          <w:rFonts w:ascii="Calibri" w:hAnsi="Calibri" w:cs="Calibri"/>
        </w:rPr>
        <w:t xml:space="preserve"> Infection with Helicobacter pylori Strains Possessing cagA Is Associated with an Increased Risk of Developing Adenocarcinoma of the Stomach1. </w:t>
      </w:r>
      <w:r w:rsidRPr="00FE241F">
        <w:rPr>
          <w:rFonts w:ascii="Calibri" w:hAnsi="Calibri" w:cs="Calibri"/>
          <w:i/>
          <w:iCs/>
        </w:rPr>
        <w:t>Cancer Res.</w:t>
      </w:r>
      <w:r w:rsidRPr="00FE241F">
        <w:rPr>
          <w:rFonts w:ascii="Calibri" w:hAnsi="Calibri" w:cs="Calibri"/>
        </w:rPr>
        <w:t xml:space="preserve"> </w:t>
      </w:r>
      <w:r w:rsidRPr="00FE241F">
        <w:rPr>
          <w:rFonts w:ascii="Calibri" w:hAnsi="Calibri" w:cs="Calibri"/>
          <w:b/>
          <w:bCs/>
        </w:rPr>
        <w:t>55</w:t>
      </w:r>
      <w:r w:rsidRPr="00FE241F">
        <w:rPr>
          <w:rFonts w:ascii="Calibri" w:hAnsi="Calibri" w:cs="Calibri"/>
        </w:rPr>
        <w:t>, 2111–2115 (1995).</w:t>
      </w:r>
    </w:p>
    <w:p w14:paraId="19241E12" w14:textId="77777777" w:rsidR="00FE241F" w:rsidRPr="00FE241F" w:rsidRDefault="00FE241F" w:rsidP="00FE241F">
      <w:pPr>
        <w:pStyle w:val="Bibliography"/>
        <w:rPr>
          <w:rFonts w:ascii="Calibri" w:hAnsi="Calibri" w:cs="Calibri"/>
        </w:rPr>
      </w:pPr>
      <w:r w:rsidRPr="00FE241F">
        <w:rPr>
          <w:rFonts w:ascii="Calibri" w:hAnsi="Calibri" w:cs="Calibri"/>
        </w:rPr>
        <w:t>31.</w:t>
      </w:r>
      <w:r w:rsidRPr="00FE241F">
        <w:rPr>
          <w:rFonts w:ascii="Calibri" w:hAnsi="Calibri" w:cs="Calibri"/>
        </w:rPr>
        <w:tab/>
        <w:t xml:space="preserve">Parsonnet, J. </w:t>
      </w:r>
      <w:r w:rsidRPr="00FE241F">
        <w:rPr>
          <w:rFonts w:ascii="Calibri" w:hAnsi="Calibri" w:cs="Calibri"/>
          <w:i/>
          <w:iCs/>
        </w:rPr>
        <w:t>et al.</w:t>
      </w:r>
      <w:r w:rsidRPr="00FE241F">
        <w:rPr>
          <w:rFonts w:ascii="Calibri" w:hAnsi="Calibri" w:cs="Calibri"/>
        </w:rPr>
        <w:t xml:space="preserve"> Helicobacter pylori Infection and the Risk of Gastric Carcinoma. </w:t>
      </w:r>
      <w:r w:rsidRPr="00FE241F">
        <w:rPr>
          <w:rFonts w:ascii="Calibri" w:hAnsi="Calibri" w:cs="Calibri"/>
          <w:i/>
          <w:iCs/>
        </w:rPr>
        <w:t>N. Engl. J. Med.</w:t>
      </w:r>
      <w:r w:rsidRPr="00FE241F">
        <w:rPr>
          <w:rFonts w:ascii="Calibri" w:hAnsi="Calibri" w:cs="Calibri"/>
        </w:rPr>
        <w:t xml:space="preserve"> </w:t>
      </w:r>
      <w:r w:rsidRPr="00FE241F">
        <w:rPr>
          <w:rFonts w:ascii="Calibri" w:hAnsi="Calibri" w:cs="Calibri"/>
          <w:b/>
          <w:bCs/>
        </w:rPr>
        <w:t>325</w:t>
      </w:r>
      <w:r w:rsidRPr="00FE241F">
        <w:rPr>
          <w:rFonts w:ascii="Calibri" w:hAnsi="Calibri" w:cs="Calibri"/>
        </w:rPr>
        <w:t>, 1127–1131 (1991).</w:t>
      </w:r>
    </w:p>
    <w:p w14:paraId="19A265F1" w14:textId="77777777" w:rsidR="00FE241F" w:rsidRPr="00FE241F" w:rsidRDefault="00FE241F" w:rsidP="00FE241F">
      <w:pPr>
        <w:pStyle w:val="Bibliography"/>
        <w:rPr>
          <w:rFonts w:ascii="Calibri" w:hAnsi="Calibri" w:cs="Calibri"/>
        </w:rPr>
      </w:pPr>
      <w:r w:rsidRPr="00FE241F">
        <w:rPr>
          <w:rFonts w:ascii="Calibri" w:hAnsi="Calibri" w:cs="Calibri"/>
        </w:rPr>
        <w:t>32.</w:t>
      </w:r>
      <w:r w:rsidRPr="00FE241F">
        <w:rPr>
          <w:rFonts w:ascii="Calibri" w:hAnsi="Calibri" w:cs="Calibri"/>
        </w:rPr>
        <w:tab/>
        <w:t xml:space="preserve">Shariati, A. </w:t>
      </w:r>
      <w:r w:rsidRPr="00FE241F">
        <w:rPr>
          <w:rFonts w:ascii="Calibri" w:hAnsi="Calibri" w:cs="Calibri"/>
          <w:i/>
          <w:iCs/>
        </w:rPr>
        <w:t>et al.</w:t>
      </w:r>
      <w:r w:rsidRPr="00FE241F">
        <w:rPr>
          <w:rFonts w:ascii="Calibri" w:hAnsi="Calibri" w:cs="Calibri"/>
        </w:rPr>
        <w:t xml:space="preserve"> Association between colorectal cancer and Fusobacterium nucleatum and Bacteroides fragilis bacteria in Iranian patients: a preliminary study. </w:t>
      </w:r>
      <w:r w:rsidRPr="00FE241F">
        <w:rPr>
          <w:rFonts w:ascii="Calibri" w:hAnsi="Calibri" w:cs="Calibri"/>
          <w:i/>
          <w:iCs/>
        </w:rPr>
        <w:t>Infect. Agent. Cancer</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41 (2021).</w:t>
      </w:r>
    </w:p>
    <w:p w14:paraId="062D9A62" w14:textId="77777777" w:rsidR="00FE241F" w:rsidRPr="00FE241F" w:rsidRDefault="00FE241F" w:rsidP="00FE241F">
      <w:pPr>
        <w:pStyle w:val="Bibliography"/>
        <w:rPr>
          <w:rFonts w:ascii="Calibri" w:hAnsi="Calibri" w:cs="Calibri"/>
        </w:rPr>
      </w:pPr>
      <w:r w:rsidRPr="00FE241F">
        <w:rPr>
          <w:rFonts w:ascii="Calibri" w:hAnsi="Calibri" w:cs="Calibri"/>
        </w:rPr>
        <w:t>33.</w:t>
      </w:r>
      <w:r w:rsidRPr="00FE241F">
        <w:rPr>
          <w:rFonts w:ascii="Calibri" w:hAnsi="Calibri" w:cs="Calibri"/>
        </w:rPr>
        <w:tab/>
        <w:t xml:space="preserve">Yamamura, K. </w:t>
      </w:r>
      <w:r w:rsidRPr="00FE241F">
        <w:rPr>
          <w:rFonts w:ascii="Calibri" w:hAnsi="Calibri" w:cs="Calibri"/>
          <w:i/>
          <w:iCs/>
        </w:rPr>
        <w:t>et al.</w:t>
      </w:r>
      <w:r w:rsidRPr="00FE241F">
        <w:rPr>
          <w:rFonts w:ascii="Calibri" w:hAnsi="Calibri" w:cs="Calibri"/>
        </w:rPr>
        <w:t xml:space="preserve"> Human Microbiome </w:t>
      </w:r>
      <w:r w:rsidRPr="00FE241F">
        <w:rPr>
          <w:rFonts w:ascii="Calibri" w:hAnsi="Calibri" w:cs="Calibri"/>
          <w:i/>
          <w:iCs/>
        </w:rPr>
        <w:t>Fusobacterium Nucleatum</w:t>
      </w:r>
      <w:r w:rsidRPr="00FE241F">
        <w:rPr>
          <w:rFonts w:ascii="Calibri" w:hAnsi="Calibri" w:cs="Calibri"/>
        </w:rPr>
        <w:t xml:space="preserve"> in Esophageal Cancer Tissue Is Associated with Prognosis.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22</w:t>
      </w:r>
      <w:r w:rsidRPr="00FE241F">
        <w:rPr>
          <w:rFonts w:ascii="Calibri" w:hAnsi="Calibri" w:cs="Calibri"/>
        </w:rPr>
        <w:t>, 5574–5581 (2016).</w:t>
      </w:r>
    </w:p>
    <w:p w14:paraId="1E884E30" w14:textId="77777777" w:rsidR="00FE241F" w:rsidRPr="00FE241F" w:rsidRDefault="00FE241F" w:rsidP="00FE241F">
      <w:pPr>
        <w:pStyle w:val="Bibliography"/>
        <w:rPr>
          <w:rFonts w:ascii="Calibri" w:hAnsi="Calibri" w:cs="Calibri"/>
        </w:rPr>
      </w:pPr>
      <w:r w:rsidRPr="00FE241F">
        <w:rPr>
          <w:rFonts w:ascii="Calibri" w:hAnsi="Calibri" w:cs="Calibri"/>
        </w:rPr>
        <w:t>34.</w:t>
      </w:r>
      <w:r w:rsidRPr="00FE241F">
        <w:rPr>
          <w:rFonts w:ascii="Calibri" w:hAnsi="Calibri" w:cs="Calibri"/>
        </w:rPr>
        <w:tab/>
        <w:t xml:space="preserve">Shin, J. M. </w:t>
      </w:r>
      <w:r w:rsidRPr="00FE241F">
        <w:rPr>
          <w:rFonts w:ascii="Calibri" w:hAnsi="Calibri" w:cs="Calibri"/>
          <w:i/>
          <w:iCs/>
        </w:rPr>
        <w:t>et al.</w:t>
      </w:r>
      <w:r w:rsidRPr="00FE241F">
        <w:rPr>
          <w:rFonts w:ascii="Calibri" w:hAnsi="Calibri" w:cs="Calibri"/>
        </w:rPr>
        <w:t xml:space="preserve"> Microbial Communities Associated with Primary and Metastatic Head and Neck Squamous Cell Carcinoma – A High Fusobacterial and Low Streptococcal Signature.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9934 (2017).</w:t>
      </w:r>
    </w:p>
    <w:p w14:paraId="6E2C3DD5" w14:textId="77777777" w:rsidR="00FE241F" w:rsidRPr="00FE241F" w:rsidRDefault="00FE241F" w:rsidP="00FE241F">
      <w:pPr>
        <w:pStyle w:val="Bibliography"/>
        <w:rPr>
          <w:rFonts w:ascii="Calibri" w:hAnsi="Calibri" w:cs="Calibri"/>
        </w:rPr>
      </w:pPr>
      <w:r w:rsidRPr="00FE241F">
        <w:rPr>
          <w:rFonts w:ascii="Calibri" w:hAnsi="Calibri" w:cs="Calibri"/>
        </w:rPr>
        <w:t>35.</w:t>
      </w:r>
      <w:r w:rsidRPr="00FE241F">
        <w:rPr>
          <w:rFonts w:ascii="Calibri" w:hAnsi="Calibri" w:cs="Calibri"/>
        </w:rPr>
        <w:tab/>
        <w:t xml:space="preserve">Hamamoto, R. </w:t>
      </w:r>
      <w:r w:rsidRPr="00FE241F">
        <w:rPr>
          <w:rFonts w:ascii="Calibri" w:hAnsi="Calibri" w:cs="Calibri"/>
          <w:i/>
          <w:iCs/>
        </w:rPr>
        <w:t>et al.</w:t>
      </w:r>
      <w:r w:rsidRPr="00FE241F">
        <w:rPr>
          <w:rFonts w:ascii="Calibri" w:hAnsi="Calibri" w:cs="Calibri"/>
        </w:rPr>
        <w:t xml:space="preserve"> Application of non-negative matrix factorization in oncology: one approach for establishing precision medicine. </w:t>
      </w:r>
      <w:r w:rsidRPr="00FE241F">
        <w:rPr>
          <w:rFonts w:ascii="Calibri" w:hAnsi="Calibri" w:cs="Calibri"/>
          <w:i/>
          <w:iCs/>
        </w:rPr>
        <w:t>Brief. Bioinform.</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bbac246 (2022).</w:t>
      </w:r>
    </w:p>
    <w:p w14:paraId="324D0FA3" w14:textId="77777777" w:rsidR="00FE241F" w:rsidRPr="00FE241F" w:rsidRDefault="00FE241F" w:rsidP="00FE241F">
      <w:pPr>
        <w:pStyle w:val="Bibliography"/>
        <w:rPr>
          <w:rFonts w:ascii="Calibri" w:hAnsi="Calibri" w:cs="Calibri"/>
        </w:rPr>
      </w:pPr>
      <w:r w:rsidRPr="00FE241F">
        <w:rPr>
          <w:rFonts w:ascii="Calibri" w:hAnsi="Calibri" w:cs="Calibri"/>
        </w:rPr>
        <w:t>36.</w:t>
      </w:r>
      <w:r w:rsidRPr="00FE241F">
        <w:rPr>
          <w:rFonts w:ascii="Calibri" w:hAnsi="Calibri" w:cs="Calibri"/>
        </w:rPr>
        <w:tab/>
        <w:t xml:space="preserve">Hermida, L. C., Gertz, E. M. &amp; Ruppin, E. Predicting cancer prognosis and drug response from the tumor microbiome. </w:t>
      </w:r>
      <w:r w:rsidRPr="00FE241F">
        <w:rPr>
          <w:rFonts w:ascii="Calibri" w:hAnsi="Calibri" w:cs="Calibri"/>
          <w:i/>
          <w:iCs/>
        </w:rPr>
        <w:t>Nat. Commun.</w:t>
      </w:r>
      <w:r w:rsidRPr="00FE241F">
        <w:rPr>
          <w:rFonts w:ascii="Calibri" w:hAnsi="Calibri" w:cs="Calibri"/>
        </w:rPr>
        <w:t xml:space="preserve"> </w:t>
      </w:r>
      <w:r w:rsidRPr="00FE241F">
        <w:rPr>
          <w:rFonts w:ascii="Calibri" w:hAnsi="Calibri" w:cs="Calibri"/>
          <w:b/>
          <w:bCs/>
        </w:rPr>
        <w:t>13</w:t>
      </w:r>
      <w:r w:rsidRPr="00FE241F">
        <w:rPr>
          <w:rFonts w:ascii="Calibri" w:hAnsi="Calibri" w:cs="Calibri"/>
        </w:rPr>
        <w:t>, 2896 (2022).</w:t>
      </w:r>
    </w:p>
    <w:p w14:paraId="20CDD50F" w14:textId="112BC70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E1B41" w14:textId="77777777" w:rsidR="00C347F2" w:rsidRDefault="00C347F2" w:rsidP="001F73E5">
      <w:pPr>
        <w:spacing w:after="0" w:line="240" w:lineRule="auto"/>
      </w:pPr>
      <w:r>
        <w:separator/>
      </w:r>
    </w:p>
  </w:endnote>
  <w:endnote w:type="continuationSeparator" w:id="0">
    <w:p w14:paraId="6D7402A4" w14:textId="77777777" w:rsidR="00C347F2" w:rsidRDefault="00C347F2"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AD7BC" w14:textId="77777777" w:rsidR="00C347F2" w:rsidRDefault="00C347F2" w:rsidP="001F73E5">
      <w:pPr>
        <w:spacing w:after="0" w:line="240" w:lineRule="auto"/>
      </w:pPr>
      <w:r>
        <w:separator/>
      </w:r>
    </w:p>
  </w:footnote>
  <w:footnote w:type="continuationSeparator" w:id="0">
    <w:p w14:paraId="5F4E8ABE" w14:textId="77777777" w:rsidR="00C347F2" w:rsidRDefault="00C347F2"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DCE5CA77-9B14-45A9-96A0-C1213A552DBA}"/>
    <w:docVar w:name="dgnword-eventsink" w:val="378028048"/>
  </w:docVars>
  <w:rsids>
    <w:rsidRoot w:val="00A96604"/>
    <w:rsid w:val="000011A0"/>
    <w:rsid w:val="00001F06"/>
    <w:rsid w:val="00004299"/>
    <w:rsid w:val="000100BD"/>
    <w:rsid w:val="00012BDF"/>
    <w:rsid w:val="00013F94"/>
    <w:rsid w:val="00015CA7"/>
    <w:rsid w:val="00017490"/>
    <w:rsid w:val="000255CA"/>
    <w:rsid w:val="00033BD2"/>
    <w:rsid w:val="00034630"/>
    <w:rsid w:val="0003769F"/>
    <w:rsid w:val="000423DE"/>
    <w:rsid w:val="0004638E"/>
    <w:rsid w:val="000477FE"/>
    <w:rsid w:val="00056827"/>
    <w:rsid w:val="0007197A"/>
    <w:rsid w:val="00084F5A"/>
    <w:rsid w:val="00087CEB"/>
    <w:rsid w:val="000912E0"/>
    <w:rsid w:val="00091A77"/>
    <w:rsid w:val="000960AB"/>
    <w:rsid w:val="00097627"/>
    <w:rsid w:val="000A0E92"/>
    <w:rsid w:val="000A541B"/>
    <w:rsid w:val="000B73BD"/>
    <w:rsid w:val="000C3AA3"/>
    <w:rsid w:val="000C6B78"/>
    <w:rsid w:val="000E1B94"/>
    <w:rsid w:val="000F2D68"/>
    <w:rsid w:val="00105D2E"/>
    <w:rsid w:val="001228BD"/>
    <w:rsid w:val="00127277"/>
    <w:rsid w:val="00137818"/>
    <w:rsid w:val="00140DE6"/>
    <w:rsid w:val="001411EA"/>
    <w:rsid w:val="00142FE4"/>
    <w:rsid w:val="00147CB4"/>
    <w:rsid w:val="001531EF"/>
    <w:rsid w:val="001678E3"/>
    <w:rsid w:val="001719F7"/>
    <w:rsid w:val="00180923"/>
    <w:rsid w:val="00182DA5"/>
    <w:rsid w:val="00191D0D"/>
    <w:rsid w:val="00194A83"/>
    <w:rsid w:val="001A492D"/>
    <w:rsid w:val="001B5B1A"/>
    <w:rsid w:val="001C3A8F"/>
    <w:rsid w:val="001C4646"/>
    <w:rsid w:val="001D015B"/>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360D"/>
    <w:rsid w:val="00243C18"/>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23235"/>
    <w:rsid w:val="00324463"/>
    <w:rsid w:val="003318E0"/>
    <w:rsid w:val="00334B32"/>
    <w:rsid w:val="00360FAF"/>
    <w:rsid w:val="00362AD8"/>
    <w:rsid w:val="00370AF1"/>
    <w:rsid w:val="00370C80"/>
    <w:rsid w:val="003851AE"/>
    <w:rsid w:val="0038693E"/>
    <w:rsid w:val="003956A4"/>
    <w:rsid w:val="003958FD"/>
    <w:rsid w:val="003B5636"/>
    <w:rsid w:val="003B7442"/>
    <w:rsid w:val="003C4EBF"/>
    <w:rsid w:val="003C6DD7"/>
    <w:rsid w:val="003D24BC"/>
    <w:rsid w:val="003D26BF"/>
    <w:rsid w:val="003F3E04"/>
    <w:rsid w:val="003F5EEF"/>
    <w:rsid w:val="003F6709"/>
    <w:rsid w:val="00413B7B"/>
    <w:rsid w:val="0042041E"/>
    <w:rsid w:val="004257CC"/>
    <w:rsid w:val="004277AD"/>
    <w:rsid w:val="00432975"/>
    <w:rsid w:val="0044530F"/>
    <w:rsid w:val="00446BD8"/>
    <w:rsid w:val="00447E7D"/>
    <w:rsid w:val="00451C9E"/>
    <w:rsid w:val="00456F0D"/>
    <w:rsid w:val="004615FB"/>
    <w:rsid w:val="00464C80"/>
    <w:rsid w:val="00472ECD"/>
    <w:rsid w:val="0047564F"/>
    <w:rsid w:val="004800F2"/>
    <w:rsid w:val="00484C0B"/>
    <w:rsid w:val="00492C4D"/>
    <w:rsid w:val="004A6406"/>
    <w:rsid w:val="004A78E6"/>
    <w:rsid w:val="004B2B0B"/>
    <w:rsid w:val="004B38D5"/>
    <w:rsid w:val="004B4560"/>
    <w:rsid w:val="004C5635"/>
    <w:rsid w:val="004C5EFA"/>
    <w:rsid w:val="004D017C"/>
    <w:rsid w:val="004D301D"/>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44C1"/>
    <w:rsid w:val="005A59C9"/>
    <w:rsid w:val="005A7353"/>
    <w:rsid w:val="005B1BC4"/>
    <w:rsid w:val="005B1BF3"/>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1DE9"/>
    <w:rsid w:val="00637ED4"/>
    <w:rsid w:val="006442A3"/>
    <w:rsid w:val="006454AC"/>
    <w:rsid w:val="006463D9"/>
    <w:rsid w:val="006522F4"/>
    <w:rsid w:val="006547AA"/>
    <w:rsid w:val="00661E09"/>
    <w:rsid w:val="006620BE"/>
    <w:rsid w:val="00665921"/>
    <w:rsid w:val="00666EBF"/>
    <w:rsid w:val="006839AC"/>
    <w:rsid w:val="00687E59"/>
    <w:rsid w:val="00696053"/>
    <w:rsid w:val="0069665A"/>
    <w:rsid w:val="0069728B"/>
    <w:rsid w:val="006A7205"/>
    <w:rsid w:val="006B2F31"/>
    <w:rsid w:val="006C50A9"/>
    <w:rsid w:val="006D4C36"/>
    <w:rsid w:val="006D7FAD"/>
    <w:rsid w:val="006E05A4"/>
    <w:rsid w:val="006E338C"/>
    <w:rsid w:val="006E54B9"/>
    <w:rsid w:val="00705F15"/>
    <w:rsid w:val="00720AF8"/>
    <w:rsid w:val="00722FD6"/>
    <w:rsid w:val="007276F0"/>
    <w:rsid w:val="00736A17"/>
    <w:rsid w:val="007439D7"/>
    <w:rsid w:val="007457DB"/>
    <w:rsid w:val="007518E5"/>
    <w:rsid w:val="00756183"/>
    <w:rsid w:val="00757F7E"/>
    <w:rsid w:val="007606A1"/>
    <w:rsid w:val="007660F8"/>
    <w:rsid w:val="0077405D"/>
    <w:rsid w:val="00781BA2"/>
    <w:rsid w:val="00782B0E"/>
    <w:rsid w:val="0078557C"/>
    <w:rsid w:val="00791FC3"/>
    <w:rsid w:val="00792A21"/>
    <w:rsid w:val="007931A4"/>
    <w:rsid w:val="007933AB"/>
    <w:rsid w:val="00797EBF"/>
    <w:rsid w:val="007A2AA9"/>
    <w:rsid w:val="007B0B89"/>
    <w:rsid w:val="007C0BFD"/>
    <w:rsid w:val="007C58D1"/>
    <w:rsid w:val="007C6931"/>
    <w:rsid w:val="007D168F"/>
    <w:rsid w:val="007D77EC"/>
    <w:rsid w:val="007E5AF0"/>
    <w:rsid w:val="007F2C93"/>
    <w:rsid w:val="007F37A9"/>
    <w:rsid w:val="007F4E7B"/>
    <w:rsid w:val="007F5CCF"/>
    <w:rsid w:val="007F7989"/>
    <w:rsid w:val="0080016C"/>
    <w:rsid w:val="00805F9D"/>
    <w:rsid w:val="00812088"/>
    <w:rsid w:val="00815362"/>
    <w:rsid w:val="0081747F"/>
    <w:rsid w:val="00824604"/>
    <w:rsid w:val="008253F0"/>
    <w:rsid w:val="008325E3"/>
    <w:rsid w:val="0083593D"/>
    <w:rsid w:val="0083597B"/>
    <w:rsid w:val="00842D1D"/>
    <w:rsid w:val="008457B5"/>
    <w:rsid w:val="00846C31"/>
    <w:rsid w:val="0084787B"/>
    <w:rsid w:val="0085004D"/>
    <w:rsid w:val="00857689"/>
    <w:rsid w:val="00862435"/>
    <w:rsid w:val="0086599A"/>
    <w:rsid w:val="0087183F"/>
    <w:rsid w:val="00880562"/>
    <w:rsid w:val="00881CB5"/>
    <w:rsid w:val="008A4B99"/>
    <w:rsid w:val="008B757B"/>
    <w:rsid w:val="008C7C5E"/>
    <w:rsid w:val="008D0951"/>
    <w:rsid w:val="008D0A23"/>
    <w:rsid w:val="008D31E1"/>
    <w:rsid w:val="008D4084"/>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E4"/>
    <w:rsid w:val="0097542D"/>
    <w:rsid w:val="00993FD7"/>
    <w:rsid w:val="009948AD"/>
    <w:rsid w:val="0099673B"/>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753D0"/>
    <w:rsid w:val="00A80609"/>
    <w:rsid w:val="00A815EC"/>
    <w:rsid w:val="00A96526"/>
    <w:rsid w:val="00A96604"/>
    <w:rsid w:val="00AA4BB3"/>
    <w:rsid w:val="00AA50A5"/>
    <w:rsid w:val="00AB13DA"/>
    <w:rsid w:val="00AB19BA"/>
    <w:rsid w:val="00AB203A"/>
    <w:rsid w:val="00AB323A"/>
    <w:rsid w:val="00AB3B0E"/>
    <w:rsid w:val="00AB72D0"/>
    <w:rsid w:val="00AB7AB4"/>
    <w:rsid w:val="00AC1520"/>
    <w:rsid w:val="00AD6999"/>
    <w:rsid w:val="00AD7BCD"/>
    <w:rsid w:val="00B00B88"/>
    <w:rsid w:val="00B10986"/>
    <w:rsid w:val="00B13C0C"/>
    <w:rsid w:val="00B14B8A"/>
    <w:rsid w:val="00B16961"/>
    <w:rsid w:val="00B171FD"/>
    <w:rsid w:val="00B17B61"/>
    <w:rsid w:val="00B17DBC"/>
    <w:rsid w:val="00B22080"/>
    <w:rsid w:val="00B242CD"/>
    <w:rsid w:val="00B27F81"/>
    <w:rsid w:val="00B326AC"/>
    <w:rsid w:val="00B373E4"/>
    <w:rsid w:val="00B37FE7"/>
    <w:rsid w:val="00B4629E"/>
    <w:rsid w:val="00B5569C"/>
    <w:rsid w:val="00B66641"/>
    <w:rsid w:val="00B66F82"/>
    <w:rsid w:val="00B67B05"/>
    <w:rsid w:val="00B74125"/>
    <w:rsid w:val="00B778EE"/>
    <w:rsid w:val="00B77A75"/>
    <w:rsid w:val="00B844D1"/>
    <w:rsid w:val="00B868C8"/>
    <w:rsid w:val="00B94DE8"/>
    <w:rsid w:val="00BA213A"/>
    <w:rsid w:val="00BA42F6"/>
    <w:rsid w:val="00BA55F6"/>
    <w:rsid w:val="00BB1F9B"/>
    <w:rsid w:val="00BB735D"/>
    <w:rsid w:val="00BC5673"/>
    <w:rsid w:val="00BC792C"/>
    <w:rsid w:val="00BD5559"/>
    <w:rsid w:val="00BD56F6"/>
    <w:rsid w:val="00BD6D49"/>
    <w:rsid w:val="00BD7FE5"/>
    <w:rsid w:val="00BE624C"/>
    <w:rsid w:val="00C023E2"/>
    <w:rsid w:val="00C02E20"/>
    <w:rsid w:val="00C1419F"/>
    <w:rsid w:val="00C170C1"/>
    <w:rsid w:val="00C205B0"/>
    <w:rsid w:val="00C22403"/>
    <w:rsid w:val="00C30329"/>
    <w:rsid w:val="00C31BCF"/>
    <w:rsid w:val="00C32DE8"/>
    <w:rsid w:val="00C347F2"/>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7BAE"/>
    <w:rsid w:val="00CF4940"/>
    <w:rsid w:val="00CF4AD8"/>
    <w:rsid w:val="00CF5CC5"/>
    <w:rsid w:val="00D04E41"/>
    <w:rsid w:val="00D04E93"/>
    <w:rsid w:val="00D07096"/>
    <w:rsid w:val="00D10E62"/>
    <w:rsid w:val="00D11545"/>
    <w:rsid w:val="00D24283"/>
    <w:rsid w:val="00D26AC7"/>
    <w:rsid w:val="00D27CC5"/>
    <w:rsid w:val="00D3131F"/>
    <w:rsid w:val="00D3485B"/>
    <w:rsid w:val="00D36CF4"/>
    <w:rsid w:val="00D43C64"/>
    <w:rsid w:val="00D4541F"/>
    <w:rsid w:val="00D47231"/>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63691"/>
    <w:rsid w:val="00E70D5F"/>
    <w:rsid w:val="00E74504"/>
    <w:rsid w:val="00E7779D"/>
    <w:rsid w:val="00E83105"/>
    <w:rsid w:val="00E875DA"/>
    <w:rsid w:val="00E955FC"/>
    <w:rsid w:val="00E96E16"/>
    <w:rsid w:val="00E97EB3"/>
    <w:rsid w:val="00EA1224"/>
    <w:rsid w:val="00EB16F5"/>
    <w:rsid w:val="00EC4225"/>
    <w:rsid w:val="00EC4291"/>
    <w:rsid w:val="00EC5736"/>
    <w:rsid w:val="00EC7796"/>
    <w:rsid w:val="00EE5EA4"/>
    <w:rsid w:val="00EE7197"/>
    <w:rsid w:val="00F0583A"/>
    <w:rsid w:val="00F12F0F"/>
    <w:rsid w:val="00F146E8"/>
    <w:rsid w:val="00F152EA"/>
    <w:rsid w:val="00F16DF2"/>
    <w:rsid w:val="00F24CE7"/>
    <w:rsid w:val="00F2622A"/>
    <w:rsid w:val="00F30F05"/>
    <w:rsid w:val="00F42512"/>
    <w:rsid w:val="00F445BC"/>
    <w:rsid w:val="00F44673"/>
    <w:rsid w:val="00F46461"/>
    <w:rsid w:val="00F57A8B"/>
    <w:rsid w:val="00F67099"/>
    <w:rsid w:val="00F7138C"/>
    <w:rsid w:val="00F76864"/>
    <w:rsid w:val="00F873C7"/>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B96"/>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9580915/"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20039</TotalTime>
  <Pages>26</Pages>
  <Words>35061</Words>
  <Characters>199850</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124</cp:revision>
  <dcterms:created xsi:type="dcterms:W3CDTF">2022-02-22T17:33:00Z</dcterms:created>
  <dcterms:modified xsi:type="dcterms:W3CDTF">2023-03-20T19:29:00Z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id="U47ficEJ"/&gt;&lt;style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