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9AAA" w14:textId="57EB79D4" w:rsidR="009C4A81" w:rsidRDefault="007F5CCF" w:rsidP="00FE2325">
      <w:pPr>
        <w:pStyle w:val="Title"/>
      </w:pPr>
      <w:r>
        <w:t>Host- Microbiome Omics Integration for Cancer Analysis</w:t>
      </w:r>
      <w:r w:rsidR="00362AD8">
        <w:t xml:space="preserve"> And Diagnostics</w:t>
      </w:r>
    </w:p>
    <w:p w14:paraId="5D2C8851" w14:textId="478F2040" w:rsidR="007D168F" w:rsidRDefault="007D168F" w:rsidP="00FE2325">
      <w:pPr>
        <w:pStyle w:val="Heading1"/>
        <w:rPr>
          <w:lang w:val="en-GB"/>
        </w:rPr>
      </w:pPr>
      <w:r>
        <w:rPr>
          <w:lang w:val="en-GB"/>
        </w:rPr>
        <w:t>Abstract</w:t>
      </w:r>
    </w:p>
    <w:p w14:paraId="000541CF" w14:textId="297AE4D4" w:rsidR="00C02E20" w:rsidRPr="007D168F" w:rsidRDefault="007D168F" w:rsidP="007D168F">
      <w:pPr>
        <w:pStyle w:val="Heading1"/>
      </w:pPr>
      <w:r>
        <w:rPr>
          <w:lang w:val="en-GB"/>
        </w:rPr>
        <w:t>Introduction</w:t>
      </w:r>
    </w:p>
    <w:p w14:paraId="5D26B0B5" w14:textId="7C172114" w:rsidR="008E5FB0" w:rsidRDefault="00B77A75" w:rsidP="00901744">
      <w:r>
        <w:t xml:space="preserve">Cancer is one of the leading causes of death and is responsible for millions of deaths every year. The </w:t>
      </w:r>
      <w:proofErr w:type="spellStart"/>
      <w:r w:rsidR="008E5FB0">
        <w:t>aet</w:t>
      </w:r>
      <w:r>
        <w:t>iology</w:t>
      </w:r>
      <w:proofErr w:type="spellEnd"/>
      <w:r w:rsidR="008E5FB0">
        <w:t>, morphology and progression of different cancers depends on a complex interplay of various biological and environmental factors.</w:t>
      </w:r>
      <w:r w:rsidR="007F5CCF">
        <w:t xml:space="preserve"> </w:t>
      </w:r>
      <w:r w:rsidR="008E5FB0">
        <w:t xml:space="preserve">Recently, it is becoming increasingly easy to investigate this complex interplay thanks to the development </w:t>
      </w:r>
      <w:r w:rsidR="00D24283">
        <w:t>of more modern sequencing technologies and availability of biological data.</w:t>
      </w:r>
      <w:r w:rsidR="001719F7">
        <w:t xml:space="preserve"> This data availability has made it more accessible for researchers to use various omics data to perform various tasks related to cancer diagnostics. This relates to the analysis and integration of both host and microbial omics data.</w:t>
      </w:r>
    </w:p>
    <w:p w14:paraId="467B39DC" w14:textId="36CDC4C4" w:rsidR="00B326AC" w:rsidRPr="001719F7" w:rsidRDefault="00B326AC" w:rsidP="001719F7">
      <w:pPr>
        <w:pStyle w:val="Heading2"/>
      </w:pPr>
      <w:r w:rsidRPr="001719F7">
        <w:t xml:space="preserve">Host </w:t>
      </w:r>
      <w:r w:rsidR="00D633A6">
        <w:t>m</w:t>
      </w:r>
      <w:r w:rsidRPr="001719F7">
        <w:t>ulti-</w:t>
      </w:r>
      <w:r w:rsidR="00D633A6">
        <w:t>o</w:t>
      </w:r>
      <w:r w:rsidRPr="001719F7">
        <w:t xml:space="preserve">mics </w:t>
      </w:r>
      <w:r w:rsidR="00D633A6">
        <w:t>i</w:t>
      </w:r>
      <w:r w:rsidRPr="001719F7">
        <w:t>ntegratio</w:t>
      </w:r>
      <w:r w:rsidR="001719F7" w:rsidRPr="001719F7">
        <w:t>n</w:t>
      </w:r>
    </w:p>
    <w:p w14:paraId="2495317E" w14:textId="68688194" w:rsidR="00901744" w:rsidRDefault="001719F7" w:rsidP="00901744">
      <w:pPr>
        <w:rPr>
          <w:lang w:val="en-GB"/>
        </w:rPr>
      </w:pPr>
      <w:r>
        <w:t>T</w:t>
      </w:r>
      <w:r w:rsidR="00FC5BFF">
        <w:t xml:space="preserve">he availability of omics data from multiple layers </w:t>
      </w:r>
      <w:r w:rsidR="00D24283">
        <w:t>has spearheaded the field of multi-omics integration, where data from multiple biological omics layers are integrated for cancer diagnostics. These methods can</w:t>
      </w:r>
      <w:r w:rsidR="00901744">
        <w:t xml:space="preserve"> deliver additional insights over single omics methods for cancer diagnosis.</w:t>
      </w:r>
      <w:r w:rsidR="00D24283">
        <w:t xml:space="preserve"> However, they also deal with additional challenges </w:t>
      </w:r>
      <w:r w:rsidR="00901744">
        <w:rPr>
          <w:lang w:val="en-GB"/>
        </w:rPr>
        <w:t xml:space="preserve">owing to the heterogeneity of the data, noise, high dimensionality and sparsity </w:t>
      </w:r>
      <w:r w:rsidR="00901744">
        <w:rPr>
          <w:lang w:val="en-GB"/>
        </w:rPr>
        <w:fldChar w:fldCharType="begin"/>
      </w:r>
      <w:r w:rsidR="00FE3064">
        <w:rPr>
          <w:lang w:val="en-GB"/>
        </w:rPr>
        <w:instrText xml:space="preserve"> ADDIN ZOTERO_ITEM CSL_CITATION {"citationID":"wyZZjU2k","properties":{"formattedCitation":"\\super 1\\nosupersub{}","plainCitation":"1","noteIndex":0},"citationItems":[{"id":150,"uris":["http://zotero.org/users/local/0zqklVfX/items/RNUMUTTD"],"itemData":{"id":150,"type":"article-journal","language":"en","page":"7","source":"Zotero","title":"Multi-omics factorization illustrates the added value of deep learning approaches","author":[{"family":"Machiraju","given":"Gautam"},{"family":"Amar","given":"David"},{"family":"Ashley","given":"Euan"}]}}],"schema":"https://github.com/citation-style-language/schema/raw/master/csl-citation.json"} </w:instrText>
      </w:r>
      <w:r w:rsidR="00901744">
        <w:rPr>
          <w:lang w:val="en-GB"/>
        </w:rPr>
        <w:fldChar w:fldCharType="separate"/>
      </w:r>
      <w:r w:rsidR="00901744" w:rsidRPr="00F873C7">
        <w:rPr>
          <w:rFonts w:ascii="Calibri" w:hAnsi="Calibri" w:cs="Calibri"/>
          <w:szCs w:val="24"/>
          <w:vertAlign w:val="superscript"/>
        </w:rPr>
        <w:t>1</w:t>
      </w:r>
      <w:r w:rsidR="00901744">
        <w:rPr>
          <w:lang w:val="en-GB"/>
        </w:rPr>
        <w:fldChar w:fldCharType="end"/>
      </w:r>
      <w:r w:rsidR="00901744">
        <w:rPr>
          <w:lang w:val="en-GB"/>
        </w:rPr>
        <w:t>.</w:t>
      </w:r>
    </w:p>
    <w:p w14:paraId="30B46B10" w14:textId="232F3063" w:rsidR="00B326AC" w:rsidRDefault="00B326AC" w:rsidP="001719F7">
      <w:pPr>
        <w:pStyle w:val="Heading2"/>
        <w:rPr>
          <w:lang w:val="en-GB"/>
        </w:rPr>
      </w:pPr>
      <w:r>
        <w:rPr>
          <w:lang w:val="en-GB"/>
        </w:rPr>
        <w:t xml:space="preserve">Microbiome </w:t>
      </w:r>
      <w:r w:rsidR="00D633A6">
        <w:rPr>
          <w:lang w:val="en-GB"/>
        </w:rPr>
        <w:t>m</w:t>
      </w:r>
      <w:r>
        <w:rPr>
          <w:lang w:val="en-GB"/>
        </w:rPr>
        <w:t>ulti-</w:t>
      </w:r>
      <w:r w:rsidR="00D633A6">
        <w:rPr>
          <w:lang w:val="en-GB"/>
        </w:rPr>
        <w:t>o</w:t>
      </w:r>
      <w:r>
        <w:rPr>
          <w:lang w:val="en-GB"/>
        </w:rPr>
        <w:t xml:space="preserve">mics </w:t>
      </w:r>
      <w:r w:rsidR="00012BDF">
        <w:rPr>
          <w:lang w:val="en-GB"/>
        </w:rPr>
        <w:t>i</w:t>
      </w:r>
      <w:r>
        <w:rPr>
          <w:lang w:val="en-GB"/>
        </w:rPr>
        <w:t>ntegration</w:t>
      </w:r>
    </w:p>
    <w:p w14:paraId="0A98640D" w14:textId="7225FD66" w:rsidR="00901744" w:rsidRDefault="00D24283" w:rsidP="00901744">
      <w:pPr>
        <w:rPr>
          <w:lang w:val="en-GB"/>
        </w:rPr>
      </w:pPr>
      <w:r>
        <w:rPr>
          <w:lang w:val="en-GB"/>
        </w:rPr>
        <w:t>Next to host</w:t>
      </w:r>
      <w:r w:rsidR="00C75B30">
        <w:rPr>
          <w:lang w:val="en-GB"/>
        </w:rPr>
        <w:t xml:space="preserve"> omics </w:t>
      </w:r>
      <w:r>
        <w:rPr>
          <w:lang w:val="en-GB"/>
        </w:rPr>
        <w:t>data,</w:t>
      </w:r>
      <w:r w:rsidR="00C75B30">
        <w:rPr>
          <w:lang w:val="en-GB"/>
        </w:rPr>
        <w:t xml:space="preserve"> a promising field of research relates to the analysis of microbial omics data. </w:t>
      </w:r>
      <w:r w:rsidR="00901744">
        <w:rPr>
          <w:lang w:val="en-GB"/>
        </w:rPr>
        <w:t xml:space="preserve">There are many microorganisms which live in communities on different human tissues, called the human microbiota. Namely, an ecosystem of 10 to 100 trillion microorganisms encompassing </w:t>
      </w:r>
      <w:r w:rsidR="00EC4225">
        <w:rPr>
          <w:lang w:val="en-GB"/>
        </w:rPr>
        <w:t xml:space="preserve">500 to 1000 unique species for each individual </w:t>
      </w:r>
      <w:r w:rsidR="00EC4225">
        <w:rPr>
          <w:lang w:val="en-GB"/>
        </w:rPr>
        <w:fldChar w:fldCharType="begin"/>
      </w:r>
      <w:r w:rsidR="00FE3064">
        <w:rPr>
          <w:lang w:val="en-GB"/>
        </w:rPr>
        <w:instrText xml:space="preserve"> ADDIN ZOTERO_ITEM CSL_CITATION {"citationID":"9ZeKPVUH","properties":{"formattedCitation":"\\super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EC4225">
        <w:rPr>
          <w:lang w:val="en-GB"/>
        </w:rPr>
        <w:fldChar w:fldCharType="separate"/>
      </w:r>
      <w:r w:rsidR="00EC4225" w:rsidRPr="00EC4225">
        <w:rPr>
          <w:rFonts w:ascii="Calibri" w:hAnsi="Calibri" w:cs="Calibri"/>
          <w:szCs w:val="24"/>
          <w:vertAlign w:val="superscript"/>
        </w:rPr>
        <w:t>2</w:t>
      </w:r>
      <w:r w:rsidR="00EC4225">
        <w:rPr>
          <w:lang w:val="en-GB"/>
        </w:rPr>
        <w:fldChar w:fldCharType="end"/>
      </w:r>
      <w:r w:rsidR="00EC4225">
        <w:rPr>
          <w:lang w:val="en-GB"/>
        </w:rPr>
        <w:t>.</w:t>
      </w:r>
      <w:r w:rsidR="00901744">
        <w:rPr>
          <w:lang w:val="en-GB"/>
        </w:rPr>
        <w:t xml:space="preserve"> </w:t>
      </w:r>
      <w:r w:rsidR="00AD6999">
        <w:rPr>
          <w:lang w:val="en-GB"/>
        </w:rPr>
        <w:t>Due to the aforementioned advances in sequencing technology, it is becoming increasingly easy</w:t>
      </w:r>
      <w:r w:rsidR="00901744">
        <w:rPr>
          <w:lang w:val="en-GB"/>
        </w:rPr>
        <w:t xml:space="preserve"> to measure the identity, metabolic potential and expression of this microbiota. </w:t>
      </w:r>
      <w:r w:rsidR="00AD6999">
        <w:rPr>
          <w:lang w:val="en-GB"/>
        </w:rPr>
        <w:t>This is leading to various data sets on the human microbiota which can be exploited.</w:t>
      </w:r>
    </w:p>
    <w:p w14:paraId="3677260B" w14:textId="4D4DD17E" w:rsidR="007A2AA9" w:rsidRDefault="007A2AA9" w:rsidP="00901744">
      <w:pPr>
        <w:rPr>
          <w:lang w:val="en-GB"/>
        </w:rPr>
      </w:pPr>
      <w:r>
        <w:rPr>
          <w:lang w:val="en-GB"/>
        </w:rPr>
        <w:t xml:space="preserve">Other sources, such as the him project and </w:t>
      </w:r>
      <w:proofErr w:type="spellStart"/>
      <w:r>
        <w:rPr>
          <w:lang w:val="en-GB"/>
        </w:rPr>
        <w:t>MetaHIT</w:t>
      </w:r>
      <w:proofErr w:type="spellEnd"/>
      <w:r>
        <w:rPr>
          <w:lang w:val="en-GB"/>
        </w:rPr>
        <w:t xml:space="preserve">, are also available, although they often contain data from tissue swabs and stool samples, which are not necessarily representative of the microbiome of internal organs </w:t>
      </w:r>
      <w:r>
        <w:rPr>
          <w:lang w:val="en-GB"/>
        </w:rPr>
        <w:fldChar w:fldCharType="begin"/>
      </w:r>
      <w:r>
        <w:rPr>
          <w:lang w:val="en-GB"/>
        </w:rPr>
        <w:instrText xml:space="preserve"> ADDIN ZOTERO_ITEM CSL_CITATION {"citationID":"QU9rINyP","properties":{"formattedCitation":"\\super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EC4225">
        <w:rPr>
          <w:rFonts w:ascii="Calibri" w:hAnsi="Calibri" w:cs="Calibri"/>
          <w:szCs w:val="24"/>
          <w:vertAlign w:val="superscript"/>
        </w:rPr>
        <w:t>2</w:t>
      </w:r>
      <w:r>
        <w:rPr>
          <w:lang w:val="en-GB"/>
        </w:rPr>
        <w:fldChar w:fldCharType="end"/>
      </w:r>
      <w:r>
        <w:rPr>
          <w:lang w:val="en-GB"/>
        </w:rPr>
        <w:t xml:space="preserve">. The integrative human microbiome project </w:t>
      </w:r>
      <w:r>
        <w:rPr>
          <w:lang w:val="en-GB"/>
        </w:rPr>
        <w:fldChar w:fldCharType="begin"/>
      </w:r>
      <w:r>
        <w:rPr>
          <w:lang w:val="en-GB"/>
        </w:rPr>
        <w:instrText xml:space="preserve"> ADDIN ZOTERO_ITEM CSL_CITATION {"citationID":"uUs3tU4A","properties":{"formattedCitation":"\\super 16\\nosupersub{}","plainCitation":"16","noteIndex":0},"citationItems":[{"id":195,"uris":["http://zotero.org/users/local/0zqklVfX/items/MY2ALASF"],"itemData":{"id":195,"type":"article-journal","abstract":"The NIH Human Microbiome Project (HMP) has been carried out over ten years and two phases to provide resources, methods, and discoveries that link interactions between humans and their microbiomes to health-related outcomes. The recently completed second phase, the Integrative Human Microbiome Project, comprised studies of dynamic changes in the microbiome and host under three conditions: pregnancy and preterm birth; inflammatory bowel diseases; and stressors that affect individuals with prediabetes. The associated research begins to elucidate mechanisms of host–microbiome interactions under these conditions, provides unique data resources (at the HMP Data Coordination Center), and represents a paradigm for future multi-omic studies of the human microbiome.","container-title":"Nature","DOI":"10.1038/s41586-019-1238-8","ISSN":"1476-4687","issue":"7758","language":"en","license":"2019 The Author(s)","note":"number: 7758\npublisher: Nature Publishing Group","page":"641-648","source":"www.nature.com","title":"The Integrative Human Microbiome Project","volume":"569","author":[{"family":"Proctor","given":"Lita M."},{"family":"Creasy","given":"Heather H."},{"family":"Fettweis","given":"Jennifer M."},{"family":"Lloyd-Price","given":"Jason"},{"family":"Mahurkar","given":"Anup"},{"family":"Zhou","given":"Wenyu"},{"family":"Buck","given":"Gregory A."},{"family":"Snyder","given":"Michael P."},{"family":"Strauss","given":"Jerome F."},{"family":"Weinstock","given":"George M."},{"family":"White","given":"Owen"},{"family":"Huttenhower","given":"Curtis"},{"literal":"The Integrative HMP (iHMP) Research Network Consortium"}],"issued":{"date-parts":[["2019",5]]}}}],"schema":"https://github.com/citation-style-language/schema/raw/master/csl-citation.json"} </w:instrText>
      </w:r>
      <w:r>
        <w:rPr>
          <w:lang w:val="en-GB"/>
        </w:rPr>
        <w:fldChar w:fldCharType="separate"/>
      </w:r>
      <w:r w:rsidRPr="00563AAF">
        <w:rPr>
          <w:rFonts w:ascii="Calibri" w:hAnsi="Calibri" w:cs="Calibri"/>
          <w:szCs w:val="24"/>
          <w:vertAlign w:val="superscript"/>
        </w:rPr>
        <w:t>16</w:t>
      </w:r>
      <w:r>
        <w:rPr>
          <w:lang w:val="en-GB"/>
        </w:rPr>
        <w:fldChar w:fldCharType="end"/>
      </w:r>
      <w:r>
        <w:rPr>
          <w:lang w:val="en-GB"/>
        </w:rPr>
        <w:t xml:space="preserve"> is the second stage of the human microbiome project and contains data on both host and microbial omics layers.</w:t>
      </w:r>
    </w:p>
    <w:p w14:paraId="601DFC90" w14:textId="55BC05A4" w:rsidR="00F67099" w:rsidRDefault="00F67099" w:rsidP="00901744">
      <w:pPr>
        <w:rPr>
          <w:lang w:val="en-GB"/>
        </w:rPr>
      </w:pPr>
      <w:r>
        <w:rPr>
          <w:lang w:val="en-GB"/>
        </w:rPr>
        <w:t xml:space="preserve">Next-generation sequencing data sets, such as TCGA, contain, next to host sequencing data, microbial sequencing data. This aspect of TCGA is mostly unexplored yet can be mined to obtain data on, for example, </w:t>
      </w:r>
      <w:proofErr w:type="spellStart"/>
      <w:r>
        <w:rPr>
          <w:lang w:val="en-GB"/>
        </w:rPr>
        <w:t>viromes</w:t>
      </w:r>
      <w:proofErr w:type="spellEnd"/>
      <w:r>
        <w:rPr>
          <w:lang w:val="en-GB"/>
        </w:rPr>
        <w:t xml:space="preserve"> and bacteriomes of different cancers using different tissues, such as blood, which is most likely to contain useful microbial contamination </w:t>
      </w:r>
      <w:r>
        <w:rPr>
          <w:lang w:val="en-GB"/>
        </w:rPr>
        <w:fldChar w:fldCharType="begin"/>
      </w:r>
      <w:r>
        <w:rPr>
          <w:lang w:val="en-GB"/>
        </w:rPr>
        <w:instrText xml:space="preserve"> ADDIN ZOTERO_ITEM CSL_CITATION {"citationID":"LJNDzJGT","properties":{"formattedCitation":"\\super 5\\nosupersub{}","plainCitation":"5","noteIndex":0},"citationItems":[{"id":182,"uris":["http://zotero.org/users/local/0zqklVfX/items/3EG828JE"],"itemData":{"id":182,"type":"article-journal","abstract":"Systematic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Pr="00EC4225">
        <w:rPr>
          <w:rFonts w:ascii="Calibri" w:hAnsi="Calibri" w:cs="Calibri"/>
          <w:szCs w:val="24"/>
          <w:vertAlign w:val="superscript"/>
        </w:rPr>
        <w:t>5</w:t>
      </w:r>
      <w:r>
        <w:rPr>
          <w:lang w:val="en-GB"/>
        </w:rPr>
        <w:fldChar w:fldCharType="end"/>
      </w:r>
      <w:r>
        <w:rPr>
          <w:lang w:val="en-GB"/>
        </w:rPr>
        <w:t xml:space="preserve">. However, the microbial reads in this data set are often a result of contamination </w:t>
      </w:r>
      <w:r>
        <w:rPr>
          <w:lang w:val="en-GB"/>
        </w:rPr>
        <w:fldChar w:fldCharType="begin"/>
      </w:r>
      <w:r>
        <w:rPr>
          <w:lang w:val="en-GB"/>
        </w:rPr>
        <w:instrText xml:space="preserve"> ADDIN ZOTERO_ITEM CSL_CITATION {"citationID":"wZtdHDrb","properties":{"formattedCitation":"\\super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Pr>
          <w:lang w:val="en-GB"/>
        </w:rPr>
        <w:fldChar w:fldCharType="separate"/>
      </w:r>
      <w:r w:rsidRPr="00EC4225">
        <w:rPr>
          <w:rFonts w:ascii="Calibri" w:hAnsi="Calibri" w:cs="Calibri"/>
          <w:szCs w:val="24"/>
          <w:vertAlign w:val="superscript"/>
        </w:rPr>
        <w:t>2</w:t>
      </w:r>
      <w:r>
        <w:rPr>
          <w:lang w:val="en-GB"/>
        </w:rPr>
        <w:fldChar w:fldCharType="end"/>
      </w:r>
      <w:r>
        <w:rPr>
          <w:lang w:val="en-GB"/>
        </w:rPr>
        <w:t>.</w:t>
      </w:r>
    </w:p>
    <w:p w14:paraId="5944CE07" w14:textId="199644F2" w:rsidR="00AD6999" w:rsidRDefault="00AD6999" w:rsidP="00901744">
      <w:pPr>
        <w:rPr>
          <w:lang w:val="en-GB"/>
        </w:rPr>
      </w:pPr>
      <w:r>
        <w:rPr>
          <w:lang w:val="en-GB"/>
        </w:rPr>
        <w:t xml:space="preserve">Using this data, various aspects of the human microbiome are being investigated. </w:t>
      </w:r>
      <w:r w:rsidR="00FA06A6">
        <w:rPr>
          <w:lang w:val="en-GB"/>
        </w:rPr>
        <w:t>It has become clear that t</w:t>
      </w:r>
      <w:r>
        <w:rPr>
          <w:lang w:val="en-GB"/>
        </w:rPr>
        <w:t xml:space="preserve">he microbiome exhibits significant person-to-person variation </w:t>
      </w:r>
      <w:r>
        <w:rPr>
          <w:lang w:val="en-GB"/>
        </w:rPr>
        <w:fldChar w:fldCharType="begin"/>
      </w:r>
      <w:r w:rsidR="00FE3064">
        <w:rPr>
          <w:lang w:val="en-GB"/>
        </w:rPr>
        <w:instrText xml:space="preserve"> ADDIN ZOTERO_ITEM CSL_CITATION {"citationID":"MjPxpHdh","properties":{"formattedCitation":"\\super 3\\nosupersub{}","plainCitation":"3","noteIndex":0},"citationItems":[{"id":179,"uris":["http://zotero.org/users/local/0zqklVfX/items/JIA2XHDB"],"itemData":{"id":179,"type":"article-journal","abstract":"Knowledge of the human microbiome, which is likely a critical factor in the initiation, progression, and prognosis of multiple forms of cancer, is rapidly expanding. In this review, we focus on recent investigations to discern putative, causative microbial species and the microbiome composition and structure currently associated with procarcinogenesis and tumorigenesis at select body sites. We specifically highlight forms of cancer, gastrointestinal and nongastrointestinal, that have significant bacterial associations and well-defined experimental evidence with the aim of generating directions for future experimental and translational investigations to develop a clearer understanding of the multifaceted mechanisms by which microbiota affect cancer formation.Emerging and, for some cancers, strong experimental and translational data support the contribution of the microbiome to cancer biology and disease progression. Disrupting microbiome features and pathways contributing to cancer may provide new approaches to improving cancer outcomes in patients.","container-title":"Cancer Discovery","DOI":"10.1158/2159-8290.CD-21-0324","ISSN":"2159-8274","issue":"10","journalAbbreviation":"Cancer Discovery","page":"2378-2395","source":"Silverchair","title":"The Cancer Microbiome: Recent Highlights and Knowledge Gaps","title-short":"The Cancer Microbiome","volume":"11","author":[{"family":"Knippel","given":"Reece J."},{"family":"Drewes","given":"Julia L."},{"family":"Sears","given":"Cynthia L."}],"issued":{"date-parts":[["2021",8,16]]}}}],"schema":"https://github.com/citation-style-language/schema/raw/master/csl-citation.json"} </w:instrText>
      </w:r>
      <w:r>
        <w:rPr>
          <w:lang w:val="en-GB"/>
        </w:rPr>
        <w:fldChar w:fldCharType="separate"/>
      </w:r>
      <w:r w:rsidR="00EC4225" w:rsidRPr="00EC4225">
        <w:rPr>
          <w:rFonts w:ascii="Calibri" w:hAnsi="Calibri" w:cs="Calibri"/>
          <w:szCs w:val="24"/>
          <w:vertAlign w:val="superscript"/>
        </w:rPr>
        <w:t>3</w:t>
      </w:r>
      <w:r>
        <w:rPr>
          <w:lang w:val="en-GB"/>
        </w:rPr>
        <w:fldChar w:fldCharType="end"/>
      </w:r>
      <w:r>
        <w:rPr>
          <w:lang w:val="en-GB"/>
        </w:rPr>
        <w:t xml:space="preserve"> and can be affected by many factors such as diet, environmental exposure and lifestyle choices </w:t>
      </w:r>
      <w:r>
        <w:rPr>
          <w:lang w:val="en-GB"/>
        </w:rPr>
        <w:fldChar w:fldCharType="begin"/>
      </w:r>
      <w:r w:rsidR="00FE3064">
        <w:rPr>
          <w:lang w:val="en-GB"/>
        </w:rPr>
        <w:instrText xml:space="preserve"> ADDIN ZOTERO_ITEM CSL_CITATION {"citationID":"5PYtkPoz","properties":{"formattedCitation":"\\super 4\\nosupersub{}","plainCitation":"4","noteIndex":0},"citationItems":[{"id":175,"uris":["http://zotero.org/users/local/0zqklVfX/items/IYIUZBIJ"],"itemData":{"id":175,"type":"article-journal","abstract":"Microbiome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EC4225" w:rsidRPr="00EC4225">
        <w:rPr>
          <w:rFonts w:ascii="Calibri" w:hAnsi="Calibri" w:cs="Calibri"/>
          <w:szCs w:val="24"/>
          <w:vertAlign w:val="superscript"/>
        </w:rPr>
        <w:t>4</w:t>
      </w:r>
      <w:r>
        <w:rPr>
          <w:lang w:val="en-GB"/>
        </w:rPr>
        <w:fldChar w:fldCharType="end"/>
      </w:r>
      <w:r>
        <w:rPr>
          <w:lang w:val="en-GB"/>
        </w:rPr>
        <w:t xml:space="preserve">. Additionally, microbial communities are unique to each cancer type </w:t>
      </w:r>
      <w:r>
        <w:rPr>
          <w:lang w:val="en-GB"/>
        </w:rPr>
        <w:fldChar w:fldCharType="begin"/>
      </w:r>
      <w:r w:rsidR="004F5B71">
        <w:rPr>
          <w:lang w:val="en-GB"/>
        </w:rPr>
        <w:instrText xml:space="preserve"> ADDIN ZOTERO_ITEM CSL_CITATION {"citationID":"LMKerJuM","properties":{"formattedCitation":"\\super 5\\nosupersub{}","plainCitation":"5","noteIndex":0},"citationItems":[{"id":182,"uris":["http://zotero.org/users/local/0zqklVfX/items/3EG828JE"],"itemData":{"id":182,"type":"article-journal","abstract":"Systematic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00EC4225" w:rsidRPr="00EC4225">
        <w:rPr>
          <w:rFonts w:ascii="Calibri" w:hAnsi="Calibri" w:cs="Calibri"/>
          <w:szCs w:val="24"/>
          <w:vertAlign w:val="superscript"/>
        </w:rPr>
        <w:t>5</w:t>
      </w:r>
      <w:r>
        <w:rPr>
          <w:lang w:val="en-GB"/>
        </w:rPr>
        <w:fldChar w:fldCharType="end"/>
      </w:r>
      <w:r>
        <w:rPr>
          <w:lang w:val="en-GB"/>
        </w:rPr>
        <w:t>.</w:t>
      </w:r>
      <w:r w:rsidR="00FA06A6">
        <w:rPr>
          <w:lang w:val="en-GB"/>
        </w:rPr>
        <w:t xml:space="preserve"> This has provided a motivation for the analyses of the impact of microbial composition on disease phenotypes and progression.</w:t>
      </w:r>
    </w:p>
    <w:p w14:paraId="7EDE31F3" w14:textId="6BBA9EB0" w:rsidR="00C02E20" w:rsidRDefault="00BD56F6">
      <w:pPr>
        <w:rPr>
          <w:lang w:val="en-GB"/>
        </w:rPr>
      </w:pPr>
      <w:r>
        <w:rPr>
          <w:lang w:val="en-GB"/>
        </w:rPr>
        <w:lastRenderedPageBreak/>
        <w:t>In light of this, r</w:t>
      </w:r>
      <w:r w:rsidR="00FA06A6">
        <w:rPr>
          <w:lang w:val="en-GB"/>
        </w:rPr>
        <w:t xml:space="preserve">ecent </w:t>
      </w:r>
      <w:r w:rsidR="004B4560">
        <w:rPr>
          <w:lang w:val="en-GB"/>
        </w:rPr>
        <w:t xml:space="preserve">research </w:t>
      </w:r>
      <w:r>
        <w:rPr>
          <w:lang w:val="en-GB"/>
        </w:rPr>
        <w:t xml:space="preserve">has been </w:t>
      </w:r>
      <w:r w:rsidR="004B4560">
        <w:rPr>
          <w:lang w:val="en-GB"/>
        </w:rPr>
        <w:t xml:space="preserve">elucidating the effect that the microbiota can have on a host organism </w:t>
      </w:r>
      <w:r w:rsidR="004B4560">
        <w:rPr>
          <w:lang w:val="en-GB"/>
        </w:rPr>
        <w:fldChar w:fldCharType="begin"/>
      </w:r>
      <w:r w:rsidR="00FE3064">
        <w:rPr>
          <w:lang w:val="en-GB"/>
        </w:rPr>
        <w:instrText xml:space="preserve"> ADDIN ZOTERO_ITEM CSL_CITATION {"citationID":"dyvWwq6F","properties":{"formattedCitation":"\\super 6\\nosupersub{}","plainCitation":"6","noteIndex":0},"citationItems":[{"id":153,"uris":["http://zotero.org/users/local/0zqklVfX/items/5QK7HUH2"],"itemData":{"id":153,"type":"article-journal","abstract":"From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4B4560">
        <w:rPr>
          <w:lang w:val="en-GB"/>
        </w:rPr>
        <w:fldChar w:fldCharType="separate"/>
      </w:r>
      <w:r w:rsidR="00EC4225" w:rsidRPr="00EC4225">
        <w:rPr>
          <w:rFonts w:ascii="Calibri" w:hAnsi="Calibri" w:cs="Calibri"/>
          <w:szCs w:val="24"/>
          <w:vertAlign w:val="superscript"/>
        </w:rPr>
        <w:t>6</w:t>
      </w:r>
      <w:r w:rsidR="004B4560">
        <w:rPr>
          <w:lang w:val="en-GB"/>
        </w:rPr>
        <w:fldChar w:fldCharType="end"/>
      </w:r>
      <w:r w:rsidR="004B4560">
        <w:rPr>
          <w:lang w:val="en-GB"/>
        </w:rPr>
        <w:t>.</w:t>
      </w:r>
      <w:r w:rsidR="001F5B0B">
        <w:rPr>
          <w:lang w:val="en-GB"/>
        </w:rPr>
        <w:t xml:space="preserve"> </w:t>
      </w:r>
      <w:r w:rsidR="00E7779D">
        <w:rPr>
          <w:lang w:val="en-GB"/>
        </w:rPr>
        <w:t xml:space="preserve">It </w:t>
      </w:r>
      <w:r>
        <w:rPr>
          <w:lang w:val="en-GB"/>
        </w:rPr>
        <w:t>has become</w:t>
      </w:r>
      <w:r w:rsidR="00E7779D">
        <w:rPr>
          <w:lang w:val="en-GB"/>
        </w:rPr>
        <w:t xml:space="preserve"> clear that the</w:t>
      </w:r>
      <w:r w:rsidR="007660F8">
        <w:rPr>
          <w:lang w:val="en-GB"/>
        </w:rPr>
        <w:t xml:space="preserve"> microbiota can have a clear effect on the phenotype of humans. Many microorganisms are enriched in certain cancers or differentially expressed among healthy and unhealthy individuals </w:t>
      </w:r>
      <w:r w:rsidR="007660F8">
        <w:rPr>
          <w:lang w:val="en-GB"/>
        </w:rPr>
        <w:fldChar w:fldCharType="begin"/>
      </w:r>
      <w:r w:rsidR="00FE3064">
        <w:rPr>
          <w:lang w:val="en-GB"/>
        </w:rPr>
        <w:instrText xml:space="preserve"> ADDIN ZOTERO_ITEM CSL_CITATION {"citationID":"gaocdCW2","properties":{"formattedCitation":"\\super 7\\nosupersub{}","plainCitation":"7","noteIndex":0},"citationItems":[{"id":159,"uris":["http://zotero.org/users/local/0zqklVfX/items/6X3AE5A2"],"itemData":{"id":159,"type":"article-journal","abstract":"Recent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7660F8">
        <w:rPr>
          <w:lang w:val="en-GB"/>
        </w:rPr>
        <w:fldChar w:fldCharType="separate"/>
      </w:r>
      <w:r w:rsidR="00EC4225" w:rsidRPr="00EC4225">
        <w:rPr>
          <w:rFonts w:ascii="Calibri" w:hAnsi="Calibri" w:cs="Calibri"/>
          <w:szCs w:val="24"/>
          <w:vertAlign w:val="superscript"/>
        </w:rPr>
        <w:t>7</w:t>
      </w:r>
      <w:r w:rsidR="007660F8">
        <w:rPr>
          <w:lang w:val="en-GB"/>
        </w:rPr>
        <w:fldChar w:fldCharType="end"/>
      </w:r>
      <w:r w:rsidR="007660F8">
        <w:rPr>
          <w:lang w:val="en-GB"/>
        </w:rPr>
        <w:t>.</w:t>
      </w:r>
      <w:r w:rsidR="00E7779D">
        <w:rPr>
          <w:lang w:val="en-GB"/>
        </w:rPr>
        <w:t xml:space="preserve"> Even further</w:t>
      </w:r>
      <w:r w:rsidR="007660F8">
        <w:rPr>
          <w:lang w:val="en-GB"/>
        </w:rPr>
        <w:t>,</w:t>
      </w:r>
      <w:r w:rsidR="00E7779D">
        <w:rPr>
          <w:lang w:val="en-GB"/>
        </w:rPr>
        <w:t xml:space="preserve"> t</w:t>
      </w:r>
      <w:r w:rsidR="007660F8">
        <w:rPr>
          <w:lang w:val="en-GB"/>
        </w:rPr>
        <w:t>here are indications that composition and changes in the microbiota has a direct influence on oncogenesis</w:t>
      </w:r>
      <w:r w:rsidR="00E7779D">
        <w:rPr>
          <w:lang w:val="en-GB"/>
        </w:rPr>
        <w:t xml:space="preserve"> </w:t>
      </w:r>
      <w:r w:rsidR="007660F8">
        <w:rPr>
          <w:lang w:val="en-GB"/>
        </w:rPr>
        <w:fldChar w:fldCharType="begin"/>
      </w:r>
      <w:r w:rsidR="00FE3064">
        <w:rPr>
          <w:lang w:val="en-GB"/>
        </w:rPr>
        <w:instrText xml:space="preserve"> ADDIN ZOTERO_ITEM CSL_CITATION {"citationID":"wavxRYYp","properties":{"formattedCitation":"\\super 8\\nosupersub{}","plainCitation":"8","noteIndex":0},"citationItems":[{"id":162,"uris":["http://zotero.org/users/local/0zqklVfX/items/G6PCRBUL"],"itemData":{"id":162,"type":"article-journal","abstract":"Collectively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7660F8">
        <w:rPr>
          <w:lang w:val="en-GB"/>
        </w:rPr>
        <w:fldChar w:fldCharType="separate"/>
      </w:r>
      <w:r w:rsidR="00EC4225" w:rsidRPr="00EC4225">
        <w:rPr>
          <w:rFonts w:ascii="Calibri" w:hAnsi="Calibri" w:cs="Calibri"/>
          <w:szCs w:val="24"/>
          <w:vertAlign w:val="superscript"/>
        </w:rPr>
        <w:t>8</w:t>
      </w:r>
      <w:r w:rsidR="007660F8">
        <w:rPr>
          <w:lang w:val="en-GB"/>
        </w:rPr>
        <w:fldChar w:fldCharType="end"/>
      </w:r>
      <w:r w:rsidR="007660F8">
        <w:rPr>
          <w:lang w:val="en-GB"/>
        </w:rPr>
        <w:t>. As an example, patients with Parkinson’s have a relatively lower incidence of multiple cancers, possibly through mechanisms involving the microbiota</w:t>
      </w:r>
      <w:r w:rsidR="00627653">
        <w:rPr>
          <w:lang w:val="en-GB"/>
        </w:rPr>
        <w:t xml:space="preserve"> </w:t>
      </w:r>
      <w:r w:rsidR="007660F8">
        <w:rPr>
          <w:lang w:val="en-GB"/>
        </w:rPr>
        <w:fldChar w:fldCharType="begin"/>
      </w:r>
      <w:r w:rsidR="00FE3064">
        <w:rPr>
          <w:lang w:val="en-GB"/>
        </w:rPr>
        <w:instrText xml:space="preserve"> ADDIN ZOTERO_ITEM CSL_CITATION {"citationID":"ooNy6a6N","properties":{"formattedCitation":"\\super 9\\nosupersub{}","plainCitation":"9","noteIndex":0},"citationItems":[{"id":168,"uris":["http://zotero.org/users/local/0zqklVfX/items/SHGW2IGR"],"itemData":{"id":168,"type":"article-journal","abstract":"Recent theory on the “gut-brain axis” suggests a close relationship between the dysfunction of the gut and the disorders of the brain.","container-title":"BMC Geriatrics","DOI":"10.1186/s12877-021-02497-z","ISSN":"1471-2318","issue":"1","journalAbbreviation":"BMC Geriatrics","page":"564","source":"BioMed Central","title":"Patients with Parkinson’s disease predict a lower incidence of colorectal cancer","volume":"21","author":[{"family":"Fang","given":"Hongsheng"},{"family":"Du","given":"Yunlan"},{"family":"Pan","given":"Shuting"},{"family":"Zhong","given":"Ming"},{"family":"Tang","given":"Jiayin"}],"issued":{"date-parts":[["2021",10,18]]}}}],"schema":"https://github.com/citation-style-language/schema/raw/master/csl-citation.json"} </w:instrText>
      </w:r>
      <w:r w:rsidR="007660F8">
        <w:rPr>
          <w:lang w:val="en-GB"/>
        </w:rPr>
        <w:fldChar w:fldCharType="separate"/>
      </w:r>
      <w:r w:rsidR="00EC4225" w:rsidRPr="00EC4225">
        <w:rPr>
          <w:rFonts w:ascii="Calibri" w:hAnsi="Calibri" w:cs="Calibri"/>
          <w:szCs w:val="24"/>
          <w:vertAlign w:val="superscript"/>
        </w:rPr>
        <w:t>9</w:t>
      </w:r>
      <w:r w:rsidR="007660F8">
        <w:rPr>
          <w:lang w:val="en-GB"/>
        </w:rPr>
        <w:fldChar w:fldCharType="end"/>
      </w:r>
      <w:r w:rsidR="007660F8">
        <w:rPr>
          <w:lang w:val="en-GB"/>
        </w:rPr>
        <w:t>.</w:t>
      </w:r>
      <w:r w:rsidR="00E7779D">
        <w:rPr>
          <w:lang w:val="en-GB"/>
        </w:rPr>
        <w:t xml:space="preserve"> </w:t>
      </w:r>
      <w:r w:rsidR="00FE2325">
        <w:rPr>
          <w:lang w:val="en-GB"/>
        </w:rPr>
        <w:t>It has</w:t>
      </w:r>
      <w:r w:rsidR="00FA4AF9">
        <w:rPr>
          <w:lang w:val="en-GB"/>
        </w:rPr>
        <w:t xml:space="preserve"> also</w:t>
      </w:r>
      <w:r w:rsidR="00FE2325">
        <w:rPr>
          <w:lang w:val="en-GB"/>
        </w:rPr>
        <w:t xml:space="preserve"> been revealed that there are significantly different abundances of microbes</w:t>
      </w:r>
      <w:r w:rsidR="00FA06A6">
        <w:rPr>
          <w:lang w:val="en-GB"/>
        </w:rPr>
        <w:t>, which are also associated with different functional categories,</w:t>
      </w:r>
      <w:r w:rsidR="00FE2325">
        <w:rPr>
          <w:lang w:val="en-GB"/>
        </w:rPr>
        <w:t xml:space="preserve"> among different disease groups for cervical cancer, even when controlling for multiple other clinical variables </w:t>
      </w:r>
      <w:r w:rsidR="00FE2325">
        <w:rPr>
          <w:lang w:val="en-GB"/>
        </w:rPr>
        <w:fldChar w:fldCharType="begin"/>
      </w:r>
      <w:r w:rsidR="00FE3064">
        <w:rPr>
          <w:lang w:val="en-GB"/>
        </w:rPr>
        <w:instrText xml:space="preserve"> ADDIN ZOTERO_ITEM CSL_CITATION {"citationID":"SR55nf4p","properties":{"formattedCitation":"\\super 7\\nosupersub{}","plainCitation":"7","noteIndex":0},"citationItems":[{"id":159,"uris":["http://zotero.org/users/local/0zqklVfX/items/6X3AE5A2"],"itemData":{"id":159,"type":"article-journal","abstract":"Recent studies have reported the potential role of microbiomes in cervical disease. However, little is known about the microbiome composition and function in cervical carcinogenesis. We aimed to identify the compositional and functional alterations of cervical microbiomes in cases of cervical carcinogenesis of Korean women using shotgun metagenomic sequencing. In this study, using shotgun sequencing, we sequenced the cervical metagenomes of cervical intraneoplasia 2/3 (n = 17), cervical cancer (n = 12), and normal controls (n = 18) to identify the microbial abundances and enriched metabolic functions in cervical metagenomes. At the genus level, the microbiota of cervical cancer were differentially enriched with genera Alkaliphilus, Pseudothermotoga, and Wolbachia. Cervical intraepithelial neoplasia (CIN) 2/3 were enriched with Lactobacillus, Staphylococcus, and Candidatus Endolissoclinum. The normal group was enriched with Pseudoalteromonas and Psychrobacter. Further characterization of the functionalities of the metagenomes may suggest that six Kyoto Encyclopedia of Genes and Genomes (KEGG) orthologies (KOs) that are involved in 10 pathways are associated with an increased risk of CIN2/3 and cervical cancer. Specifically, cervical metagenomes were enriched in the course of peptidoglycan synthesis and depleted by dioxin degradation and 4-oxalocrotonate tautomerase. The Cluster of Orthologous Groups (COG) category ‘Defense mechanisms’ was depleted in cervical cancer patients. Our findings based on shotgun metagenomic sequencing suggest that cervical microbiome community compositions and their metagenomics profiles differed between cervical lesions and normal subjects. Future studies should have larger sample sizes and/or aggregate their results to have sufficient power to detect reproducible and significant associations.","container-title":"Cancers","DOI":"10.3390/cancers11030309","ISSN":"2072-6694","issue":"3","journalAbbreviation":"Cancers (Basel)","note":"PMID: 30841606\nPMCID: PMC6468638","page":"309","source":"PubMed Central","title":"Compositional and Functional Differences between Microbiota and Cervical Carcinogenesis as Identified by Shotgun Metagenomic Sequencing","volume":"11","author":[{"family":"Kwon","given":"Minji"},{"family":"Seo","given":"Sang-Soo"},{"family":"Kim","given":"Mi Kyung"},{"family":"Lee","given":"Dong Ock"},{"family":"Lim","given":"Myoung Cheol"}],"issued":{"date-parts":[["2019",3,5]]}}}],"schema":"https://github.com/citation-style-language/schema/raw/master/csl-citation.json"} </w:instrText>
      </w:r>
      <w:r w:rsidR="00FE2325">
        <w:rPr>
          <w:lang w:val="en-GB"/>
        </w:rPr>
        <w:fldChar w:fldCharType="separate"/>
      </w:r>
      <w:r w:rsidR="00EC4225" w:rsidRPr="00EC4225">
        <w:rPr>
          <w:rFonts w:ascii="Calibri" w:hAnsi="Calibri" w:cs="Calibri"/>
          <w:szCs w:val="24"/>
          <w:vertAlign w:val="superscript"/>
        </w:rPr>
        <w:t>7</w:t>
      </w:r>
      <w:r w:rsidR="00FE2325">
        <w:rPr>
          <w:lang w:val="en-GB"/>
        </w:rPr>
        <w:fldChar w:fldCharType="end"/>
      </w:r>
      <w:r w:rsidR="00FE2325">
        <w:rPr>
          <w:lang w:val="en-GB"/>
        </w:rPr>
        <w:t xml:space="preserve">. </w:t>
      </w:r>
      <w:r w:rsidR="00FA06A6">
        <w:rPr>
          <w:lang w:val="en-GB"/>
        </w:rPr>
        <w:t>As an example of a mechanism through which the microbiome can affect a patient, it has been discovered that</w:t>
      </w:r>
      <w:r w:rsidR="00E7779D">
        <w:rPr>
          <w:lang w:val="en-GB"/>
        </w:rPr>
        <w:t xml:space="preserve"> </w:t>
      </w:r>
      <w:r w:rsidR="004B4560">
        <w:rPr>
          <w:lang w:val="en-GB"/>
        </w:rPr>
        <w:t>certain bacteri</w:t>
      </w:r>
      <w:r w:rsidR="00FA06A6">
        <w:rPr>
          <w:lang w:val="en-GB"/>
        </w:rPr>
        <w:t>a can</w:t>
      </w:r>
      <w:r w:rsidR="004B4560">
        <w:rPr>
          <w:lang w:val="en-GB"/>
        </w:rPr>
        <w:t xml:space="preserve"> bind to and alter the function of immune system cells which infiltrate </w:t>
      </w:r>
      <w:proofErr w:type="spellStart"/>
      <w:r w:rsidR="004B4560">
        <w:rPr>
          <w:lang w:val="en-GB"/>
        </w:rPr>
        <w:t>tumors</w:t>
      </w:r>
      <w:proofErr w:type="spellEnd"/>
      <w:r w:rsidR="004B4560">
        <w:rPr>
          <w:lang w:val="en-GB"/>
        </w:rPr>
        <w:t xml:space="preserve">, thereby affecting carcinogenesis and resistance to chemotherapy </w:t>
      </w:r>
      <w:r w:rsidR="004B4560">
        <w:rPr>
          <w:lang w:val="en-GB"/>
        </w:rPr>
        <w:fldChar w:fldCharType="begin"/>
      </w:r>
      <w:r w:rsidR="00FE3064">
        <w:rPr>
          <w:lang w:val="en-GB"/>
        </w:rPr>
        <w:instrText xml:space="preserve"> ADDIN ZOTERO_ITEM CSL_CITATION {"citationID":"42DUHHyn","properties":{"formattedCitation":"\\super 4\\nosupersub{}","plainCitation":"4","noteIndex":0},"citationItems":[{"id":175,"uris":["http://zotero.org/users/local/0zqklVfX/items/IYIUZBIJ"],"itemData":{"id":175,"type":"article-journal","abstract":"Microbiome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sidR="004B4560">
        <w:rPr>
          <w:lang w:val="en-GB"/>
        </w:rPr>
        <w:fldChar w:fldCharType="separate"/>
      </w:r>
      <w:r w:rsidR="00EC4225" w:rsidRPr="00EC4225">
        <w:rPr>
          <w:rFonts w:ascii="Calibri" w:hAnsi="Calibri" w:cs="Calibri"/>
          <w:szCs w:val="24"/>
          <w:vertAlign w:val="superscript"/>
        </w:rPr>
        <w:t>4</w:t>
      </w:r>
      <w:r w:rsidR="004B4560">
        <w:rPr>
          <w:lang w:val="en-GB"/>
        </w:rPr>
        <w:fldChar w:fldCharType="end"/>
      </w:r>
      <w:r w:rsidR="004B4560">
        <w:rPr>
          <w:lang w:val="en-GB"/>
        </w:rPr>
        <w:t xml:space="preserve">. </w:t>
      </w:r>
      <w:r w:rsidR="00FA06A6">
        <w:rPr>
          <w:lang w:val="en-GB"/>
        </w:rPr>
        <w:t xml:space="preserve">However, </w:t>
      </w:r>
      <w:r>
        <w:rPr>
          <w:lang w:val="en-GB"/>
        </w:rPr>
        <w:t xml:space="preserve">they can also positively affect patient health, for example, by positively influencing </w:t>
      </w:r>
      <w:r w:rsidR="004B4560">
        <w:rPr>
          <w:lang w:val="en-GB"/>
        </w:rPr>
        <w:t xml:space="preserve">immune system cells to promote antitumor immunity. </w:t>
      </w:r>
    </w:p>
    <w:p w14:paraId="122DAFA7" w14:textId="692BCA13" w:rsidR="00CF4AD8" w:rsidRDefault="00012BDF" w:rsidP="007D168F">
      <w:pPr>
        <w:pStyle w:val="Heading2"/>
        <w:rPr>
          <w:lang w:val="en-GB"/>
        </w:rPr>
      </w:pPr>
      <w:r>
        <w:rPr>
          <w:lang w:val="en-GB"/>
        </w:rPr>
        <w:t>Towards a h</w:t>
      </w:r>
      <w:r w:rsidR="00D633A6">
        <w:rPr>
          <w:lang w:val="en-GB"/>
        </w:rPr>
        <w:t>olistic view</w:t>
      </w:r>
    </w:p>
    <w:p w14:paraId="18D52155" w14:textId="08D46214" w:rsidR="007660F8" w:rsidRDefault="00E03E9C" w:rsidP="00AB19BA">
      <w:pPr>
        <w:rPr>
          <w:lang w:val="en-GB"/>
        </w:rPr>
      </w:pPr>
      <w:r>
        <w:rPr>
          <w:lang w:val="en-GB"/>
        </w:rPr>
        <w:t xml:space="preserve">It is clear that both host omics and </w:t>
      </w:r>
      <w:r w:rsidR="00FE2325">
        <w:rPr>
          <w:lang w:val="en-GB"/>
        </w:rPr>
        <w:t xml:space="preserve">microbial </w:t>
      </w:r>
      <w:r>
        <w:rPr>
          <w:lang w:val="en-GB"/>
        </w:rPr>
        <w:t xml:space="preserve">omics data can be used to obtain useful biological insights into the aetiology of different cancers. </w:t>
      </w:r>
      <w:r w:rsidR="00797EBF">
        <w:rPr>
          <w:lang w:val="en-GB"/>
        </w:rPr>
        <w:t xml:space="preserve">Many studies use one or the other to understand different biological processes without considering their interplay </w:t>
      </w:r>
      <w:r w:rsidR="00797EBF">
        <w:rPr>
          <w:lang w:val="en-GB"/>
        </w:rPr>
        <w:fldChar w:fldCharType="begin"/>
      </w:r>
      <w:r w:rsidR="00FE3064">
        <w:rPr>
          <w:lang w:val="en-GB"/>
        </w:rPr>
        <w:instrText xml:space="preserve"> ADDIN ZOTERO_ITEM CSL_CITATION {"citationID":"VGuPzKR7","properties":{"formattedCitation":"\\super 6\\nosupersub{}","plainCitation":"6","noteIndex":0},"citationItems":[{"id":153,"uris":["http://zotero.org/users/local/0zqklVfX/items/5QK7HUH2"],"itemData":{"id":153,"type":"article-journal","abstract":"From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797EBF">
        <w:rPr>
          <w:lang w:val="en-GB"/>
        </w:rPr>
        <w:fldChar w:fldCharType="separate"/>
      </w:r>
      <w:r w:rsidR="00EC4225" w:rsidRPr="00EC4225">
        <w:rPr>
          <w:rFonts w:ascii="Calibri" w:hAnsi="Calibri" w:cs="Calibri"/>
          <w:szCs w:val="24"/>
          <w:vertAlign w:val="superscript"/>
        </w:rPr>
        <w:t>6</w:t>
      </w:r>
      <w:r w:rsidR="00797EBF">
        <w:rPr>
          <w:lang w:val="en-GB"/>
        </w:rPr>
        <w:fldChar w:fldCharType="end"/>
      </w:r>
      <w:r w:rsidR="00797EBF">
        <w:rPr>
          <w:lang w:val="en-GB"/>
        </w:rPr>
        <w:t>.</w:t>
      </w:r>
      <w:r w:rsidR="00B326AC">
        <w:rPr>
          <w:lang w:val="en-GB"/>
        </w:rPr>
        <w:t xml:space="preserve"> However, </w:t>
      </w:r>
      <w:r w:rsidR="00563AAF">
        <w:rPr>
          <w:lang w:val="en-GB"/>
        </w:rPr>
        <w:t xml:space="preserve">it has become clear that the host can alter the human microbiota and vice versa </w:t>
      </w:r>
      <w:r w:rsidR="00B67B05">
        <w:rPr>
          <w:lang w:val="en-GB"/>
        </w:rPr>
        <w:fldChar w:fldCharType="begin"/>
      </w:r>
      <w:r w:rsidR="004F5B71">
        <w:rPr>
          <w:lang w:val="en-GB"/>
        </w:rPr>
        <w:instrText xml:space="preserve"> ADDIN ZOTERO_ITEM CSL_CITATION {"citationID":"q6kdDWTH","properties":{"formattedCitation":"\\super 10\\nosupersub{}","plainCitation":"10","noteIndex":0},"citationItems":[{"id":198,"uris":["http://zotero.org/users/local/0zqklVfX/items/77LDB32E"],"itemData":{"id":198,"type":"article-journal","abstract":"Research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sidR="00B67B05">
        <w:rPr>
          <w:lang w:val="en-GB"/>
        </w:rPr>
        <w:fldChar w:fldCharType="separate"/>
      </w:r>
      <w:r w:rsidR="00EC4225" w:rsidRPr="00EC4225">
        <w:rPr>
          <w:rFonts w:ascii="Calibri" w:hAnsi="Calibri" w:cs="Calibri"/>
          <w:szCs w:val="24"/>
          <w:vertAlign w:val="superscript"/>
        </w:rPr>
        <w:t>10</w:t>
      </w:r>
      <w:r w:rsidR="00B67B05">
        <w:rPr>
          <w:lang w:val="en-GB"/>
        </w:rPr>
        <w:fldChar w:fldCharType="end"/>
      </w:r>
      <w:r w:rsidR="00B67B05">
        <w:rPr>
          <w:lang w:val="en-GB"/>
        </w:rPr>
        <w:t xml:space="preserve">. Thus, </w:t>
      </w:r>
      <w:r w:rsidR="00B326AC">
        <w:rPr>
          <w:lang w:val="en-GB"/>
        </w:rPr>
        <w:t>t</w:t>
      </w:r>
      <w:r w:rsidR="00AB19BA">
        <w:rPr>
          <w:lang w:val="en-GB"/>
        </w:rPr>
        <w:t>he integration of host and microbiota omics data could help to better understand the</w:t>
      </w:r>
      <w:r w:rsidR="00B326AC">
        <w:rPr>
          <w:lang w:val="en-GB"/>
        </w:rPr>
        <w:t xml:space="preserve"> </w:t>
      </w:r>
      <w:r w:rsidR="00DF5C63">
        <w:rPr>
          <w:lang w:val="en-GB"/>
        </w:rPr>
        <w:t>aetiology</w:t>
      </w:r>
      <w:r w:rsidR="00AB19BA">
        <w:rPr>
          <w:lang w:val="en-GB"/>
        </w:rPr>
        <w:t xml:space="preserve"> and physiology of different cancers</w:t>
      </w:r>
      <w:r w:rsidR="00DF5C63">
        <w:rPr>
          <w:lang w:val="en-GB"/>
        </w:rPr>
        <w:t xml:space="preserve"> and provide new insights </w:t>
      </w:r>
      <w:r w:rsidR="00AB19BA">
        <w:rPr>
          <w:lang w:val="en-GB"/>
        </w:rPr>
        <w:fldChar w:fldCharType="begin"/>
      </w:r>
      <w:r w:rsidR="00FE3064">
        <w:rPr>
          <w:lang w:val="en-GB"/>
        </w:rPr>
        <w:instrText xml:space="preserve"> ADDIN ZOTERO_ITEM CSL_CITATION {"citationID":"gsPyyLiC","properties":{"formattedCitation":"\\super 8\\nosupersub{}","plainCitation":"8","noteIndex":0},"citationItems":[{"id":162,"uris":["http://zotero.org/users/local/0zqklVfX/items/G6PCRBUL"],"itemData":{"id":162,"type":"article-journal","abstract":"Collectively known as the microbiota, the commensal bacteria and other microorganisms that colonize the epithelial surfaces of our body have been shown to produce small molecules and metabolites that have both local and systemic effects on cancer onset, progression and therapy response. To date, most studies focusing on the microbiome have used traditional preclinical mouse models and identified correlative relationships between m icrobial species and cancer phenotypes. Now, the profound influence of the microbiota on the efficacy of cancer treatments, such as im m unotherapies, has begun to be extensively characterized in humans. Paramount to the development of microbiota-based therapeutics, the next challenge in m icrobiom e research will be to identify individual microbial species that causally affect cancer phenotypes and unravel the underlying mechanisms. In this Viewpoint article, we asked four scientists working on the cancer microbiome for their opinions on the current state of the field, where the research is heading and how we can advance our understanding to rationally design microbial-based therapeutics to transform treatment strategies for patients with cancer.","container-title":"Nature reviews. Cancer","DOI":"10.1038/s41568-019-0155-3","ISSN":"1474-175X","issue":"7","journalAbbreviation":"Nat Rev Cancer","note":"PMID: 31186547\nPMCID: PMC6700740","page":"371-376","source":"PubMed Central","title":"The cancer microbiome","volume":"19","author":[{"family":"Elinav","given":"Eran"},{"family":"Garrett","given":"Wendy S."},{"family":"Trinchieri","given":"Giorgio"},{"family":"Wargo","given":"Jennifer"}],"issued":{"date-parts":[["2019",7]]}}}],"schema":"https://github.com/citation-style-language/schema/raw/master/csl-citation.json"} </w:instrText>
      </w:r>
      <w:r w:rsidR="00AB19BA">
        <w:rPr>
          <w:lang w:val="en-GB"/>
        </w:rPr>
        <w:fldChar w:fldCharType="separate"/>
      </w:r>
      <w:r w:rsidR="00EC4225" w:rsidRPr="00EC4225">
        <w:rPr>
          <w:rFonts w:ascii="Calibri" w:hAnsi="Calibri" w:cs="Calibri"/>
          <w:szCs w:val="24"/>
          <w:vertAlign w:val="superscript"/>
        </w:rPr>
        <w:t>8</w:t>
      </w:r>
      <w:r w:rsidR="00AB19BA">
        <w:rPr>
          <w:lang w:val="en-GB"/>
        </w:rPr>
        <w:fldChar w:fldCharType="end"/>
      </w:r>
      <w:r w:rsidR="00AB19BA">
        <w:rPr>
          <w:lang w:val="en-GB"/>
        </w:rPr>
        <w:t>.</w:t>
      </w:r>
      <w:r w:rsidR="00DF5C63">
        <w:rPr>
          <w:lang w:val="en-GB"/>
        </w:rPr>
        <w:t xml:space="preserve"> </w:t>
      </w:r>
      <w:r w:rsidR="00AB19BA">
        <w:rPr>
          <w:lang w:val="en-GB"/>
        </w:rPr>
        <w:t>This field</w:t>
      </w:r>
      <w:r w:rsidR="00DF5C63">
        <w:rPr>
          <w:lang w:val="en-GB"/>
        </w:rPr>
        <w:t>, where a holistic approach is taken to biological data,</w:t>
      </w:r>
      <w:r w:rsidR="00AB19BA">
        <w:rPr>
          <w:lang w:val="en-GB"/>
        </w:rPr>
        <w:t xml:space="preserve"> is known as </w:t>
      </w:r>
      <w:proofErr w:type="spellStart"/>
      <w:r w:rsidR="00AB19BA">
        <w:rPr>
          <w:lang w:val="en-GB"/>
        </w:rPr>
        <w:t>hologenomics</w:t>
      </w:r>
      <w:proofErr w:type="spellEnd"/>
      <w:r w:rsidR="00DF5C63">
        <w:rPr>
          <w:lang w:val="en-GB"/>
        </w:rPr>
        <w:t>. It</w:t>
      </w:r>
      <w:r w:rsidR="00AB19BA">
        <w:rPr>
          <w:lang w:val="en-GB"/>
        </w:rPr>
        <w:t xml:space="preserve"> is based on the assumption </w:t>
      </w:r>
      <w:r w:rsidR="00DF5C63">
        <w:rPr>
          <w:lang w:val="en-GB"/>
        </w:rPr>
        <w:t xml:space="preserve">underlying </w:t>
      </w:r>
      <w:r w:rsidR="00FE2325">
        <w:rPr>
          <w:lang w:val="en-GB"/>
        </w:rPr>
        <w:t xml:space="preserve">the </w:t>
      </w:r>
      <w:proofErr w:type="spellStart"/>
      <w:r w:rsidR="00AB19BA">
        <w:rPr>
          <w:lang w:val="en-GB"/>
        </w:rPr>
        <w:t>hologenome</w:t>
      </w:r>
      <w:proofErr w:type="spellEnd"/>
      <w:r w:rsidR="00AB19BA">
        <w:rPr>
          <w:lang w:val="en-GB"/>
        </w:rPr>
        <w:t xml:space="preserve"> theory</w:t>
      </w:r>
      <w:r w:rsidR="00DF5C63">
        <w:rPr>
          <w:lang w:val="en-GB"/>
        </w:rPr>
        <w:t>,</w:t>
      </w:r>
      <w:r w:rsidR="00AB19BA">
        <w:rPr>
          <w:lang w:val="en-GB"/>
        </w:rPr>
        <w:t xml:space="preserve"> which posits that the host and microbial genome are biologically dependent and must be </w:t>
      </w:r>
      <w:proofErr w:type="spellStart"/>
      <w:r w:rsidR="00AB19BA">
        <w:rPr>
          <w:lang w:val="en-GB"/>
        </w:rPr>
        <w:t>analyzed</w:t>
      </w:r>
      <w:proofErr w:type="spellEnd"/>
      <w:r w:rsidR="00AB19BA">
        <w:rPr>
          <w:lang w:val="en-GB"/>
        </w:rPr>
        <w:t xml:space="preserve"> together in order to investigate the phenotype of an organism </w:t>
      </w:r>
      <w:r w:rsidR="00AB19BA">
        <w:rPr>
          <w:lang w:val="en-GB"/>
        </w:rPr>
        <w:fldChar w:fldCharType="begin"/>
      </w:r>
      <w:r w:rsidR="00FE3064">
        <w:rPr>
          <w:lang w:val="en-GB"/>
        </w:rPr>
        <w:instrText xml:space="preserve"> ADDIN ZOTERO_ITEM CSL_CITATION {"citationID":"ywcPfOMA","properties":{"formattedCitation":"\\super 11\\nosupersub{}","plainCitation":"11","noteIndex":0},"citationItems":[{"id":156,"uris":["http://zotero.org/users/local/0zqklVfX/items/ESYC7TRH"],"itemData":{"id":156,"type":"article-journal","abstract":"Aquaculture will play an essential role in feeding a growing human population, but several biological challenges impede sustainable growth of production. Emerging evidence across all areas of life has revealed the importance of the intimate biological interactions between animals and their associated gut microbiota. Based on challenges in aquaculture, we leverage current knowledge in molecular biology and host microbiota interactions to propose an applied holo-omic framework that integrates molecular data including genomes, transcriptomes, epigenomes, proteomes, and metabolomes for analyzing fish and their gut microbiota as interconnected and coregulated systems. With an eye towards aquaculture, we discuss the feasibility and potential of our holo-omic framework to improve growth, health, and sustainability in any area of food production, including livestock and agriculture.","container-title":"Trends in Biotechnology","DOI":"10.1016/j.tibtech.2017.12.006","ISSN":"0167-7799","issue":"3","journalAbbreviation":"Trends in Biotechnology","language":"en","page":"252-264","source":"ScienceDirect","title":"Applied Hologenomics: Feasibility and Potential in Aquaculture","title-short":"Applied Hologenomics","volume":"36","author":[{"family":"Limborg","given":"Morten T."},{"family":"Alberdi","given":"Antton"},{"family":"Kodama","given":"Miyako"},{"family":"Roggenbuck","given":"Michael"},{"family":"Kristiansen","given":"Karsten"},{"family":"Gilbert","given":"M. Thomas P."}],"issued":{"date-parts":[["2018",3,1]]}}}],"schema":"https://github.com/citation-style-language/schema/raw/master/csl-citation.json"} </w:instrText>
      </w:r>
      <w:r w:rsidR="00AB19BA">
        <w:rPr>
          <w:lang w:val="en-GB"/>
        </w:rPr>
        <w:fldChar w:fldCharType="separate"/>
      </w:r>
      <w:r w:rsidR="00EC4225" w:rsidRPr="00EC4225">
        <w:rPr>
          <w:rFonts w:ascii="Calibri" w:hAnsi="Calibri" w:cs="Calibri"/>
          <w:szCs w:val="24"/>
          <w:vertAlign w:val="superscript"/>
        </w:rPr>
        <w:t>11</w:t>
      </w:r>
      <w:r w:rsidR="00AB19BA">
        <w:rPr>
          <w:lang w:val="en-GB"/>
        </w:rPr>
        <w:fldChar w:fldCharType="end"/>
      </w:r>
      <w:r w:rsidR="00AB19BA">
        <w:rPr>
          <w:lang w:val="en-GB"/>
        </w:rPr>
        <w:t xml:space="preserve">. </w:t>
      </w:r>
    </w:p>
    <w:p w14:paraId="0B822A73" w14:textId="5F71EACB" w:rsidR="00AB19BA" w:rsidRDefault="00B14B8A">
      <w:pPr>
        <w:rPr>
          <w:lang w:val="en-GB"/>
        </w:rPr>
      </w:pPr>
      <w:r>
        <w:rPr>
          <w:lang w:val="en-GB"/>
        </w:rPr>
        <w:t xml:space="preserve">There are a lack of specialized methods which are able to perform this kind of integrated analysis </w:t>
      </w:r>
      <w:r>
        <w:rPr>
          <w:lang w:val="en-GB"/>
        </w:rPr>
        <w:fldChar w:fldCharType="begin"/>
      </w:r>
      <w:r w:rsidR="00FE3064">
        <w:rPr>
          <w:lang w:val="en-GB"/>
        </w:rPr>
        <w:instrText xml:space="preserve"> ADDIN ZOTERO_ITEM CSL_CITATION {"citationID":"nB9iGczX","properties":{"formattedCitation":"\\super 6\\nosupersub{}","plainCitation":"6","noteIndex":0},"citationItems":[{"id":153,"uris":["http://zotero.org/users/local/0zqklVfX/items/5QK7HUH2"],"itemData":{"id":153,"type":"article-journal","abstract":"From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Pr>
          <w:lang w:val="en-GB"/>
        </w:rPr>
        <w:fldChar w:fldCharType="separate"/>
      </w:r>
      <w:r w:rsidR="00EC4225" w:rsidRPr="00EC4225">
        <w:rPr>
          <w:rFonts w:ascii="Calibri" w:hAnsi="Calibri" w:cs="Calibri"/>
          <w:szCs w:val="24"/>
          <w:vertAlign w:val="superscript"/>
        </w:rPr>
        <w:t>6</w:t>
      </w:r>
      <w:r>
        <w:rPr>
          <w:lang w:val="en-GB"/>
        </w:rPr>
        <w:fldChar w:fldCharType="end"/>
      </w:r>
      <w:r w:rsidR="000423DE">
        <w:rPr>
          <w:lang w:val="en-GB"/>
        </w:rPr>
        <w:t xml:space="preserve"> even though t</w:t>
      </w:r>
      <w:r>
        <w:rPr>
          <w:lang w:val="en-GB"/>
        </w:rPr>
        <w:t>he development of such tool</w:t>
      </w:r>
      <w:r w:rsidR="000423DE">
        <w:rPr>
          <w:lang w:val="en-GB"/>
        </w:rPr>
        <w:t>s</w:t>
      </w:r>
      <w:r>
        <w:rPr>
          <w:lang w:val="en-GB"/>
        </w:rPr>
        <w:t xml:space="preserve"> could provide </w:t>
      </w:r>
      <w:r w:rsidR="000423DE">
        <w:rPr>
          <w:lang w:val="en-GB"/>
        </w:rPr>
        <w:t xml:space="preserve">helpful </w:t>
      </w:r>
      <w:r>
        <w:rPr>
          <w:lang w:val="en-GB"/>
        </w:rPr>
        <w:t>new insights</w:t>
      </w:r>
      <w:r w:rsidR="005D410D">
        <w:rPr>
          <w:lang w:val="en-GB"/>
        </w:rPr>
        <w:t xml:space="preserve">. </w:t>
      </w:r>
      <w:r w:rsidR="000423DE">
        <w:rPr>
          <w:lang w:val="en-GB"/>
        </w:rPr>
        <w:t xml:space="preserve">Such a method </w:t>
      </w:r>
      <w:r w:rsidR="005D410D">
        <w:rPr>
          <w:lang w:val="en-GB"/>
        </w:rPr>
        <w:t>would have to deal with multiple challenges, namely the nonuniformity or linearity of this interaction</w:t>
      </w:r>
      <w:r w:rsidR="000423DE">
        <w:rPr>
          <w:lang w:val="en-GB"/>
        </w:rPr>
        <w:t>,</w:t>
      </w:r>
      <w:r w:rsidR="005D410D">
        <w:rPr>
          <w:lang w:val="en-GB"/>
        </w:rPr>
        <w:t xml:space="preserve"> the high dimensionality compared to low amount of samples and missing values</w:t>
      </w:r>
      <w:r w:rsidR="00015CA7">
        <w:rPr>
          <w:lang w:val="en-GB"/>
        </w:rPr>
        <w:t xml:space="preserve"> </w:t>
      </w:r>
      <w:r w:rsidR="00015CA7">
        <w:rPr>
          <w:lang w:val="en-GB"/>
        </w:rPr>
        <w:fldChar w:fldCharType="begin"/>
      </w:r>
      <w:r w:rsidR="00FE3064">
        <w:rPr>
          <w:lang w:val="en-GB"/>
        </w:rPr>
        <w:instrText xml:space="preserve"> ADDIN ZOTERO_ITEM CSL_CITATION {"citationID":"peDbVXrA","properties":{"formattedCitation":"\\super 6\\nosupersub{}","plainCitation":"6","noteIndex":0},"citationItems":[{"id":153,"uris":["http://zotero.org/users/local/0zqklVfX/items/5QK7HUH2"],"itemData":{"id":153,"type":"article-journal","abstract":"From ontogenesis to homeostasis, the phenotypes of complex organisms are shaped by the bidirectional interactions between the host organisms and their associated microbiota. Current technology can reveal many such interactions by combining multi-omic data from both hosts and microbes. However, exploring the full extent of these interactions requires careful consideration of study design for the efficient generation and optimal integration of data derived from (meta)genomics, (meta)transcriptomics, (meta)proteomics, and (meta)metabolomics. In this perspective, we introduce the holo-omic approach that incorporates multi-omic data from both host and microbiota domains to untangle the interplay between the two. We revisit the recent literature on biomolecular host-microbe interactions and discuss the implementation and current limitations of the holo-omic approach. We anticipate that the application of this approach can contribute to opening new research avenues and discoveries in biomedicine, biotechnology, agricultural and aquacultural sciences, nature conservation, as well as basic ecological and evolutionary research.","container-title":"iScience","DOI":"10.1016/j.isci.2020.101414","ISSN":"2589-0042","issue":"8","journalAbbreviation":"iScience","language":"en","page":"101414","source":"ScienceDirect","title":"Holo-Omics: Integrated Host-Microbiota Multi-omics for Basic and Applied Biological Research","title-short":"Holo-Omics","volume":"23","author":[{"family":"Nyholm","given":"Lasse"},{"family":"Koziol","given":"Adam"},{"family":"Marcos","given":"Sofia"},{"family":"Botnen","given":"Amanda Bolt"},{"family":"Aizpurua","given":"Ostaizka"},{"family":"Gopalakrishnan","given":"Shyam"},{"family":"Limborg","given":"Morten T."},{"family":"Gilbert","given":"M. Thomas P."},{"family":"Alberdi","given":"Antton"}],"issued":{"date-parts":[["2020",8,21]]}}}],"schema":"https://github.com/citation-style-language/schema/raw/master/csl-citation.json"} </w:instrText>
      </w:r>
      <w:r w:rsidR="00015CA7">
        <w:rPr>
          <w:lang w:val="en-GB"/>
        </w:rPr>
        <w:fldChar w:fldCharType="separate"/>
      </w:r>
      <w:r w:rsidR="00EC4225" w:rsidRPr="00EC4225">
        <w:rPr>
          <w:rFonts w:ascii="Calibri" w:hAnsi="Calibri" w:cs="Calibri"/>
          <w:szCs w:val="24"/>
          <w:vertAlign w:val="superscript"/>
        </w:rPr>
        <w:t>6</w:t>
      </w:r>
      <w:r w:rsidR="00015CA7">
        <w:rPr>
          <w:lang w:val="en-GB"/>
        </w:rPr>
        <w:fldChar w:fldCharType="end"/>
      </w:r>
      <w:r w:rsidR="005D410D">
        <w:rPr>
          <w:lang w:val="en-GB"/>
        </w:rPr>
        <w:t xml:space="preserve">. </w:t>
      </w:r>
      <w:r w:rsidR="000423DE">
        <w:rPr>
          <w:lang w:val="en-GB"/>
        </w:rPr>
        <w:t>Next to this, it would also have to deal with problems typical to multi-omics integration such as high heterogeneity of data and noise. Finally, care would have to be taken as</w:t>
      </w:r>
      <w:r w:rsidR="005D410D">
        <w:rPr>
          <w:lang w:val="en-GB"/>
        </w:rPr>
        <w:t xml:space="preserve"> microbial samples can be plagued with </w:t>
      </w:r>
      <w:r w:rsidR="00240BF5">
        <w:rPr>
          <w:lang w:val="en-GB"/>
        </w:rPr>
        <w:t xml:space="preserve">batch effects </w:t>
      </w:r>
      <w:r w:rsidR="00D04E93">
        <w:rPr>
          <w:lang w:val="en-GB"/>
        </w:rPr>
        <w:t xml:space="preserve">and contaminants </w:t>
      </w:r>
      <w:r w:rsidR="00240BF5">
        <w:rPr>
          <w:lang w:val="en-GB"/>
        </w:rPr>
        <w:fldChar w:fldCharType="begin"/>
      </w:r>
      <w:r w:rsidR="00FE3064">
        <w:rPr>
          <w:lang w:val="en-GB"/>
        </w:rPr>
        <w:instrText xml:space="preserve"> ADDIN ZOTERO_ITEM CSL_CITATION {"citationID":"AbFIdc7d","properties":{"formattedCitation":"\\super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240BF5">
        <w:rPr>
          <w:lang w:val="en-GB"/>
        </w:rPr>
        <w:fldChar w:fldCharType="separate"/>
      </w:r>
      <w:r w:rsidR="00EC4225" w:rsidRPr="00EC4225">
        <w:rPr>
          <w:rFonts w:ascii="Calibri" w:hAnsi="Calibri" w:cs="Calibri"/>
          <w:szCs w:val="24"/>
          <w:vertAlign w:val="superscript"/>
        </w:rPr>
        <w:t>2</w:t>
      </w:r>
      <w:r w:rsidR="00240BF5">
        <w:rPr>
          <w:lang w:val="en-GB"/>
        </w:rPr>
        <w:fldChar w:fldCharType="end"/>
      </w:r>
      <w:r w:rsidR="00240BF5">
        <w:rPr>
          <w:lang w:val="en-GB"/>
        </w:rPr>
        <w:t>.</w:t>
      </w:r>
    </w:p>
    <w:p w14:paraId="3DAAF9C9" w14:textId="17FE0969" w:rsidR="00E7779D" w:rsidRDefault="004615FB">
      <w:pPr>
        <w:rPr>
          <w:lang w:val="en-GB"/>
        </w:rPr>
      </w:pPr>
      <w:r>
        <w:rPr>
          <w:lang w:val="en-GB"/>
        </w:rPr>
        <w:t xml:space="preserve">The development of such methods could help </w:t>
      </w:r>
      <w:r w:rsidR="00015CA7">
        <w:rPr>
          <w:lang w:val="en-GB"/>
        </w:rPr>
        <w:t xml:space="preserve">power multiple diagnostic goals, such as predicting </w:t>
      </w:r>
      <w:r>
        <w:rPr>
          <w:lang w:val="en-GB"/>
        </w:rPr>
        <w:t>cancer response to therapy by elucidating why certain immunotherapies work or fail in patients,</w:t>
      </w:r>
      <w:r w:rsidR="009A3AB9">
        <w:rPr>
          <w:lang w:val="en-GB"/>
        </w:rPr>
        <w:t xml:space="preserve"> providing insights into how cancers develop</w:t>
      </w:r>
      <w:r w:rsidR="00015CA7">
        <w:rPr>
          <w:lang w:val="en-GB"/>
        </w:rPr>
        <w:t>,</w:t>
      </w:r>
      <w:r>
        <w:rPr>
          <w:lang w:val="en-GB"/>
        </w:rPr>
        <w:t xml:space="preserve"> </w:t>
      </w:r>
      <w:r w:rsidR="00015CA7">
        <w:rPr>
          <w:lang w:val="en-GB"/>
        </w:rPr>
        <w:t xml:space="preserve">aid in the development of microbial consortia to push out disease associated microorganisms from a gut or </w:t>
      </w:r>
      <w:proofErr w:type="spellStart"/>
      <w:r w:rsidR="00015CA7">
        <w:rPr>
          <w:lang w:val="en-GB"/>
        </w:rPr>
        <w:t>tumor</w:t>
      </w:r>
      <w:proofErr w:type="spellEnd"/>
      <w:r w:rsidR="00015CA7">
        <w:rPr>
          <w:lang w:val="en-GB"/>
        </w:rPr>
        <w:t>, identify targets for vaccines or target</w:t>
      </w:r>
      <w:r w:rsidR="00945518">
        <w:rPr>
          <w:lang w:val="en-GB"/>
        </w:rPr>
        <w:t>s for therapies which reduce the amount of certain microorganisms</w:t>
      </w:r>
      <w:r w:rsidR="00FE229D">
        <w:rPr>
          <w:lang w:val="en-GB"/>
        </w:rPr>
        <w:t>,</w:t>
      </w:r>
      <w:r w:rsidR="00945518">
        <w:rPr>
          <w:lang w:val="en-GB"/>
        </w:rPr>
        <w:t xml:space="preserve"> such as antibiotics or phage-based therapy</w:t>
      </w:r>
      <w:r w:rsidR="00001F06">
        <w:rPr>
          <w:lang w:val="en-GB"/>
        </w:rPr>
        <w:t xml:space="preserve"> </w:t>
      </w:r>
      <w:r>
        <w:rPr>
          <w:lang w:val="en-GB"/>
        </w:rPr>
        <w:fldChar w:fldCharType="begin"/>
      </w:r>
      <w:r w:rsidR="00FE3064">
        <w:rPr>
          <w:lang w:val="en-GB"/>
        </w:rPr>
        <w:instrText xml:space="preserve"> ADDIN ZOTERO_ITEM CSL_CITATION {"citationID":"IpecWXDg","properties":{"formattedCitation":"\\super 4\\nosupersub{}","plainCitation":"4","noteIndex":0},"citationItems":[{"id":175,"uris":["http://zotero.org/users/local/0zqklVfX/items/IYIUZBIJ"],"itemData":{"id":175,"type":"article-journal","abstract":"Microbiome data should be incorporated into the prevention, diagnosis, and treatment of colon cancer\n          , \n            The human microbiota is the collection of microorganisms—bacteria, archaea, viruses, fungi, protozoa, and helminths—that populate the human body. They are emerging as an important feature of human health and disease. Currently, access to the genomic data of human cells and of microbiota (microbiomes) is more affordable and accessible than ever before. A major challenge is to unravel how we integrate microbiome data into precision medicine approaches for the prevention, diagnosis, and treatment of diseases such as cancer. The gastrointestinal (GI) tract is densely populated with microorganisms. Colorectal cancer (CRC) is the third most prevalent cancer worldwide. It is increasing in individuals less than 50 years old and is associated with specific dietary factors and eating patterns that affect the gut microbiota. Therefore, CRC seems ripe for microbiome-based prevention, diagnostics, and therapeutics.","container-title":"Science","DOI":"10.1126/science.aaw2367","ISSN":"0036-8075, 1095-9203","issue":"6446","journalAbbreviation":"Science","language":"en","page":"1133-1135","source":"DOI.org (Crossref)","title":"The gut microbiota and colon cancer","volume":"364","author":[{"family":"Garrett","given":"Wendy S."}],"issued":{"date-parts":[["2019",6,21]]}}}],"schema":"https://github.com/citation-style-language/schema/raw/master/csl-citation.json"} </w:instrText>
      </w:r>
      <w:r>
        <w:rPr>
          <w:lang w:val="en-GB"/>
        </w:rPr>
        <w:fldChar w:fldCharType="separate"/>
      </w:r>
      <w:r w:rsidR="00EC4225" w:rsidRPr="00EC4225">
        <w:rPr>
          <w:rFonts w:ascii="Calibri" w:hAnsi="Calibri" w:cs="Calibri"/>
          <w:szCs w:val="24"/>
          <w:vertAlign w:val="superscript"/>
        </w:rPr>
        <w:t>4</w:t>
      </w:r>
      <w:r>
        <w:rPr>
          <w:lang w:val="en-GB"/>
        </w:rPr>
        <w:fldChar w:fldCharType="end"/>
      </w:r>
      <w:r w:rsidR="009A3AB9">
        <w:rPr>
          <w:lang w:val="en-GB"/>
        </w:rPr>
        <w:t>.</w:t>
      </w:r>
      <w:r w:rsidR="00666EBF">
        <w:rPr>
          <w:lang w:val="en-GB"/>
        </w:rPr>
        <w:t xml:space="preserve"> </w:t>
      </w:r>
      <w:r w:rsidR="00945518">
        <w:rPr>
          <w:lang w:val="en-GB"/>
        </w:rPr>
        <w:t xml:space="preserve">Finally, such methods </w:t>
      </w:r>
      <w:r w:rsidR="00015CA7">
        <w:rPr>
          <w:lang w:val="en-GB"/>
        </w:rPr>
        <w:t>could also be used to identify biomarkers and</w:t>
      </w:r>
      <w:r w:rsidR="00666EBF">
        <w:rPr>
          <w:lang w:val="en-GB"/>
        </w:rPr>
        <w:t xml:space="preserve"> predict cancer versus normal samples</w:t>
      </w:r>
      <w:r w:rsidR="00015CA7">
        <w:rPr>
          <w:lang w:val="en-GB"/>
        </w:rPr>
        <w:t>.</w:t>
      </w:r>
    </w:p>
    <w:p w14:paraId="07BBBB84" w14:textId="47A261AC" w:rsidR="006454AC" w:rsidRDefault="006454AC" w:rsidP="006454AC">
      <w:pPr>
        <w:pStyle w:val="Heading2"/>
        <w:rPr>
          <w:lang w:val="en-GB"/>
        </w:rPr>
      </w:pPr>
      <w:r>
        <w:rPr>
          <w:lang w:val="en-GB"/>
        </w:rPr>
        <w:t>Research question</w:t>
      </w:r>
    </w:p>
    <w:p w14:paraId="07B90CBA" w14:textId="77777777" w:rsidR="006454AC" w:rsidRDefault="006454AC" w:rsidP="006454AC">
      <w:pPr>
        <w:rPr>
          <w:lang w:val="en-GB"/>
        </w:rPr>
      </w:pPr>
      <w:r>
        <w:rPr>
          <w:lang w:val="en-GB"/>
        </w:rPr>
        <w:t>T</w:t>
      </w:r>
      <w:r w:rsidR="00012BDF">
        <w:rPr>
          <w:lang w:val="en-GB"/>
        </w:rPr>
        <w:t>his paper aims to integrate host and metagenomics data for cancer patients in order to investigate whether a holistic view provides additional insights for cancer diagnostics versus simply using the layers individually.</w:t>
      </w:r>
      <w:r>
        <w:rPr>
          <w:lang w:val="en-GB"/>
        </w:rPr>
        <w:t xml:space="preserve"> Specifically, it aims to investigate the question:</w:t>
      </w:r>
    </w:p>
    <w:p w14:paraId="34298E69" w14:textId="1C266338" w:rsidR="006454AC" w:rsidRPr="006454AC" w:rsidRDefault="006454AC" w:rsidP="006454AC">
      <w:pPr>
        <w:rPr>
          <w:lang w:val="en-GB"/>
        </w:rPr>
      </w:pPr>
      <w:r w:rsidRPr="006454AC">
        <w:rPr>
          <w:lang w:val="en-GB"/>
        </w:rPr>
        <w:t>Does integrating host and microbial omics data provide additional power over using the individual layers?</w:t>
      </w:r>
    </w:p>
    <w:p w14:paraId="648CCF02" w14:textId="6CC488C6" w:rsidR="00012BDF" w:rsidRDefault="006454AC" w:rsidP="006454AC">
      <w:pPr>
        <w:rPr>
          <w:lang w:val="en-GB"/>
        </w:rPr>
      </w:pPr>
      <w:r>
        <w:rPr>
          <w:lang w:val="en-GB"/>
        </w:rPr>
        <w:lastRenderedPageBreak/>
        <w:t xml:space="preserve">In this case, power refers to </w:t>
      </w:r>
      <w:r w:rsidRPr="006454AC">
        <w:rPr>
          <w:lang w:val="en-GB"/>
        </w:rPr>
        <w:t>prediction performance</w:t>
      </w:r>
      <w:r>
        <w:rPr>
          <w:lang w:val="en-GB"/>
        </w:rPr>
        <w:t>.</w:t>
      </w:r>
    </w:p>
    <w:p w14:paraId="40887AAC" w14:textId="078DF76E" w:rsidR="00CF4AD8" w:rsidRDefault="00AB323A" w:rsidP="00AB323A">
      <w:pPr>
        <w:pStyle w:val="Heading2"/>
        <w:rPr>
          <w:lang w:val="en-GB"/>
        </w:rPr>
      </w:pPr>
      <w:r>
        <w:rPr>
          <w:lang w:val="en-GB"/>
        </w:rPr>
        <w:t>Previous research</w:t>
      </w:r>
    </w:p>
    <w:p w14:paraId="0F310D63" w14:textId="40DFBA3D" w:rsidR="00D3131F" w:rsidRDefault="00537027" w:rsidP="00D3131F">
      <w:pPr>
        <w:rPr>
          <w:lang w:val="en-GB"/>
        </w:rPr>
      </w:pPr>
      <w:r>
        <w:rPr>
          <w:lang w:val="en-GB"/>
        </w:rPr>
        <w:t>The first step for the analysis of microbial omics data is choosing which type of data to use.</w:t>
      </w:r>
      <w:r w:rsidR="00A2156A">
        <w:rPr>
          <w:lang w:val="en-GB"/>
        </w:rPr>
        <w:t xml:space="preserve"> Microbial data is often obtained through either </w:t>
      </w:r>
      <w:r w:rsidR="00FE229D">
        <w:rPr>
          <w:lang w:val="en-GB"/>
        </w:rPr>
        <w:t>a</w:t>
      </w:r>
      <w:r w:rsidR="00A2156A">
        <w:rPr>
          <w:lang w:val="en-GB"/>
        </w:rPr>
        <w:t>mplicon sequencing or shotgun sequencing.</w:t>
      </w:r>
      <w:r>
        <w:rPr>
          <w:lang w:val="en-GB"/>
        </w:rPr>
        <w:t xml:space="preserve"> </w:t>
      </w:r>
      <w:r w:rsidR="00A2156A">
        <w:rPr>
          <w:lang w:val="en-GB"/>
        </w:rPr>
        <w:t>A</w:t>
      </w:r>
      <w:r w:rsidR="00D3131F">
        <w:rPr>
          <w:lang w:val="en-GB"/>
        </w:rPr>
        <w:t xml:space="preserve">mplicon sequencing amplifies specific regions of the microbial </w:t>
      </w:r>
      <w:r w:rsidR="00A2156A">
        <w:rPr>
          <w:lang w:val="en-GB"/>
        </w:rPr>
        <w:t xml:space="preserve">16S rRNA </w:t>
      </w:r>
      <w:r w:rsidR="00D3131F">
        <w:rPr>
          <w:lang w:val="en-GB"/>
        </w:rPr>
        <w:t>gene</w:t>
      </w:r>
      <w:r w:rsidR="00A2156A">
        <w:rPr>
          <w:lang w:val="en-GB"/>
        </w:rPr>
        <w:t xml:space="preserve"> while </w:t>
      </w:r>
      <w:r w:rsidR="00D3131F">
        <w:rPr>
          <w:lang w:val="en-GB"/>
        </w:rPr>
        <w:t xml:space="preserve">shotgun sequencing reads all genomic DNA in a sample. There are numerous crucial differences between these types of sequencing methods, which can affect the type of downstream analyses which can be performed. </w:t>
      </w:r>
    </w:p>
    <w:p w14:paraId="681BD7C2" w14:textId="5F57CD47" w:rsidR="00D3131F" w:rsidRDefault="00D3131F">
      <w:pPr>
        <w:rPr>
          <w:lang w:val="en-GB"/>
        </w:rPr>
      </w:pPr>
      <w:r>
        <w:rPr>
          <w:lang w:val="en-GB"/>
        </w:rPr>
        <w:t xml:space="preserve">Shotgun sequencing makes it easier to identify species, and occasionally even strains. It can identify all taxa, including fungi and viruses, instead of just bacteria and </w:t>
      </w:r>
      <w:r w:rsidR="00C6365D">
        <w:rPr>
          <w:lang w:val="en-GB"/>
        </w:rPr>
        <w:t>a</w:t>
      </w:r>
      <w:r>
        <w:rPr>
          <w:lang w:val="en-GB"/>
        </w:rPr>
        <w:t>rchaea. However, it might lead to sequencing of host DNA which can obscure results, contains more complex data and might have less reference genomes</w:t>
      </w:r>
      <w:r w:rsidR="00C6365D">
        <w:rPr>
          <w:lang w:val="en-GB"/>
        </w:rPr>
        <w:t xml:space="preserve"> available to match to a certain taxa</w:t>
      </w:r>
      <w:r>
        <w:rPr>
          <w:lang w:val="en-GB"/>
        </w:rPr>
        <w:t>. Either way, it has provided valuable insight into the phylogeny, biodiversity, metabolic abilities and functional diversity of many organisms.</w:t>
      </w:r>
    </w:p>
    <w:p w14:paraId="4338B17C" w14:textId="70A455D2" w:rsidR="00AD6999" w:rsidRDefault="00C6365D">
      <w:pPr>
        <w:rPr>
          <w:lang w:val="en-GB"/>
        </w:rPr>
      </w:pPr>
      <w:r>
        <w:rPr>
          <w:lang w:val="en-GB"/>
        </w:rPr>
        <w:t xml:space="preserve">After obtaining the data, analysis </w:t>
      </w:r>
      <w:r w:rsidR="00A2156A">
        <w:rPr>
          <w:lang w:val="en-GB"/>
        </w:rPr>
        <w:t>of microbial data is often done</w:t>
      </w:r>
      <w:r w:rsidR="00AD6999">
        <w:rPr>
          <w:lang w:val="en-GB"/>
        </w:rPr>
        <w:t xml:space="preserve"> through taxonomic analysis</w:t>
      </w:r>
      <w:r w:rsidR="00A2156A">
        <w:rPr>
          <w:lang w:val="en-GB"/>
        </w:rPr>
        <w:t>, which can use</w:t>
      </w:r>
      <w:r w:rsidR="00AD6999">
        <w:rPr>
          <w:lang w:val="en-GB"/>
        </w:rPr>
        <w:t xml:space="preserve"> 16S rRNA</w:t>
      </w:r>
      <w:r w:rsidR="00A2156A">
        <w:rPr>
          <w:lang w:val="en-GB"/>
        </w:rPr>
        <w:t xml:space="preserve"> sequencing data to </w:t>
      </w:r>
      <w:proofErr w:type="spellStart"/>
      <w:r w:rsidR="00AD6999">
        <w:rPr>
          <w:lang w:val="en-GB"/>
        </w:rPr>
        <w:t>analyze</w:t>
      </w:r>
      <w:proofErr w:type="spellEnd"/>
      <w:r w:rsidR="00A2156A">
        <w:rPr>
          <w:lang w:val="en-GB"/>
        </w:rPr>
        <w:t xml:space="preserve"> </w:t>
      </w:r>
      <w:r w:rsidR="00AD6999">
        <w:rPr>
          <w:lang w:val="en-GB"/>
        </w:rPr>
        <w:t xml:space="preserve">the types of microbes present in a tissue, or functional analysis, which studies the function of present microbes by identifying and characterizing exons or </w:t>
      </w:r>
      <w:proofErr w:type="spellStart"/>
      <w:r w:rsidR="00AD6999">
        <w:rPr>
          <w:lang w:val="en-GB"/>
        </w:rPr>
        <w:t>analyzing</w:t>
      </w:r>
      <w:proofErr w:type="spellEnd"/>
      <w:r w:rsidR="00AD6999">
        <w:rPr>
          <w:lang w:val="en-GB"/>
        </w:rPr>
        <w:t xml:space="preserve"> metabolites. Here </w:t>
      </w:r>
      <w:r w:rsidR="00A2156A">
        <w:rPr>
          <w:lang w:val="en-GB"/>
        </w:rPr>
        <w:t>a</w:t>
      </w:r>
      <w:r w:rsidR="00AD6999">
        <w:rPr>
          <w:lang w:val="en-GB"/>
        </w:rPr>
        <w:t>s well, analyses has to deal with multiple challenges, one of the biggest being batch effects, as the same tools can give different results.</w:t>
      </w:r>
      <w:r w:rsidR="00017490">
        <w:rPr>
          <w:lang w:val="en-GB"/>
        </w:rPr>
        <w:t xml:space="preserve"> </w:t>
      </w:r>
    </w:p>
    <w:p w14:paraId="10B68104" w14:textId="04DCCE5F" w:rsidR="00C6365D" w:rsidRDefault="00926148" w:rsidP="00C6365D">
      <w:pPr>
        <w:rPr>
          <w:lang w:val="en-GB"/>
        </w:rPr>
      </w:pPr>
      <w:r>
        <w:rPr>
          <w:lang w:val="en-GB"/>
        </w:rPr>
        <w:t xml:space="preserve">Taxonomical analysis </w:t>
      </w:r>
      <w:r w:rsidR="00017490">
        <w:rPr>
          <w:lang w:val="en-GB"/>
        </w:rPr>
        <w:t xml:space="preserve">often investigates whether </w:t>
      </w:r>
      <w:r>
        <w:rPr>
          <w:lang w:val="en-GB"/>
        </w:rPr>
        <w:t>certain taxa or species of bacteria are overexpressed in different cancer or healthy samples</w:t>
      </w:r>
      <w:r w:rsidR="00BB1F9B">
        <w:rPr>
          <w:lang w:val="en-GB"/>
        </w:rPr>
        <w:t xml:space="preserve"> using hypotheses tests</w:t>
      </w:r>
      <w:r>
        <w:rPr>
          <w:lang w:val="en-GB"/>
        </w:rPr>
        <w:t xml:space="preserve"> </w:t>
      </w:r>
      <w:r>
        <w:rPr>
          <w:lang w:val="en-GB"/>
        </w:rPr>
        <w:fldChar w:fldCharType="begin"/>
      </w:r>
      <w:r w:rsidR="004F5B71">
        <w:rPr>
          <w:lang w:val="en-GB"/>
        </w:rPr>
        <w:instrText xml:space="preserve"> ADDIN ZOTERO_ITEM CSL_CITATION {"citationID":"waU1Lj0V","properties":{"formattedCitation":"\\super 2,5,12,13\\nosupersub{}","plainCitation":"2,5,12,13","noteIndex":0},"citationItems":[{"id":182,"uris":["http://zotero.org/users/local/0zqklVfX/items/3EG828JE"],"itemData":{"id":182,"type":"article-journal","abstract":"Systematic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Pr>
          <w:lang w:val="en-GB"/>
        </w:rPr>
        <w:fldChar w:fldCharType="separate"/>
      </w:r>
      <w:r w:rsidR="00EC4225" w:rsidRPr="00EC4225">
        <w:rPr>
          <w:rFonts w:ascii="Calibri" w:hAnsi="Calibri" w:cs="Calibri"/>
          <w:szCs w:val="24"/>
          <w:vertAlign w:val="superscript"/>
        </w:rPr>
        <w:t>2,5,12,13</w:t>
      </w:r>
      <w:r>
        <w:rPr>
          <w:lang w:val="en-GB"/>
        </w:rPr>
        <w:fldChar w:fldCharType="end"/>
      </w:r>
      <w:r w:rsidR="00687E59">
        <w:rPr>
          <w:lang w:val="en-GB"/>
        </w:rPr>
        <w:t xml:space="preserve">, </w:t>
      </w:r>
      <w:r w:rsidR="000011A0">
        <w:rPr>
          <w:lang w:val="en-GB"/>
        </w:rPr>
        <w:t>possibly</w:t>
      </w:r>
      <w:r w:rsidR="008B757B">
        <w:rPr>
          <w:lang w:val="en-GB"/>
        </w:rPr>
        <w:t xml:space="preserve"> also by</w:t>
      </w:r>
      <w:r w:rsidR="000011A0">
        <w:rPr>
          <w:lang w:val="en-GB"/>
        </w:rPr>
        <w:t xml:space="preserve"> using predictor models</w:t>
      </w:r>
      <w:r w:rsidR="00C6365D">
        <w:rPr>
          <w:lang w:val="en-GB"/>
        </w:rPr>
        <w:t xml:space="preserve"> (e.g. regression)</w:t>
      </w:r>
      <w:r w:rsidR="000011A0">
        <w:rPr>
          <w:lang w:val="en-GB"/>
        </w:rPr>
        <w:t xml:space="preserve"> </w:t>
      </w:r>
      <w:r w:rsidR="000011A0">
        <w:rPr>
          <w:lang w:val="en-GB"/>
        </w:rPr>
        <w:fldChar w:fldCharType="begin"/>
      </w:r>
      <w:r w:rsidR="004F5B71">
        <w:rPr>
          <w:lang w:val="en-GB"/>
        </w:rPr>
        <w:instrText xml:space="preserve"> ADDIN ZOTERO_ITEM CSL_CITATION {"citationID":"LCYuXsdT","properties":{"formattedCitation":"\\super 5,13\\nosupersub{}","plainCitation":"5,13","noteIndex":0},"citationItems":[{"id":182,"uris":["http://zotero.org/users/local/0zqklVfX/items/3EG828JE"],"itemData":{"id":182,"type":"article-journal","abstract":"Systematic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sidR="000011A0">
        <w:rPr>
          <w:lang w:val="en-GB"/>
        </w:rPr>
        <w:fldChar w:fldCharType="separate"/>
      </w:r>
      <w:r w:rsidR="00EC4225" w:rsidRPr="00EC4225">
        <w:rPr>
          <w:rFonts w:ascii="Calibri" w:hAnsi="Calibri" w:cs="Calibri"/>
          <w:szCs w:val="24"/>
          <w:vertAlign w:val="superscript"/>
        </w:rPr>
        <w:t>5,13</w:t>
      </w:r>
      <w:r w:rsidR="000011A0">
        <w:rPr>
          <w:lang w:val="en-GB"/>
        </w:rPr>
        <w:fldChar w:fldCharType="end"/>
      </w:r>
      <w:r w:rsidR="00C6365D">
        <w:rPr>
          <w:lang w:val="en-GB"/>
        </w:rPr>
        <w:t xml:space="preserve">. It is also possible to </w:t>
      </w:r>
      <w:proofErr w:type="spellStart"/>
      <w:r w:rsidR="00C6365D">
        <w:rPr>
          <w:lang w:val="en-GB"/>
        </w:rPr>
        <w:t>analyze</w:t>
      </w:r>
      <w:proofErr w:type="spellEnd"/>
      <w:r w:rsidR="00C6365D">
        <w:rPr>
          <w:lang w:val="en-GB"/>
        </w:rPr>
        <w:t xml:space="preserve"> whether</w:t>
      </w:r>
      <w:r>
        <w:rPr>
          <w:lang w:val="en-GB"/>
        </w:rPr>
        <w:t xml:space="preserve"> certain subgroups of microbiota are more likely to be found together in one tissue versus another</w:t>
      </w:r>
      <w:r w:rsidR="00D82253">
        <w:rPr>
          <w:lang w:val="en-GB"/>
        </w:rPr>
        <w:t xml:space="preserve"> </w:t>
      </w:r>
      <w:r w:rsidR="00C6365D">
        <w:rPr>
          <w:lang w:val="en-GB"/>
        </w:rPr>
        <w:t>or</w:t>
      </w:r>
      <w:r w:rsidR="00D82253">
        <w:rPr>
          <w:lang w:val="en-GB"/>
        </w:rPr>
        <w:t xml:space="preserve"> </w:t>
      </w:r>
      <w:proofErr w:type="spellStart"/>
      <w:r w:rsidR="00D82253">
        <w:rPr>
          <w:lang w:val="en-GB"/>
        </w:rPr>
        <w:t>analyze</w:t>
      </w:r>
      <w:proofErr w:type="spellEnd"/>
      <w:r w:rsidR="00D82253">
        <w:rPr>
          <w:lang w:val="en-GB"/>
        </w:rPr>
        <w:t xml:space="preserve"> </w:t>
      </w:r>
      <w:r w:rsidR="00C6365D">
        <w:rPr>
          <w:lang w:val="en-GB"/>
        </w:rPr>
        <w:t>if they are associated with certain symptoms of a certain cancer</w:t>
      </w:r>
      <w:r w:rsidR="00D82253">
        <w:rPr>
          <w:lang w:val="en-GB"/>
        </w:rPr>
        <w:t xml:space="preserve"> </w:t>
      </w:r>
      <w:r w:rsidR="00D82253">
        <w:rPr>
          <w:lang w:val="en-GB"/>
        </w:rPr>
        <w:fldChar w:fldCharType="begin"/>
      </w:r>
      <w:r w:rsidR="00FE3064">
        <w:rPr>
          <w:lang w:val="en-GB"/>
        </w:rPr>
        <w:instrText xml:space="preserve"> ADDIN ZOTERO_ITEM CSL_CITATION {"citationID":"mufciugP","properties":{"formattedCitation":"\\super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D82253">
        <w:rPr>
          <w:lang w:val="en-GB"/>
        </w:rPr>
        <w:fldChar w:fldCharType="separate"/>
      </w:r>
      <w:r w:rsidR="00EC4225" w:rsidRPr="00EC4225">
        <w:rPr>
          <w:rFonts w:ascii="Calibri" w:hAnsi="Calibri" w:cs="Calibri"/>
          <w:szCs w:val="24"/>
          <w:vertAlign w:val="superscript"/>
        </w:rPr>
        <w:t>2</w:t>
      </w:r>
      <w:r w:rsidR="00D82253">
        <w:rPr>
          <w:lang w:val="en-GB"/>
        </w:rPr>
        <w:fldChar w:fldCharType="end"/>
      </w:r>
      <w:r>
        <w:rPr>
          <w:lang w:val="en-GB"/>
        </w:rPr>
        <w:t>.</w:t>
      </w:r>
      <w:r w:rsidR="00C6365D">
        <w:rPr>
          <w:lang w:val="en-GB"/>
        </w:rPr>
        <w:t xml:space="preserve"> Additionally, hypothesis tests can be used to see if microbial abundance is predictive of overall survival </w:t>
      </w:r>
      <w:r w:rsidR="00C6365D">
        <w:rPr>
          <w:lang w:val="en-GB"/>
        </w:rPr>
        <w:fldChar w:fldCharType="begin"/>
      </w:r>
      <w:r w:rsidR="004F5B71">
        <w:rPr>
          <w:lang w:val="en-GB"/>
        </w:rPr>
        <w:instrText xml:space="preserve"> ADDIN ZOTERO_ITEM CSL_CITATION {"citationID":"qoXwSdog","properties":{"formattedCitation":"\\super 2,14\\nosupersub{}","plainCitation":"2,14","noteIndex":0},"citationItems":[{"id":185,"uris":["http://zotero.org/users/local/0zqklVfX/items/6YDSX49Y"],"itemData":{"id":185,"type":"article-journal","abstract":"Studying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C6365D">
        <w:rPr>
          <w:lang w:val="en-GB"/>
        </w:rPr>
        <w:fldChar w:fldCharType="separate"/>
      </w:r>
      <w:r w:rsidR="00C6365D" w:rsidRPr="00EC4225">
        <w:rPr>
          <w:rFonts w:ascii="Calibri" w:hAnsi="Calibri" w:cs="Calibri"/>
          <w:szCs w:val="24"/>
          <w:vertAlign w:val="superscript"/>
        </w:rPr>
        <w:t>2,14</w:t>
      </w:r>
      <w:r w:rsidR="00C6365D">
        <w:rPr>
          <w:lang w:val="en-GB"/>
        </w:rPr>
        <w:fldChar w:fldCharType="end"/>
      </w:r>
      <w:r w:rsidR="00C6365D">
        <w:rPr>
          <w:lang w:val="en-GB"/>
        </w:rPr>
        <w:t xml:space="preserve"> or progression </w:t>
      </w:r>
      <w:r w:rsidR="00C6365D">
        <w:rPr>
          <w:lang w:val="en-GB"/>
        </w:rPr>
        <w:fldChar w:fldCharType="begin"/>
      </w:r>
      <w:r w:rsidR="004F5B71">
        <w:rPr>
          <w:lang w:val="en-GB"/>
        </w:rPr>
        <w:instrText xml:space="preserve"> ADDIN ZOTERO_ITEM CSL_CITATION {"citationID":"fp6a5jqS","properties":{"formattedCitation":"\\super 14\\nosupersub{}","plainCitation":"14","noteIndex":0},"citationItems":[{"id":190,"uris":["http://zotero.org/users/local/0zqklVfX/items/7HAV3FLN"],"itemData":{"id":190,"type":"article-journal","abstract":"An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C6365D">
        <w:rPr>
          <w:lang w:val="en-GB"/>
        </w:rPr>
        <w:fldChar w:fldCharType="separate"/>
      </w:r>
      <w:r w:rsidR="00C6365D" w:rsidRPr="00563AAF">
        <w:rPr>
          <w:rFonts w:ascii="Calibri" w:hAnsi="Calibri" w:cs="Calibri"/>
          <w:szCs w:val="24"/>
          <w:vertAlign w:val="superscript"/>
        </w:rPr>
        <w:t>14</w:t>
      </w:r>
      <w:r w:rsidR="00C6365D">
        <w:rPr>
          <w:lang w:val="en-GB"/>
        </w:rPr>
        <w:fldChar w:fldCharType="end"/>
      </w:r>
      <w:r w:rsidR="00C6365D">
        <w:rPr>
          <w:lang w:val="en-GB"/>
        </w:rPr>
        <w:t xml:space="preserve">. </w:t>
      </w:r>
      <w:r w:rsidR="00B171FD">
        <w:rPr>
          <w:lang w:val="en-GB"/>
        </w:rPr>
        <w:t>S</w:t>
      </w:r>
      <w:r w:rsidR="00C6365D">
        <w:rPr>
          <w:lang w:val="en-GB"/>
        </w:rPr>
        <w:t xml:space="preserve">tudies often also investigate the relation with clinical factors such as gender or age </w:t>
      </w:r>
      <w:r w:rsidR="00C6365D">
        <w:rPr>
          <w:lang w:val="en-GB"/>
        </w:rPr>
        <w:fldChar w:fldCharType="begin"/>
      </w:r>
      <w:r w:rsidR="004F5B71">
        <w:rPr>
          <w:lang w:val="en-GB"/>
        </w:rPr>
        <w:instrText xml:space="preserve"> ADDIN ZOTERO_ITEM CSL_CITATION {"citationID":"dmzO6MeG","properties":{"formattedCitation":"\\super 12\\uc0\\u8211{}14\\nosupersub{}","plainCitation":"12–14","noteIndex":0},"citationItems":[{"id":193,"uris":["http://zotero.org/users/local/0zqklVfX/items/ZCQK7EXQ"],"itemData":{"id":193,"type":"article-journal","abstract":"Lung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C."}],"issued":{"date-parts":[["2018",8,24]]}},"locator":"2"},{"id":188,"uris":["http://zotero.org/users/local/0zqklVfX/items/QB42SQ6H"],"itemData":{"id":188,"type":"article-journal","abstract":"Human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C6365D">
        <w:rPr>
          <w:lang w:val="en-GB"/>
        </w:rPr>
        <w:fldChar w:fldCharType="separate"/>
      </w:r>
      <w:r w:rsidR="00C6365D" w:rsidRPr="00563AAF">
        <w:rPr>
          <w:rFonts w:ascii="Calibri" w:hAnsi="Calibri" w:cs="Calibri"/>
          <w:szCs w:val="24"/>
          <w:vertAlign w:val="superscript"/>
        </w:rPr>
        <w:t>12–14</w:t>
      </w:r>
      <w:r w:rsidR="00C6365D">
        <w:rPr>
          <w:lang w:val="en-GB"/>
        </w:rPr>
        <w:fldChar w:fldCharType="end"/>
      </w:r>
      <w:r w:rsidR="00C6365D">
        <w:rPr>
          <w:lang w:val="en-GB"/>
        </w:rPr>
        <w:t>, which can often be confounders</w:t>
      </w:r>
      <w:r w:rsidR="00B171FD">
        <w:rPr>
          <w:lang w:val="en-GB"/>
        </w:rPr>
        <w:t>. This can be done by using predictor</w:t>
      </w:r>
      <w:r w:rsidR="00C6365D">
        <w:rPr>
          <w:lang w:val="en-GB"/>
        </w:rPr>
        <w:t xml:space="preserve"> models </w:t>
      </w:r>
      <w:r w:rsidR="00B171FD">
        <w:rPr>
          <w:lang w:val="en-GB"/>
        </w:rPr>
        <w:t xml:space="preserve">which use these clinical factors as features </w:t>
      </w:r>
      <w:r w:rsidR="00C6365D">
        <w:rPr>
          <w:lang w:val="en-GB"/>
        </w:rPr>
        <w:fldChar w:fldCharType="begin"/>
      </w:r>
      <w:r w:rsidR="00FE3064">
        <w:rPr>
          <w:lang w:val="en-GB"/>
        </w:rPr>
        <w:instrText xml:space="preserve"> ADDIN ZOTERO_ITEM CSL_CITATION {"citationID":"B9LYKvue","properties":{"formattedCitation":"\\super 13\\nosupersub{}","plainCitation":"13","noteIndex":0},"citationItems":[{"id":188,"uris":["http://zotero.org/users/local/0zqklVfX/items/QB42SQ6H"],"itemData":{"id":188,"type":"article-journal","abstract":"Human microbiome has been considered as the second genome of our body. The intratissue/intratumor microbiome analysis is a relatively new field and deserves more attention. In this study, we conducted a comprehensive analysis of microbiome signatures of head and neck squamous cell carcinoma (HNSC).","container-title":"European Archives of Oto-Rhino-Laryngology","DOI":"10.1007/s00405-022-07284-z","ISSN":"1434-4726","journalAbbreviation":"Eur Arch Otorhinolaryngol","language":"en","source":"Springer Link","title":"A comprehensive analysis of intratumor microbiome in head and neck squamous cell carcinoma","URL":"https://doi.org/10.1007/s00405-022-07284-z","author":[{"family":"Wang","given":"Yangyang"},{"family":"Wang","given":"Yi"},{"family":"Wang","given":"Jihan"}],"accessed":{"date-parts":[["2022",3,15]]},"issued":{"date-parts":[["2022",2,5]]}}}],"schema":"https://github.com/citation-style-language/schema/raw/master/csl-citation.json"} </w:instrText>
      </w:r>
      <w:r w:rsidR="00C6365D">
        <w:rPr>
          <w:lang w:val="en-GB"/>
        </w:rPr>
        <w:fldChar w:fldCharType="separate"/>
      </w:r>
      <w:r w:rsidR="00C6365D" w:rsidRPr="00563AAF">
        <w:rPr>
          <w:rFonts w:ascii="Calibri" w:hAnsi="Calibri" w:cs="Calibri"/>
          <w:szCs w:val="24"/>
          <w:vertAlign w:val="superscript"/>
        </w:rPr>
        <w:t>13</w:t>
      </w:r>
      <w:r w:rsidR="00C6365D">
        <w:rPr>
          <w:lang w:val="en-GB"/>
        </w:rPr>
        <w:fldChar w:fldCharType="end"/>
      </w:r>
      <w:r w:rsidR="00C6365D">
        <w:rPr>
          <w:lang w:val="en-GB"/>
        </w:rPr>
        <w:t>.</w:t>
      </w:r>
      <w:r w:rsidR="00B171FD">
        <w:rPr>
          <w:lang w:val="en-GB"/>
        </w:rPr>
        <w:t xml:space="preserve"> </w:t>
      </w:r>
      <w:r w:rsidR="008B757B">
        <w:rPr>
          <w:lang w:val="en-GB"/>
        </w:rPr>
        <w:t>Finally, i</w:t>
      </w:r>
      <w:r w:rsidR="00B171FD">
        <w:rPr>
          <w:lang w:val="en-GB"/>
        </w:rPr>
        <w:t xml:space="preserve">t is also possible to combine </w:t>
      </w:r>
      <w:proofErr w:type="spellStart"/>
      <w:r w:rsidR="00B171FD">
        <w:rPr>
          <w:lang w:val="en-GB"/>
        </w:rPr>
        <w:t>metaproteomics</w:t>
      </w:r>
      <w:proofErr w:type="spellEnd"/>
      <w:r w:rsidR="00B171FD">
        <w:rPr>
          <w:lang w:val="en-GB"/>
        </w:rPr>
        <w:t xml:space="preserve"> with metagenomics to investigate functional, as well as taxonomical differences of microbes between healthy and diseased samples </w:t>
      </w:r>
      <w:r w:rsidR="00B171FD">
        <w:rPr>
          <w:lang w:val="en-GB"/>
        </w:rPr>
        <w:fldChar w:fldCharType="begin"/>
      </w:r>
      <w:r w:rsidR="00FE3064">
        <w:rPr>
          <w:lang w:val="en-GB"/>
        </w:rPr>
        <w:instrText xml:space="preserve"> ADDIN ZOTERO_ITEM CSL_CITATION {"citationID":"t0yt7p65","properties":{"formattedCitation":"\\super 15\\nosupersub{}","plainCitation":"15","noteIndex":0},"citationItems":[{"id":171,"uris":["http://zotero.org/users/local/0zqklVfX/items/CM8J7TEF"],"itemData":{"id":171,"type":"article-journal","abstract":"Crohn's disease (CD) is an inflammatory bowel disease of complex etiology, although dysbiosis of the gut microbiota has been implicated in chronic immune-mediated inflammation associated with CD. Here we combined shotgun metagenomic and metaproteomic approaches to identify potential functional signatures of CD in stool samples from six twin pairs that were either healthy, or that had CD in the ileum (ICD) or colon (CCD). Integration of these omics approaches revealed several genes, proteins, and pathways that primarily differentiated ICD from healthy subjects, including depletion of many proteins in ICD. In addition, the ICD phenotype was associated with alterations in bacterial carbohydrate metabolism, bacterial-host interactions, as well as human host-secreted enzymes. This eco-systems biology approach underscores the link between the gut microbiota and functional alterations in the pathophysiology of Crohn's disease and aids in identification of novel diagnostic targets and disease specific biomarkers.","container-title":"PLoS ONE","DOI":"10.1371/journal.pone.0049138","ISSN":"1932-6203","issue":"11","journalAbbreviation":"PLoS One","note":"PMID: 23209564\nPMCID: PMC3509130","page":"e49138","source":"PubMed Central","title":"Integrated Metagenomics/Metaproteomics Reveals Human Host-Microbiota Signatures of Crohn's Disease","volume":"7","author":[{"family":"Erickson","given":"Alison R."},{"family":"Cantarel","given":"Brandi L."},{"family":"Lamendella","given":"Regina"},{"family":"Darzi","given":"Youssef"},{"family":"Mongodin","given":"Emmanuel F."},{"family":"Pan","given":"Chongle"},{"family":"Shah","given":"Manesh"},{"family":"Halfvarson","given":"Jonas"},{"family":"Tysk","given":"Curt"},{"family":"Henrissat","given":"Bernard"},{"family":"Raes","given":"Jeroen"},{"family":"Verberkmoes","given":"Nathan C."},{"family":"Fraser","given":"Claire M."},{"family":"Hettich","given":"Robert L."},{"family":"Jansson","given":"Janet K."}],"issued":{"date-parts":[["2012",11,28]]}}}],"schema":"https://github.com/citation-style-language/schema/raw/master/csl-citation.json"} </w:instrText>
      </w:r>
      <w:r w:rsidR="00B171FD">
        <w:rPr>
          <w:lang w:val="en-GB"/>
        </w:rPr>
        <w:fldChar w:fldCharType="separate"/>
      </w:r>
      <w:r w:rsidR="00B171FD" w:rsidRPr="00563AAF">
        <w:rPr>
          <w:rFonts w:ascii="Calibri" w:hAnsi="Calibri" w:cs="Calibri"/>
          <w:szCs w:val="24"/>
          <w:vertAlign w:val="superscript"/>
        </w:rPr>
        <w:t>15</w:t>
      </w:r>
      <w:r w:rsidR="00B171FD">
        <w:rPr>
          <w:lang w:val="en-GB"/>
        </w:rPr>
        <w:fldChar w:fldCharType="end"/>
      </w:r>
      <w:r w:rsidR="00B171FD">
        <w:rPr>
          <w:lang w:val="en-GB"/>
        </w:rPr>
        <w:t>.</w:t>
      </w:r>
    </w:p>
    <w:p w14:paraId="36D9D45B" w14:textId="656537A1" w:rsidR="00EC4291" w:rsidRDefault="00B171FD">
      <w:pPr>
        <w:rPr>
          <w:lang w:val="en-GB"/>
        </w:rPr>
      </w:pPr>
      <w:r>
        <w:rPr>
          <w:lang w:val="en-GB"/>
        </w:rPr>
        <w:t xml:space="preserve">In terms of </w:t>
      </w:r>
      <w:proofErr w:type="spellStart"/>
      <w:r w:rsidR="005A7353">
        <w:rPr>
          <w:lang w:val="en-GB"/>
        </w:rPr>
        <w:t>hologenomics</w:t>
      </w:r>
      <w:proofErr w:type="spellEnd"/>
      <w:r w:rsidR="005A7353">
        <w:rPr>
          <w:lang w:val="en-GB"/>
        </w:rPr>
        <w:t xml:space="preserve">, previous studies have attempted to combine microbial and host omics data </w:t>
      </w:r>
      <w:r w:rsidR="00C60C78">
        <w:rPr>
          <w:lang w:val="en-GB"/>
        </w:rPr>
        <w:t>to investigate correlations</w:t>
      </w:r>
      <w:r w:rsidR="005A7353">
        <w:rPr>
          <w:lang w:val="en-GB"/>
        </w:rPr>
        <w:t xml:space="preserve"> between</w:t>
      </w:r>
      <w:r w:rsidR="00C60C78">
        <w:rPr>
          <w:lang w:val="en-GB"/>
        </w:rPr>
        <w:t xml:space="preserve"> bacterial co-abundance groups </w:t>
      </w:r>
      <w:r w:rsidR="005A7353">
        <w:rPr>
          <w:lang w:val="en-GB"/>
        </w:rPr>
        <w:t xml:space="preserve">and </w:t>
      </w:r>
      <w:r w:rsidR="00C60C78">
        <w:rPr>
          <w:lang w:val="en-GB"/>
        </w:rPr>
        <w:t>host gene expression patterns</w:t>
      </w:r>
      <w:r w:rsidR="0044530F">
        <w:rPr>
          <w:lang w:val="en-GB"/>
        </w:rPr>
        <w:t xml:space="preserve"> </w:t>
      </w:r>
      <w:r w:rsidR="0044530F">
        <w:rPr>
          <w:lang w:val="en-GB"/>
        </w:rPr>
        <w:fldChar w:fldCharType="begin"/>
      </w:r>
      <w:r w:rsidR="004F5B71">
        <w:rPr>
          <w:lang w:val="en-GB"/>
        </w:rPr>
        <w:instrText xml:space="preserve"> ADDIN ZOTERO_ITEM CSL_CITATION {"citationID":"7aAcQzrK","properties":{"formattedCitation":"\\super 2,14\\nosupersub{}","plainCitation":"2,14","noteIndex":0},"citationItems":[{"id":185,"uris":["http://zotero.org/users/local/0zqklVfX/items/6YDSX49Y"],"itemData":{"id":185,"type":"article-journal","abstract":"Studying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M."},{"family":"Shen","given":"Xiling"}],"issued":{"date-parts":[["2021",2,10]]}}},{"id":190,"uris":["http://zotero.org/users/local/0zqklVfX/items/7HAV3FLN"],"itemData":{"id":190,"type":"article-journal","abstract":"An intra-pancreatic microbiota was recently discovered in several prominent studies. Since pancreatic adenocarcinoma (PAAD) is one of the most lethal cancers worldwide, and the intratumor microbiome was found to be a significant contributor to carcinogenesis in other cancers, this study aims to characterize the PAAD microbiome and elucidate how it may be associated with PAAD prognosis. We further explored the association between the intra-pancreatic microbiome and smoking and gender, which are both risk factors for PAAD. RNA-sequencing data from The Cancer Genome Atlas (TCGA) were used to infer microbial abundance, which was correlated to clinical variables and to cancer and immune-associated gene expression, to determine how microbes may contribute to cancer progression. We discovered that the presence of several bacteria species within PAAD tumors is linked to metastasis and immune suppression. This is the first large-scale study to report microbiome-immune correlations in human pancreatic cancer samples. Furthermore, we found that the increased prevalence and poorer prognosis of PAAD in males and smokers are linked to the presence of potentially cancer-promoting or immune-inhibiting microbes. Further study into the roles of these microbes in PAAD is imperative for understanding how a pro-tumor microenvironment may be treated to limit cancer progression.","container-title":"Cancers","DOI":"10.3390/cancers12092672","ISSN":"2072-6694","issue":"9","language":"en","license":"http://creativecommons.org/licenses/by/3.0/","note":"number: 9\npublisher: Multidisciplinary Digital Publishing Institute","page":"2672","source":"www.mdpi.com","title":"The Pancreatic Microbiome is Associated with Carcinogenesis and Worse Prognosis in Males and Smokers","volume":"12","author":[{"family":"Chakladar","given":"Jaideep"},{"family":"Kuo","given":"Selena Z."},{"family":"Castaneda","given":"Grant"},{"family":"Li","given":"Wei Tse"},{"family":"Gnanasekar","given":"Aditi"},{"family":"Yu","given":"Michael Andrew"},{"family":"Chang","given":"Eric Y."},{"family":"Wang","given":"Xiao Qi"},{"family":"Ongkeko","given":"Weg M."}],"issued":{"date-parts":[["2020",9]]}}}],"schema":"https://github.com/citation-style-language/schema/raw/master/csl-citation.json"} </w:instrText>
      </w:r>
      <w:r w:rsidR="0044530F">
        <w:rPr>
          <w:lang w:val="en-GB"/>
        </w:rPr>
        <w:fldChar w:fldCharType="separate"/>
      </w:r>
      <w:r w:rsidR="00EC4225" w:rsidRPr="00EC4225">
        <w:rPr>
          <w:rFonts w:ascii="Calibri" w:hAnsi="Calibri" w:cs="Calibri"/>
          <w:szCs w:val="24"/>
          <w:vertAlign w:val="superscript"/>
        </w:rPr>
        <w:t>2,14</w:t>
      </w:r>
      <w:r w:rsidR="0044530F">
        <w:rPr>
          <w:lang w:val="en-GB"/>
        </w:rPr>
        <w:fldChar w:fldCharType="end"/>
      </w:r>
      <w:r w:rsidR="007E5AF0">
        <w:rPr>
          <w:lang w:val="en-GB"/>
        </w:rPr>
        <w:t xml:space="preserve">, </w:t>
      </w:r>
      <w:r w:rsidR="00CD64FE">
        <w:rPr>
          <w:lang w:val="en-GB"/>
        </w:rPr>
        <w:t xml:space="preserve">host </w:t>
      </w:r>
      <w:r w:rsidR="007E5AF0">
        <w:rPr>
          <w:lang w:val="en-GB"/>
        </w:rPr>
        <w:t xml:space="preserve">mutations </w:t>
      </w:r>
      <w:r w:rsidR="007E5AF0">
        <w:rPr>
          <w:lang w:val="en-GB"/>
        </w:rPr>
        <w:fldChar w:fldCharType="begin"/>
      </w:r>
      <w:r w:rsidR="00FE3064">
        <w:rPr>
          <w:lang w:val="en-GB"/>
        </w:rPr>
        <w:instrText xml:space="preserve"> ADDIN ZOTERO_ITEM CSL_CITATION {"citationID":"mOGERpxp","properties":{"formattedCitation":"\\super 12\\nosupersub{}","plainCitation":"12","noteIndex":0},"citationItems":[{"id":193,"uris":["http://zotero.org/users/local/0zqklVfX/items/ZCQK7EXQ"],"itemData":{"id":193,"type":"article-journal","abstract":"Lung cancer is the leading cancer diagnosis worldwide and the number one cause of cancer deaths. Exposure to cigarette smoke, the primary risk factor in lung cancer, reduces epithelial barrier integrity and increases susceptibility to infections. Herein, we hypothesize that somatic mutations together with cigarette smoke generate a dysbiotic microbiota that is associated with lung carcinogenesis. Using lung tissue from 33 controls and 143 cancer cases, we conduct 16S ribosomal RNA (rRNA) bacterial gene sequencing, with RNA-sequencing data from lung cancer cases in The Cancer Genome Atlas serving as the validation cohort.","container-title":"Genome Biology","DOI":"10.1186/s13059-018-1501-6","ISSN":"1474-760X","issue":"1","journalAbbreviation":"Genome Biol","language":"en","page":"123","source":"Springer Link","title":"Interaction between the microbiome and TP53 in human lung cancer","volume":"19","author":[{"family":"Greathouse","given":"K. Leigh"},{"family":"White","given":"James R."},{"family":"Vargas","given":"Ashely J."},{"family":"Bliskovsky","given":"Valery V."},{"family":"Beck","given":"Jessica A."},{"family":"Muhlinen","given":"Natalia","non-dropping-particle":"von"},{"family":"Polley","given":"Eric C."},{"family":"Bowman","given":"Elise D."},{"family":"Khan","given":"Mohammed A."},{"family":"Robles","given":"Ana I."},{"family":"Cooks","given":"Tomer"},{"family":"Ryan","given":"Bríd M."},{"family":"Padgett","given":"Noah"},{"family":"Dzutsev","given":"Amiran H."},{"family":"Trinchieri","given":"Giorgio"},{"family":"Pineda","given":"Marbin A."},{"family":"Bilke","given":"Sven"},{"family":"Meltzer","given":"Paul S."},{"family":"Hokenstad","given":"Alexis N."},{"family":"Stickrod","given":"Tricia M."},{"family":"Walther-Antonio","given":"Marina R."},{"family":"Earl","given":"Joshua P."},{"family":"Mell","given":"Joshua C."},{"family":"Krol","given":"Jaroslaw E."},{"family":"Balashov","given":"Sergey V."},{"family":"Bhat","given":"Archana S."},{"family":"Ehrlich","given":"Garth D."},{"family":"Valm","given":"Alex"},{"family":"Deming","given":"Clayton"},{"family":"Conlan","given":"Sean"},{"family":"Oh","given":"Julia"},{"family":"Segre","given":"Julie A."},{"family":"Harris","given":"Curtis C."}],"issued":{"date-parts":[["2018",8,24]]}}}],"schema":"https://github.com/citation-style-language/schema/raw/master/csl-citation.json"} </w:instrText>
      </w:r>
      <w:r w:rsidR="007E5AF0">
        <w:rPr>
          <w:lang w:val="en-GB"/>
        </w:rPr>
        <w:fldChar w:fldCharType="separate"/>
      </w:r>
      <w:r w:rsidR="00563AAF" w:rsidRPr="00563AAF">
        <w:rPr>
          <w:rFonts w:ascii="Calibri" w:hAnsi="Calibri" w:cs="Calibri"/>
          <w:szCs w:val="24"/>
          <w:vertAlign w:val="superscript"/>
        </w:rPr>
        <w:t>12</w:t>
      </w:r>
      <w:r w:rsidR="007E5AF0">
        <w:rPr>
          <w:lang w:val="en-GB"/>
        </w:rPr>
        <w:fldChar w:fldCharType="end"/>
      </w:r>
      <w:r w:rsidR="00BB1F9B">
        <w:rPr>
          <w:lang w:val="en-GB"/>
        </w:rPr>
        <w:t xml:space="preserve"> or proteins </w:t>
      </w:r>
      <w:r w:rsidR="00BB735D">
        <w:rPr>
          <w:lang w:val="en-GB"/>
        </w:rPr>
        <w:fldChar w:fldCharType="begin"/>
      </w:r>
      <w:r w:rsidR="00FE3064">
        <w:rPr>
          <w:lang w:val="en-GB"/>
        </w:rPr>
        <w:instrText xml:space="preserve"> ADDIN ZOTERO_ITEM CSL_CITATION {"citationID":"gFQ5CVBP","properties":{"formattedCitation":"\\super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BB735D">
        <w:rPr>
          <w:lang w:val="en-GB"/>
        </w:rPr>
        <w:fldChar w:fldCharType="separate"/>
      </w:r>
      <w:r w:rsidR="00BB735D" w:rsidRPr="00BB735D">
        <w:rPr>
          <w:rFonts w:ascii="Calibri" w:hAnsi="Calibri" w:cs="Calibri"/>
          <w:szCs w:val="24"/>
          <w:vertAlign w:val="superscript"/>
        </w:rPr>
        <w:t>2</w:t>
      </w:r>
      <w:r w:rsidR="00BB735D">
        <w:rPr>
          <w:lang w:val="en-GB"/>
        </w:rPr>
        <w:fldChar w:fldCharType="end"/>
      </w:r>
      <w:r w:rsidR="00C60C78">
        <w:rPr>
          <w:lang w:val="en-GB"/>
        </w:rPr>
        <w:t>.</w:t>
      </w:r>
      <w:r w:rsidR="005A7353">
        <w:rPr>
          <w:lang w:val="en-GB"/>
        </w:rPr>
        <w:t xml:space="preserve"> </w:t>
      </w:r>
      <w:r w:rsidR="00EC4291">
        <w:rPr>
          <w:lang w:val="en-GB"/>
        </w:rPr>
        <w:t>As stated, there are not a lot of studies which directly identify the relation between host and microbial omics data</w:t>
      </w:r>
      <w:r w:rsidR="00F445BC">
        <w:rPr>
          <w:lang w:val="en-GB"/>
        </w:rPr>
        <w:t>, and certainly not how both datatypes relate to patient phenotype</w:t>
      </w:r>
      <w:r w:rsidR="00EC4291">
        <w:rPr>
          <w:lang w:val="en-GB"/>
        </w:rPr>
        <w:t>.</w:t>
      </w:r>
      <w:r w:rsidR="00D27CC5">
        <w:rPr>
          <w:lang w:val="en-GB"/>
        </w:rPr>
        <w:t xml:space="preserve"> As host multi-omics integration for cancer diagnostics is already a thriving field,</w:t>
      </w:r>
      <w:r w:rsidR="00E96E16">
        <w:rPr>
          <w:lang w:val="en-GB"/>
        </w:rPr>
        <w:t xml:space="preserve"> one promising direction could be to use host multi-omics integration methods for holo- omics data. As holo- omics data generates highly complex data sets which require feature reduction </w:t>
      </w:r>
      <w:r w:rsidR="00E96E16">
        <w:rPr>
          <w:lang w:val="en-GB"/>
        </w:rPr>
        <w:fldChar w:fldCharType="begin"/>
      </w:r>
      <w:r w:rsidR="004F5B71">
        <w:rPr>
          <w:lang w:val="en-GB"/>
        </w:rPr>
        <w:instrText xml:space="preserve"> ADDIN ZOTERO_ITEM CSL_CITATION {"citationID":"SVtd1iTp","properties":{"formattedCitation":"\\super 10\\nosupersub{}","plainCitation":"10","noteIndex":0},"citationItems":[{"id":198,"uris":["http://zotero.org/users/local/0zqklVfX/items/77LDB32E"],"itemData":{"id":198,"type":"article-journal","abstract":"Research on animal–microbiota interactions has become a central topic in biological sciences because of its relevance to basic eco-evolutionary processes and applied questions in agriculture and health. However, animal hosts and their associated microbial communities are still seldom studied in a systemic fashion. Hologenomics, the integrated study of the genetic features of a eukaryotic host alongside that of its associated microbes, is becoming a feasible — yet still underexploited — approach that overcomes this limitation. Acknowledging the biological and genetic properties of both hosts and microbes, along with the advantages and disadvantages of implemented techniques, is essential for designing optimal studies that enable some of the major questions in biology to be addressed.","container-title":"Nature Reviews Genetics","DOI":"10.1038/s41576-021-00421-0","ISSN":"1471-0064","journalAbbreviation":"Nat Rev Genet","language":"en","license":"2021 Springer Nature Limited","note":"publisher: Nature Publishing Group","page":"1-17","source":"www.nature.com","title":"Disentangling host–microbiota complexity through hologenomics","author":[{"family":"Alberdi","given":"Antton"},{"family":"Andersen","given":"Sandra B."},{"family":"Limborg","given":"Morten T."},{"family":"Dunn","given":"Robert R."},{"family":"Gilbert","given":"M. Thomas P."}],"issued":{"date-parts":[["2021",10,21]]}}}],"schema":"https://github.com/citation-style-language/schema/raw/master/csl-citation.json"} </w:instrText>
      </w:r>
      <w:r w:rsidR="00E96E16">
        <w:rPr>
          <w:lang w:val="en-GB"/>
        </w:rPr>
        <w:fldChar w:fldCharType="separate"/>
      </w:r>
      <w:r w:rsidR="00E96E16" w:rsidRPr="00E96E16">
        <w:rPr>
          <w:rFonts w:ascii="Calibri" w:hAnsi="Calibri" w:cs="Calibri"/>
          <w:szCs w:val="24"/>
          <w:vertAlign w:val="superscript"/>
        </w:rPr>
        <w:t>10</w:t>
      </w:r>
      <w:r w:rsidR="00E96E16">
        <w:rPr>
          <w:lang w:val="en-GB"/>
        </w:rPr>
        <w:fldChar w:fldCharType="end"/>
      </w:r>
      <w:r w:rsidR="00E96E16">
        <w:rPr>
          <w:lang w:val="en-GB"/>
        </w:rPr>
        <w:t>, a possible method which can be investigated is the use of autoencoders to reduce and extract features which could then possibly be used in a predictor model.</w:t>
      </w:r>
    </w:p>
    <w:p w14:paraId="02CD49CF" w14:textId="4FD88336" w:rsidR="007457DB" w:rsidRDefault="007457DB">
      <w:pPr>
        <w:rPr>
          <w:lang w:val="en-GB"/>
        </w:rPr>
      </w:pPr>
      <w:r>
        <w:rPr>
          <w:lang w:val="en-GB"/>
        </w:rPr>
        <w:t>How well does it perform without the microbial data? For different methods?</w:t>
      </w:r>
    </w:p>
    <w:p w14:paraId="15649D0A" w14:textId="0DD0ED60" w:rsidR="007C6931" w:rsidRDefault="00012BDF" w:rsidP="00FA4AF9">
      <w:pPr>
        <w:pStyle w:val="Heading1"/>
        <w:rPr>
          <w:lang w:val="en-GB"/>
        </w:rPr>
      </w:pPr>
      <w:r>
        <w:rPr>
          <w:lang w:val="en-GB"/>
        </w:rPr>
        <w:t>Materials and methods</w:t>
      </w:r>
    </w:p>
    <w:p w14:paraId="232F314D" w14:textId="7EDF738E" w:rsidR="00012BDF" w:rsidRDefault="00012BDF" w:rsidP="00012BDF">
      <w:pPr>
        <w:pStyle w:val="Heading2"/>
        <w:rPr>
          <w:lang w:val="en-GB"/>
        </w:rPr>
      </w:pPr>
      <w:r>
        <w:rPr>
          <w:lang w:val="en-GB"/>
        </w:rPr>
        <w:t>Data</w:t>
      </w:r>
    </w:p>
    <w:p w14:paraId="5D6119CD" w14:textId="27D35906" w:rsidR="00012BDF" w:rsidRDefault="003D26BF" w:rsidP="00012BDF">
      <w:pPr>
        <w:rPr>
          <w:lang w:val="en-GB"/>
        </w:rPr>
      </w:pPr>
      <w:r>
        <w:rPr>
          <w:lang w:val="en-GB"/>
        </w:rPr>
        <w:t>In order to explore the performance of cancer diagnostics in a holistic context,</w:t>
      </w:r>
      <w:r w:rsidRPr="003D26BF">
        <w:t xml:space="preserve"> </w:t>
      </w:r>
      <w:r>
        <w:rPr>
          <w:lang w:val="en-GB"/>
        </w:rPr>
        <w:t xml:space="preserve">we integrated microbial data mined from patient </w:t>
      </w:r>
      <w:proofErr w:type="spellStart"/>
      <w:r>
        <w:rPr>
          <w:lang w:val="en-GB"/>
        </w:rPr>
        <w:t>tumor</w:t>
      </w:r>
      <w:proofErr w:type="spellEnd"/>
      <w:r>
        <w:rPr>
          <w:lang w:val="en-GB"/>
        </w:rPr>
        <w:t xml:space="preserve"> samples and host omics data mined from these same samples. We then only keep samples for which there is both microbial, as well as host omics data.</w:t>
      </w:r>
    </w:p>
    <w:p w14:paraId="1C1ED926" w14:textId="3E84FC0D" w:rsidR="00012BDF" w:rsidRPr="00012BDF" w:rsidRDefault="00012BDF" w:rsidP="00012BDF">
      <w:pPr>
        <w:pStyle w:val="Heading3"/>
        <w:rPr>
          <w:lang w:val="en-GB"/>
        </w:rPr>
      </w:pPr>
      <w:r>
        <w:rPr>
          <w:lang w:val="en-GB"/>
        </w:rPr>
        <w:lastRenderedPageBreak/>
        <w:t>Microbial data</w:t>
      </w:r>
    </w:p>
    <w:p w14:paraId="1D8BB515" w14:textId="3EC2E365" w:rsidR="00F146E8" w:rsidRDefault="00056827">
      <w:pPr>
        <w:rPr>
          <w:lang w:val="en-GB"/>
        </w:rPr>
      </w:pPr>
      <w:r>
        <w:rPr>
          <w:lang w:val="en-GB"/>
        </w:rPr>
        <w:t xml:space="preserve">This study </w:t>
      </w:r>
      <w:r w:rsidR="00127277">
        <w:rPr>
          <w:lang w:val="en-GB"/>
        </w:rPr>
        <w:t>used a statistical model to isolate tissue embedded microbial species present in TCGA samples from contaminants</w:t>
      </w:r>
      <w:r>
        <w:rPr>
          <w:lang w:val="en-GB"/>
        </w:rPr>
        <w:t xml:space="preserve"> to obtain this data set, which was then subsequently validated</w:t>
      </w:r>
      <w:r w:rsidR="000A541B">
        <w:rPr>
          <w:lang w:val="en-GB"/>
        </w:rPr>
        <w:t xml:space="preserve"> using 16S rRNA amplicon sequencing on the original tissue samples</w:t>
      </w:r>
      <w:r w:rsidR="00127277">
        <w:rPr>
          <w:lang w:val="en-GB"/>
        </w:rPr>
        <w:t>.</w:t>
      </w:r>
      <w:r w:rsidR="00924E55">
        <w:rPr>
          <w:lang w:val="en-GB"/>
        </w:rPr>
        <w:t xml:space="preserve"> The resulting TCMA database</w:t>
      </w:r>
      <w:r w:rsidR="001F73E5">
        <w:rPr>
          <w:lang w:val="en-GB"/>
        </w:rPr>
        <w:t xml:space="preserve"> accessible through the TCMA portal </w:t>
      </w:r>
      <w:r w:rsidR="001F73E5">
        <w:rPr>
          <w:rStyle w:val="FootnoteReference"/>
          <w:lang w:val="en-GB"/>
        </w:rPr>
        <w:footnoteReference w:id="1"/>
      </w:r>
      <w:r w:rsidR="001F73E5">
        <w:rPr>
          <w:lang w:val="en-GB"/>
        </w:rPr>
        <w:t xml:space="preserve">, </w:t>
      </w:r>
      <w:r w:rsidR="00924E55">
        <w:rPr>
          <w:lang w:val="en-GB"/>
        </w:rPr>
        <w:t xml:space="preserve">contains tissue resident microbial </w:t>
      </w:r>
      <w:r w:rsidR="002232B3">
        <w:rPr>
          <w:lang w:val="en-GB"/>
        </w:rPr>
        <w:t xml:space="preserve">relative </w:t>
      </w:r>
      <w:r w:rsidR="00924E55">
        <w:rPr>
          <w:lang w:val="en-GB"/>
        </w:rPr>
        <w:t>abundance data for 3689 unique samples and 1772 patients across 21 anatomic sites and 5 TCGA projects (HNSC, ESCA, STAD, COAD and READ).</w:t>
      </w:r>
    </w:p>
    <w:p w14:paraId="2BAA1839" w14:textId="007DE87E" w:rsidR="00993FD7" w:rsidRDefault="00993FD7">
      <w:pPr>
        <w:rPr>
          <w:lang w:val="en-GB"/>
        </w:rPr>
      </w:pPr>
      <w:r>
        <w:rPr>
          <w:lang w:val="en-GB"/>
        </w:rPr>
        <w:t>The highest specification that this data set reaches is the genus level. As the phylum level and everything above genus is less specific than the genus level, we decided to continue with only the genus taxonomical abundance data</w:t>
      </w:r>
      <w:r w:rsidR="00C44700">
        <w:rPr>
          <w:lang w:val="en-GB"/>
        </w:rPr>
        <w:t>, which contains 221 taxa</w:t>
      </w:r>
      <w:r>
        <w:rPr>
          <w:lang w:val="en-GB"/>
        </w:rPr>
        <w:t>.</w:t>
      </w:r>
      <w:r w:rsidR="009F76FD">
        <w:rPr>
          <w:lang w:val="en-GB"/>
        </w:rPr>
        <w:t xml:space="preserve"> The following is a visual exploration of the abundance data.</w:t>
      </w:r>
      <w:r w:rsidR="00012BDF">
        <w:rPr>
          <w:lang w:val="en-GB"/>
        </w:rPr>
        <w:t xml:space="preserve"> There are 119 nonzero features among the overlapped samples, which can be seen below.</w:t>
      </w:r>
    </w:p>
    <w:p w14:paraId="45481486" w14:textId="093B6233" w:rsidR="00012BDF" w:rsidRDefault="00012BDF">
      <w:pPr>
        <w:rPr>
          <w:lang w:val="en-GB"/>
        </w:rPr>
      </w:pPr>
      <w:r>
        <w:rPr>
          <w:noProof/>
        </w:rPr>
        <w:drawing>
          <wp:inline distT="0" distB="0" distL="0" distR="0" wp14:anchorId="2624A862" wp14:editId="37DEC6D5">
            <wp:extent cx="573151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405"/>
                    </a:xfrm>
                    <a:prstGeom prst="rect">
                      <a:avLst/>
                    </a:prstGeom>
                    <a:noFill/>
                    <a:ln>
                      <a:noFill/>
                    </a:ln>
                  </pic:spPr>
                </pic:pic>
              </a:graphicData>
            </a:graphic>
          </wp:inline>
        </w:drawing>
      </w:r>
    </w:p>
    <w:p w14:paraId="5A7B8D40" w14:textId="545EF120" w:rsidR="00012BDF" w:rsidRPr="00012BDF" w:rsidRDefault="00012BDF" w:rsidP="00012BDF">
      <w:pPr>
        <w:pStyle w:val="Heading3"/>
      </w:pPr>
      <w:r w:rsidRPr="00012BDF">
        <w:t xml:space="preserve">Host </w:t>
      </w:r>
      <w:r w:rsidR="003D26BF" w:rsidRPr="00012BDF">
        <w:t>omics</w:t>
      </w:r>
      <w:r w:rsidRPr="00012BDF">
        <w:t xml:space="preserve"> data</w:t>
      </w:r>
    </w:p>
    <w:p w14:paraId="3B008E79" w14:textId="34B396FA" w:rsidR="003956A4" w:rsidRDefault="005D0415">
      <w:pPr>
        <w:rPr>
          <w:lang w:val="en-GB"/>
        </w:rPr>
      </w:pPr>
      <w:r>
        <w:rPr>
          <w:lang w:val="en-GB"/>
        </w:rPr>
        <w:t xml:space="preserve">The host omics data </w:t>
      </w:r>
      <w:r w:rsidR="0069665A">
        <w:rPr>
          <w:lang w:val="en-GB"/>
        </w:rPr>
        <w:t>consisted of a T</w:t>
      </w:r>
      <w:r>
        <w:rPr>
          <w:lang w:val="en-GB"/>
        </w:rPr>
        <w:t>CGA data set</w:t>
      </w:r>
      <w:r w:rsidR="00180923">
        <w:rPr>
          <w:lang w:val="en-GB"/>
        </w:rPr>
        <w:t xml:space="preserve"> which was extracted and processed by a prior study </w:t>
      </w:r>
      <w:r w:rsidR="00180923">
        <w:rPr>
          <w:lang w:val="en-GB"/>
        </w:rPr>
        <w:fldChar w:fldCharType="begin"/>
      </w:r>
      <w:r w:rsidR="00180923">
        <w:rPr>
          <w:lang w:val="en-GB"/>
        </w:rPr>
        <w:instrText xml:space="preserve"> ADDIN ZOTERO_ITEM CSL_CITATION {"citationID":"Pnib6e8a","properties":{"formattedCitation":"\\super 18\\nosupersub{}","plainCitation":"18","noteIndex":0},"citationItems":[{"id":208,"uris":["http://zotero.org/users/local/0zqklVfX/items/W4WQMWNV"],"itemData":{"id":208,"type":"article-journal","abstract":"The Cancer Genome Atlas (TCGA) has profiled over 10,000 tumors across 33 different cancer-types for many genomic features, including gene expression levels. Gene expression measurements capture substantial information about the state of each tumor. Certain classes of deep neural network models are capable of learning a meaningful latent space. Such a latent space could be used to explore and generate hypothetical gene expression profiles under various types of molecular and genetic perturbation. For example, one might wish to use such a model to predict a tumor’s response to specific therapies or to characterize complex gene expression activations existing in differential proportions in different tumors. Variational autoencoders (VAEs) are a deep neural network approach capable of generating meaningful latent spaces for image and text data. In this work, we sought to determine the extent to which a VAE can be trained to model cancer gene expression, and whether or not such a VAE would capture biologically-relevant features. In the following report, we introduce a VAE trained on TCGA pan-cancer RNA-seq data, identify specific patterns in the VAE encoded features, and discuss potential merits of the approach. We name our method “Tybalt” after an instigative, cat-like character who sets a cascading chain of events in motion in Shakespeare’s “Romeo and Juliet”. From a systems biology perspective, Tybalt could one day aid in cancer stratification or predict specific activated expression patterns that would result from genetic changes or treatment effects.","container-title":"Pacific Symposium on Biocomputing. Pacific Symposium on Biocomputing","ISSN":"2335-6936","journalAbbreviation":"Pac Symp Biocomput","note":"PMID: 29218871\nPMCID: PMC5728678","page":"80-91","source":"PubMed Central","title":"Extracting a biologically relevant latent space from cancer transcriptomes with variational autoencoders","volume":"23","author":[{"family":"Way","given":"Gregory P."},{"family":"Greene","given":"Casey S."}],"issued":{"date-parts":[["2018"]]}}}],"schema":"https://github.com/citation-style-language/schema/raw/master/csl-citation.json"} </w:instrText>
      </w:r>
      <w:r w:rsidR="00180923">
        <w:rPr>
          <w:lang w:val="en-GB"/>
        </w:rPr>
        <w:fldChar w:fldCharType="separate"/>
      </w:r>
      <w:r w:rsidR="00180923" w:rsidRPr="00180923">
        <w:rPr>
          <w:rFonts w:ascii="Calibri" w:hAnsi="Calibri" w:cs="Calibri"/>
          <w:szCs w:val="24"/>
          <w:vertAlign w:val="superscript"/>
        </w:rPr>
        <w:t>18</w:t>
      </w:r>
      <w:r w:rsidR="00180923">
        <w:rPr>
          <w:lang w:val="en-GB"/>
        </w:rPr>
        <w:fldChar w:fldCharType="end"/>
      </w:r>
      <w:r w:rsidR="00180923">
        <w:rPr>
          <w:lang w:val="en-GB"/>
        </w:rPr>
        <w:t>.</w:t>
      </w:r>
      <w:r w:rsidR="006463D9">
        <w:rPr>
          <w:lang w:val="en-GB"/>
        </w:rPr>
        <w:t xml:space="preserve"> This data set consists of level 3 RNA-</w:t>
      </w:r>
      <w:proofErr w:type="spellStart"/>
      <w:r w:rsidR="006463D9">
        <w:rPr>
          <w:lang w:val="en-GB"/>
        </w:rPr>
        <w:t>seq</w:t>
      </w:r>
      <w:proofErr w:type="spellEnd"/>
      <w:r w:rsidR="006463D9">
        <w:rPr>
          <w:lang w:val="en-GB"/>
        </w:rPr>
        <w:t xml:space="preserve"> gene expression data for 9732 </w:t>
      </w:r>
      <w:proofErr w:type="spellStart"/>
      <w:r w:rsidR="006463D9">
        <w:rPr>
          <w:lang w:val="en-GB"/>
        </w:rPr>
        <w:t>tumors</w:t>
      </w:r>
      <w:proofErr w:type="spellEnd"/>
      <w:r w:rsidR="006463D9">
        <w:rPr>
          <w:lang w:val="en-GB"/>
        </w:rPr>
        <w:t xml:space="preserve"> and 727 </w:t>
      </w:r>
      <w:proofErr w:type="spellStart"/>
      <w:r w:rsidR="006463D9">
        <w:rPr>
          <w:lang w:val="en-GB"/>
        </w:rPr>
        <w:t>tumor</w:t>
      </w:r>
      <w:proofErr w:type="spellEnd"/>
      <w:r w:rsidR="006463D9">
        <w:rPr>
          <w:lang w:val="en-GB"/>
        </w:rPr>
        <w:t xml:space="preserve"> adjacent normal samples</w:t>
      </w:r>
      <w:r w:rsidR="006463D9">
        <w:t xml:space="preserve"> encompassing 33 total different cancer types</w:t>
      </w:r>
      <w:r w:rsidR="006463D9">
        <w:rPr>
          <w:lang w:val="en-GB"/>
        </w:rPr>
        <w:t xml:space="preserve">. </w:t>
      </w:r>
      <w:r w:rsidR="007439D7">
        <w:rPr>
          <w:lang w:val="en-GB"/>
        </w:rPr>
        <w:t>The TCGA RNA-</w:t>
      </w:r>
      <w:proofErr w:type="spellStart"/>
      <w:r w:rsidR="007439D7">
        <w:rPr>
          <w:lang w:val="en-GB"/>
        </w:rPr>
        <w:t>seq</w:t>
      </w:r>
      <w:proofErr w:type="spellEnd"/>
      <w:r w:rsidR="007439D7">
        <w:rPr>
          <w:lang w:val="en-GB"/>
        </w:rPr>
        <w:t xml:space="preserve"> was obtained using the UCSC </w:t>
      </w:r>
      <w:proofErr w:type="spellStart"/>
      <w:r w:rsidR="007439D7">
        <w:rPr>
          <w:lang w:val="en-GB"/>
        </w:rPr>
        <w:t>Xena</w:t>
      </w:r>
      <w:proofErr w:type="spellEnd"/>
      <w:r w:rsidR="007439D7">
        <w:rPr>
          <w:lang w:val="en-GB"/>
        </w:rPr>
        <w:t xml:space="preserve"> data browser on March 8, 2016. </w:t>
      </w:r>
      <w:r w:rsidR="006463D9">
        <w:rPr>
          <w:lang w:val="en-GB"/>
        </w:rPr>
        <w:t>The expression values of these genes consists of a pre-processed and batch-corrected</w:t>
      </w:r>
      <w:r w:rsidR="003956A4">
        <w:rPr>
          <w:lang w:val="en-GB"/>
        </w:rPr>
        <w:t xml:space="preserve"> </w:t>
      </w:r>
      <w:r w:rsidR="006463D9">
        <w:rPr>
          <w:lang w:val="en-GB"/>
        </w:rPr>
        <w:t xml:space="preserve">gene abundance x sample matrix with RSEM values normalized using a </w:t>
      </w:r>
      <w:r w:rsidR="003956A4" w:rsidRPr="003956A4">
        <w:rPr>
          <w:lang w:val="en-GB"/>
        </w:rPr>
        <w:t xml:space="preserve">log2(FPKM + 1) </w:t>
      </w:r>
      <w:r w:rsidR="006463D9">
        <w:rPr>
          <w:lang w:val="en-GB"/>
        </w:rPr>
        <w:t xml:space="preserve">transformation. </w:t>
      </w:r>
      <w:r w:rsidR="007439D7">
        <w:t xml:space="preserve">The </w:t>
      </w:r>
      <w:r w:rsidR="007439D7" w:rsidRPr="007439D7">
        <w:t xml:space="preserve">gene expression values of the 5000 genes with the highest variability </w:t>
      </w:r>
      <w:r w:rsidR="007439D7">
        <w:t xml:space="preserve">were used, </w:t>
      </w:r>
      <w:r w:rsidR="007439D7" w:rsidRPr="007439D7">
        <w:t xml:space="preserve">as evaluated using Median Absolute Deviation (MAD). </w:t>
      </w:r>
      <w:r w:rsidR="007439D7">
        <w:t xml:space="preserve"> </w:t>
      </w:r>
      <w:r w:rsidR="006463D9">
        <w:rPr>
          <w:lang w:val="en-GB"/>
        </w:rPr>
        <w:t>Finally, the expression values are also min – max scaled.</w:t>
      </w:r>
    </w:p>
    <w:p w14:paraId="10852F97" w14:textId="373E04FC" w:rsidR="007439D7" w:rsidRDefault="007439D7" w:rsidP="007439D7">
      <w:pPr>
        <w:pStyle w:val="Heading3"/>
        <w:rPr>
          <w:lang w:val="en-GB"/>
        </w:rPr>
      </w:pPr>
      <w:r>
        <w:rPr>
          <w:lang w:val="en-GB"/>
        </w:rPr>
        <w:t>Clinical data</w:t>
      </w:r>
    </w:p>
    <w:p w14:paraId="52E2F0F7" w14:textId="269041DC" w:rsidR="003C4EBF" w:rsidRDefault="00E376C7" w:rsidP="003C4EBF">
      <w:pPr>
        <w:rPr>
          <w:lang w:val="en-GB"/>
        </w:rPr>
      </w:pPr>
      <w:r>
        <w:rPr>
          <w:lang w:val="en-GB"/>
        </w:rPr>
        <w:t xml:space="preserve">The clinical data was accessed using the </w:t>
      </w:r>
      <w:proofErr w:type="spellStart"/>
      <w:r>
        <w:rPr>
          <w:lang w:val="en-GB"/>
        </w:rPr>
        <w:t>Snaptron</w:t>
      </w:r>
      <w:proofErr w:type="spellEnd"/>
      <w:r>
        <w:rPr>
          <w:lang w:val="en-GB"/>
        </w:rPr>
        <w:t xml:space="preserve"> web server.</w:t>
      </w:r>
      <w:r w:rsidR="003C4EBF">
        <w:rPr>
          <w:lang w:val="en-GB"/>
        </w:rPr>
        <w:t xml:space="preserve"> We match the clinical data with the corresponding patient samples in order to obtain details for the </w:t>
      </w:r>
      <w:proofErr w:type="spellStart"/>
      <w:r w:rsidR="003C4EBF">
        <w:rPr>
          <w:lang w:val="en-GB"/>
        </w:rPr>
        <w:t>tumor</w:t>
      </w:r>
      <w:proofErr w:type="spellEnd"/>
      <w:r w:rsidR="003C4EBF">
        <w:rPr>
          <w:lang w:val="en-GB"/>
        </w:rPr>
        <w:t xml:space="preserve"> and stage endpoints.</w:t>
      </w:r>
      <w:r w:rsidR="003017B1">
        <w:rPr>
          <w:lang w:val="en-GB"/>
        </w:rPr>
        <w:t xml:space="preserve"> To determine whether a sample is </w:t>
      </w:r>
      <w:proofErr w:type="spellStart"/>
      <w:r w:rsidR="003017B1">
        <w:rPr>
          <w:lang w:val="en-GB"/>
        </w:rPr>
        <w:t>tumor</w:t>
      </w:r>
      <w:proofErr w:type="spellEnd"/>
      <w:r w:rsidR="003017B1">
        <w:rPr>
          <w:lang w:val="en-GB"/>
        </w:rPr>
        <w:t xml:space="preserve"> or normal, the sample type code</w:t>
      </w:r>
      <w:r w:rsidR="00C023E2">
        <w:rPr>
          <w:lang w:val="en-GB"/>
        </w:rPr>
        <w:t xml:space="preserve"> </w:t>
      </w:r>
      <w:r w:rsidR="00C023E2">
        <w:rPr>
          <w:rStyle w:val="FootnoteReference"/>
          <w:lang w:val="en-GB"/>
        </w:rPr>
        <w:footnoteReference w:id="2"/>
      </w:r>
      <w:r w:rsidR="003017B1">
        <w:rPr>
          <w:lang w:val="en-GB"/>
        </w:rPr>
        <w:t xml:space="preserve"> is used, where codes in the range 01 – 09 are </w:t>
      </w:r>
      <w:proofErr w:type="spellStart"/>
      <w:r w:rsidR="003017B1">
        <w:rPr>
          <w:lang w:val="en-GB"/>
        </w:rPr>
        <w:t>tumors</w:t>
      </w:r>
      <w:proofErr w:type="spellEnd"/>
      <w:r w:rsidR="003017B1">
        <w:rPr>
          <w:lang w:val="en-GB"/>
        </w:rPr>
        <w:t xml:space="preserve"> and those in the range 10 – 19 are normal samples</w:t>
      </w:r>
      <w:r w:rsidR="00C023E2">
        <w:rPr>
          <w:lang w:val="en-GB"/>
        </w:rPr>
        <w:t xml:space="preserve"> </w:t>
      </w:r>
      <w:r w:rsidR="00C023E2">
        <w:rPr>
          <w:rStyle w:val="FootnoteReference"/>
          <w:lang w:val="en-GB"/>
        </w:rPr>
        <w:footnoteReference w:id="3"/>
      </w:r>
      <w:r w:rsidR="003017B1">
        <w:rPr>
          <w:lang w:val="en-GB"/>
        </w:rPr>
        <w:t>. Th</w:t>
      </w:r>
      <w:r w:rsidR="00C023E2">
        <w:rPr>
          <w:lang w:val="en-GB"/>
        </w:rPr>
        <w:t>e</w:t>
      </w:r>
      <w:r w:rsidR="003017B1">
        <w:rPr>
          <w:lang w:val="en-GB"/>
        </w:rPr>
        <w:t xml:space="preserve"> stage clinical data is used to determine the </w:t>
      </w:r>
      <w:proofErr w:type="spellStart"/>
      <w:r w:rsidR="003017B1">
        <w:rPr>
          <w:lang w:val="en-GB"/>
        </w:rPr>
        <w:t>tumor</w:t>
      </w:r>
      <w:proofErr w:type="spellEnd"/>
      <w:r w:rsidR="003017B1">
        <w:rPr>
          <w:lang w:val="en-GB"/>
        </w:rPr>
        <w:t xml:space="preserve"> stage of each sample. Normal samples are considered as Stage 0.</w:t>
      </w:r>
    </w:p>
    <w:p w14:paraId="33BA573A" w14:textId="3AB807F5" w:rsidR="003D26BF" w:rsidRDefault="003D26BF" w:rsidP="003D26BF">
      <w:pPr>
        <w:pStyle w:val="Heading3"/>
        <w:rPr>
          <w:lang w:val="en-GB"/>
        </w:rPr>
      </w:pPr>
      <w:r>
        <w:rPr>
          <w:lang w:val="en-GB"/>
        </w:rPr>
        <w:t>Overlapped data</w:t>
      </w:r>
    </w:p>
    <w:p w14:paraId="41162057" w14:textId="67A47D86" w:rsidR="003D26BF" w:rsidRDefault="003D26BF" w:rsidP="003D26BF">
      <w:pPr>
        <w:rPr>
          <w:lang w:val="en-GB"/>
        </w:rPr>
      </w:pPr>
      <w:r>
        <w:rPr>
          <w:lang w:val="en-GB"/>
        </w:rPr>
        <w:t xml:space="preserve">In order to investigate the effects </w:t>
      </w:r>
      <w:r w:rsidR="003C4EBF">
        <w:rPr>
          <w:lang w:val="en-GB"/>
        </w:rPr>
        <w:t xml:space="preserve">of microbial data </w:t>
      </w:r>
      <w:r>
        <w:rPr>
          <w:lang w:val="en-GB"/>
        </w:rPr>
        <w:t xml:space="preserve">on cancer diagnostics, </w:t>
      </w:r>
      <w:r w:rsidR="003C4EBF">
        <w:rPr>
          <w:lang w:val="en-GB"/>
        </w:rPr>
        <w:t>we create an overlapped set samples for which there is both host- and microbial omics data in the above-described data sets.</w:t>
      </w:r>
    </w:p>
    <w:p w14:paraId="2C7077AA" w14:textId="3068104E" w:rsidR="00B373E4" w:rsidRDefault="00B373E4" w:rsidP="003D26BF">
      <w:pPr>
        <w:rPr>
          <w:lang w:val="en-GB"/>
        </w:rPr>
      </w:pPr>
      <w:r>
        <w:rPr>
          <w:lang w:val="en-GB"/>
        </w:rPr>
        <w:t>In the first step, the TCGA gene expression data is joined with the clinical data. To do this, the “</w:t>
      </w:r>
      <w:proofErr w:type="spellStart"/>
      <w:r>
        <w:rPr>
          <w:lang w:val="en-GB"/>
        </w:rPr>
        <w:t>portion_id</w:t>
      </w:r>
      <w:proofErr w:type="spellEnd"/>
      <w:r>
        <w:rPr>
          <w:lang w:val="en-GB"/>
        </w:rPr>
        <w:t>” field of each row in the clinical data set, which contains the code for the project, the tissue source site (TSS), participant ID, sample type, vial, and portion id is used. This field is stripped of the portion ID</w:t>
      </w:r>
      <w:r w:rsidR="00033BD2">
        <w:rPr>
          <w:lang w:val="en-GB"/>
        </w:rPr>
        <w:t xml:space="preserve"> and the vial</w:t>
      </w:r>
      <w:r>
        <w:rPr>
          <w:lang w:val="en-GB"/>
        </w:rPr>
        <w:t xml:space="preserve">, </w:t>
      </w:r>
      <w:r w:rsidR="00033BD2">
        <w:rPr>
          <w:lang w:val="en-GB"/>
        </w:rPr>
        <w:t>the duplicates are dropped (to remove samples with the same ID but different measuring technologies), and each row is then joined with the samples in the GE data set, which contains the same attributes up to and including the sample type.</w:t>
      </w:r>
    </w:p>
    <w:p w14:paraId="23464040" w14:textId="732EBD57" w:rsidR="00033BD2" w:rsidRPr="003D26BF" w:rsidRDefault="00033BD2" w:rsidP="003D26BF">
      <w:pPr>
        <w:rPr>
          <w:lang w:val="en-GB"/>
        </w:rPr>
      </w:pPr>
      <w:r>
        <w:rPr>
          <w:lang w:val="en-GB"/>
        </w:rPr>
        <w:lastRenderedPageBreak/>
        <w:t>To join the data set with GE + clinical data to the microbial dataset,  the sample barcode for the microbial samples is stripped of the all samples with a vial type of “B”, and then the vial type attribute is removed altogether. This data set is then joined with the GE + clinical data set.</w:t>
      </w:r>
    </w:p>
    <w:p w14:paraId="533BD79E" w14:textId="7DC9AB09" w:rsidR="00993FD7" w:rsidRDefault="003D26BF">
      <w:pPr>
        <w:rPr>
          <w:lang w:val="en-GB"/>
        </w:rPr>
      </w:pPr>
      <w:r>
        <w:rPr>
          <w:lang w:val="en-GB"/>
        </w:rPr>
        <w:t xml:space="preserve">The table below displays the class balance of </w:t>
      </w:r>
      <w:proofErr w:type="spellStart"/>
      <w:r>
        <w:rPr>
          <w:lang w:val="en-GB"/>
        </w:rPr>
        <w:t>tumor</w:t>
      </w:r>
      <w:proofErr w:type="spellEnd"/>
      <w:r>
        <w:rPr>
          <w:lang w:val="en-GB"/>
        </w:rPr>
        <w:t xml:space="preserve"> versus normal samples for each modality and the integrated set.</w:t>
      </w:r>
    </w:p>
    <w:p w14:paraId="2AB3BF2F" w14:textId="217AA484" w:rsidR="00DC4CAE" w:rsidRDefault="00581746">
      <w:pPr>
        <w:rPr>
          <w:lang w:val="en-GB"/>
        </w:rPr>
      </w:pPr>
      <w:r w:rsidRPr="00581746">
        <w:rPr>
          <w:noProof/>
          <w:lang w:val="en-GB"/>
        </w:rPr>
        <w:drawing>
          <wp:inline distT="0" distB="0" distL="0" distR="0" wp14:anchorId="79062DD9" wp14:editId="06858BC0">
            <wp:extent cx="5731510" cy="14573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1457325"/>
                    </a:xfrm>
                    <a:prstGeom prst="rect">
                      <a:avLst/>
                    </a:prstGeom>
                  </pic:spPr>
                </pic:pic>
              </a:graphicData>
            </a:graphic>
          </wp:inline>
        </w:drawing>
      </w:r>
    </w:p>
    <w:p w14:paraId="58095BD7" w14:textId="01557159" w:rsidR="00432975" w:rsidRPr="00432975" w:rsidRDefault="003D26BF">
      <w:pPr>
        <w:rPr>
          <w:lang w:val="en-GB"/>
        </w:rPr>
      </w:pPr>
      <w:r>
        <w:rPr>
          <w:lang w:val="en-GB"/>
        </w:rPr>
        <w:t>The next</w:t>
      </w:r>
      <w:r w:rsidR="00581746">
        <w:rPr>
          <w:lang w:val="en-GB"/>
        </w:rPr>
        <w:t xml:space="preserve"> table</w:t>
      </w:r>
      <w:r>
        <w:rPr>
          <w:lang w:val="en-GB"/>
        </w:rPr>
        <w:t xml:space="preserve"> displays the balance for the stage samples. Normal samples are classified as stage 0.</w:t>
      </w:r>
      <w:r w:rsidR="009105F3">
        <w:rPr>
          <w:lang w:val="en-GB"/>
        </w:rPr>
        <w:t xml:space="preserve"> </w:t>
      </w:r>
    </w:p>
    <w:p w14:paraId="14CE1A16" w14:textId="2C20D991" w:rsidR="00581746" w:rsidRDefault="00581746">
      <w:pPr>
        <w:rPr>
          <w:lang w:val="en-GB"/>
        </w:rPr>
      </w:pPr>
      <w:r w:rsidRPr="00581746">
        <w:rPr>
          <w:noProof/>
          <w:lang w:val="en-GB"/>
        </w:rPr>
        <w:drawing>
          <wp:inline distT="0" distB="0" distL="0" distR="0" wp14:anchorId="03476A31" wp14:editId="5DB6EADF">
            <wp:extent cx="5731510" cy="190436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731510" cy="1904365"/>
                    </a:xfrm>
                    <a:prstGeom prst="rect">
                      <a:avLst/>
                    </a:prstGeom>
                  </pic:spPr>
                </pic:pic>
              </a:graphicData>
            </a:graphic>
          </wp:inline>
        </w:drawing>
      </w:r>
    </w:p>
    <w:p w14:paraId="4C2D123D" w14:textId="38A080A0" w:rsidR="003D26BF" w:rsidRDefault="00581746">
      <w:pPr>
        <w:rPr>
          <w:lang w:val="en-GB"/>
        </w:rPr>
      </w:pPr>
      <w:r>
        <w:rPr>
          <w:lang w:val="en-GB"/>
        </w:rPr>
        <w:t xml:space="preserve">Due to the lack of samples for READ, </w:t>
      </w:r>
      <w:r w:rsidR="003D26BF">
        <w:rPr>
          <w:lang w:val="en-GB"/>
        </w:rPr>
        <w:t>we use data for the cancers COAD, ESCA, HNSC and STAD.</w:t>
      </w:r>
    </w:p>
    <w:p w14:paraId="322EF56C" w14:textId="24E1DD46" w:rsidR="006620BE" w:rsidRDefault="003956A4" w:rsidP="003956A4">
      <w:pPr>
        <w:pStyle w:val="Heading2"/>
        <w:rPr>
          <w:lang w:val="en-GB"/>
        </w:rPr>
      </w:pPr>
      <w:r>
        <w:rPr>
          <w:lang w:val="en-GB"/>
        </w:rPr>
        <w:t>Methods</w:t>
      </w:r>
    </w:p>
    <w:p w14:paraId="42811D84" w14:textId="60FE15E4" w:rsidR="00F76864" w:rsidRDefault="00E63691" w:rsidP="003956A4">
      <w:pPr>
        <w:pStyle w:val="Heading3"/>
        <w:rPr>
          <w:lang w:val="en-GB"/>
        </w:rPr>
      </w:pPr>
      <w:r>
        <w:rPr>
          <w:lang w:val="en-GB"/>
        </w:rPr>
        <w:t>E</w:t>
      </w:r>
      <w:r w:rsidR="002D2DEC">
        <w:rPr>
          <w:lang w:val="en-GB"/>
        </w:rPr>
        <w:t>xploration of holistic view</w:t>
      </w:r>
    </w:p>
    <w:p w14:paraId="0E9AC19E" w14:textId="2B1741F9" w:rsidR="00E521C1" w:rsidRDefault="00E521C1" w:rsidP="00E521C1">
      <w:pPr>
        <w:rPr>
          <w:lang w:val="en-GB"/>
        </w:rPr>
      </w:pPr>
      <w:r>
        <w:rPr>
          <w:lang w:val="en-GB"/>
        </w:rPr>
        <w:t xml:space="preserve">Feature exploration was performed using PCA and t-SNE. PCA was performed using the </w:t>
      </w:r>
      <w:proofErr w:type="spellStart"/>
      <w:r>
        <w:rPr>
          <w:lang w:val="en-GB"/>
        </w:rPr>
        <w:t>sklearn</w:t>
      </w:r>
      <w:proofErr w:type="spellEnd"/>
      <w:r>
        <w:rPr>
          <w:lang w:val="en-GB"/>
        </w:rPr>
        <w:t xml:space="preserve"> PCA function with 2 components. t-SNE was performed using the </w:t>
      </w:r>
      <w:proofErr w:type="spellStart"/>
      <w:r>
        <w:rPr>
          <w:lang w:val="en-GB"/>
        </w:rPr>
        <w:t>sklearn</w:t>
      </w:r>
      <w:proofErr w:type="spellEnd"/>
      <w:r>
        <w:rPr>
          <w:lang w:val="en-GB"/>
        </w:rPr>
        <w:t xml:space="preserve"> t-SNE function using the default settings, including 1000 maximum iterations.</w:t>
      </w:r>
      <w:r w:rsidR="00AB7AB4">
        <w:rPr>
          <w:lang w:val="en-GB"/>
        </w:rPr>
        <w:t xml:space="preserve"> A static random seed was used for all experiments.</w:t>
      </w:r>
    </w:p>
    <w:p w14:paraId="17BD285B" w14:textId="48B200B9" w:rsidR="00E521C1" w:rsidRDefault="00E521C1" w:rsidP="00E521C1">
      <w:pPr>
        <w:rPr>
          <w:lang w:val="en-GB"/>
        </w:rPr>
      </w:pPr>
    </w:p>
    <w:p w14:paraId="311689D2" w14:textId="53A160C2" w:rsidR="00AB7AB4" w:rsidRPr="00E521C1" w:rsidRDefault="00AB7AB4" w:rsidP="00E521C1">
      <w:pPr>
        <w:rPr>
          <w:lang w:val="en-GB"/>
        </w:rPr>
      </w:pPr>
      <w:r>
        <w:rPr>
          <w:lang w:val="en-GB"/>
        </w:rPr>
        <w:t>Feature reduction was performed using the chi2 test Anthony regression</w:t>
      </w:r>
    </w:p>
    <w:p w14:paraId="36E20F27" w14:textId="1C07E79C" w:rsidR="00E63691" w:rsidRDefault="00E63691" w:rsidP="003956A4">
      <w:pPr>
        <w:pStyle w:val="Heading3"/>
        <w:rPr>
          <w:lang w:val="en-GB"/>
        </w:rPr>
      </w:pPr>
      <w:r>
        <w:rPr>
          <w:lang w:val="en-GB"/>
        </w:rPr>
        <w:t>Predictive performance</w:t>
      </w:r>
      <w:r w:rsidR="00FB565D">
        <w:rPr>
          <w:lang w:val="en-GB"/>
        </w:rPr>
        <w:t xml:space="preserve"> </w:t>
      </w:r>
    </w:p>
    <w:p w14:paraId="6EB69ADC" w14:textId="365A434D" w:rsidR="003C6DD7" w:rsidRDefault="003C6DD7" w:rsidP="002D2DEC">
      <w:pPr>
        <w:rPr>
          <w:lang w:val="en-GB"/>
        </w:rPr>
      </w:pPr>
      <w:r>
        <w:rPr>
          <w:lang w:val="en-GB"/>
        </w:rPr>
        <w:t xml:space="preserve">For the stage endpoint, the prediction of the different stages 0-4 it is </w:t>
      </w:r>
      <w:proofErr w:type="spellStart"/>
      <w:r>
        <w:rPr>
          <w:lang w:val="en-GB"/>
        </w:rPr>
        <w:t>modeled</w:t>
      </w:r>
      <w:proofErr w:type="spellEnd"/>
      <w:r>
        <w:rPr>
          <w:lang w:val="en-GB"/>
        </w:rPr>
        <w:t xml:space="preserve"> as a regression, rather than classification problem.</w:t>
      </w:r>
    </w:p>
    <w:p w14:paraId="38F2057B" w14:textId="410C95A4" w:rsidR="009348E8" w:rsidRDefault="009348E8" w:rsidP="009348E8">
      <w:pPr>
        <w:pStyle w:val="Heading3"/>
        <w:rPr>
          <w:lang w:val="en-GB"/>
        </w:rPr>
      </w:pPr>
      <w:r>
        <w:rPr>
          <w:lang w:val="en-GB"/>
        </w:rPr>
        <w:t>Feature selection</w:t>
      </w:r>
    </w:p>
    <w:p w14:paraId="5FE5F58E" w14:textId="5808E979" w:rsidR="00C32DE8" w:rsidRDefault="003956A4" w:rsidP="003956A4">
      <w:pPr>
        <w:pStyle w:val="Heading1"/>
        <w:rPr>
          <w:lang w:val="en-GB"/>
        </w:rPr>
      </w:pPr>
      <w:r>
        <w:rPr>
          <w:lang w:val="en-GB"/>
        </w:rPr>
        <w:t>Results</w:t>
      </w:r>
    </w:p>
    <w:p w14:paraId="140C1E76" w14:textId="7109CDA9" w:rsidR="008E44A0" w:rsidRDefault="008E44A0" w:rsidP="008E44A0">
      <w:pPr>
        <w:pStyle w:val="Heading2"/>
        <w:rPr>
          <w:lang w:val="en-GB"/>
        </w:rPr>
      </w:pPr>
      <w:r>
        <w:rPr>
          <w:lang w:val="en-GB"/>
        </w:rPr>
        <w:t>Data</w:t>
      </w:r>
    </w:p>
    <w:p w14:paraId="2023CEC6" w14:textId="46871DEA" w:rsidR="004C5EFA" w:rsidRPr="004C5EFA" w:rsidRDefault="004C5EFA" w:rsidP="004C5EFA">
      <w:pPr>
        <w:rPr>
          <w:lang w:val="en-GB"/>
        </w:rPr>
      </w:pPr>
      <w:r>
        <w:rPr>
          <w:lang w:val="en-GB"/>
        </w:rPr>
        <w:t xml:space="preserve">To investigate the effects of </w:t>
      </w:r>
      <w:r w:rsidR="00BE624C">
        <w:rPr>
          <w:lang w:val="en-GB"/>
        </w:rPr>
        <w:t xml:space="preserve">the host-omics approach, we used </w:t>
      </w:r>
      <w:proofErr w:type="spellStart"/>
      <w:r w:rsidR="00BE624C">
        <w:rPr>
          <w:lang w:val="en-GB"/>
        </w:rPr>
        <w:t>preprocessed</w:t>
      </w:r>
      <w:proofErr w:type="spellEnd"/>
      <w:r w:rsidR="00BE624C">
        <w:rPr>
          <w:lang w:val="en-GB"/>
        </w:rPr>
        <w:t xml:space="preserve"> samples from the Cancer Genome Atlas (TCGA). </w:t>
      </w:r>
      <w:r w:rsidR="00BE624C">
        <w:rPr>
          <w:lang w:val="en-GB"/>
        </w:rPr>
        <w:t xml:space="preserve">It turns out that gene expression and DNA methylation data works </w:t>
      </w:r>
      <w:r w:rsidR="00BE624C">
        <w:rPr>
          <w:lang w:val="en-GB"/>
        </w:rPr>
        <w:lastRenderedPageBreak/>
        <w:t xml:space="preserve">well with multiple cancers </w:t>
      </w:r>
      <w:r w:rsidR="00BE624C">
        <w:rPr>
          <w:lang w:val="en-GB"/>
        </w:rPr>
        <w:fldChar w:fldCharType="begin"/>
      </w:r>
      <w:r w:rsidR="00BE624C">
        <w:rPr>
          <w:lang w:val="en-GB"/>
        </w:rPr>
        <w:instrText xml:space="preserve"> ADDIN ZOTERO_ITEM CSL_CITATION {"citationID":"ouW8Icbu","properties":{"formattedCitation":"\\super 17\\nosupersub{}","plainCitation":"17","noteIndex":0},"citationItems":[{"id":118,"uris":["http://zotero.org/users/local/0zqklVfX/items/B4HDCDPT"],"itemData":{"id":118,"type":"article-journal","abstract":"Computational integrative analysis has become a significant approach in the data-driven exploration of biological problems. Many integration methods for cancer subtyping have been proposed, but evaluating these methods has become a complicated problem due to the lack of gold standards. Moreover, questions of practical importance remain to be addressed regarding the impact of selecting appropriate data types and combinations on the performance of integrative studies. Here, we constructed three classes of benchmarking datasets of nine cancers in TCGA by considering all the eleven combinations of four multi-omics data types. Using these datasets, we conducted a comprehensive evaluation of ten representative integration methods for cancer subtyping in terms of accuracy measured by combining both clustering accuracy and clinical significance, robustness, and computational efficiency. We subsequently investigated the influence of different omics data on cancer subtyping and the effectiveness of their combinations. Refuting the widely held intuition that incorporating more types of omics data always produces better results, our analyses showed that there are situations where integrating more omics data negatively impacts the performance of integration methods. Our analyses also suggested several effective combinations for most cancers under our studies, which may be of particular interest to researchers in omics data analysis.","container-title":"PLOS Computational Biology","DOI":"10.1371/journal.pcbi.1009224","ISSN":"1553-7358","issue":"8","journalAbbreviation":"PLOS Computational Biology","language":"en","note":"publisher: Public Library of Science","page":"e1009224","source":"PLoS Journals","title":"Evaluation and comparison of multi-omics data integration methods for cancer subtyping","volume":"17","author":[{"family":"Duan","given":"Ran"},{"family":"Gao","given":"Lin"},{"family":"Gao","given":"Yong"},{"family":"Hu","given":"Yuxuan"},{"family":"Xu","given":"Han"},{"family":"Huang","given":"Mingfeng"},{"family":"Song","given":"Kuo"},{"family":"Wang","given":"Hongda"},{"family":"Dong","given":"Yongqiang"},{"family":"Jiang","given":"Chaoqun"},{"family":"Zhang","given":"Chenxing"},{"family":"Jia","given":"Songwei"}],"issued":{"date-parts":[["2021",8,12]]}}}],"schema":"https://github.com/citation-style-language/schema/raw/master/csl-citation.json"} </w:instrText>
      </w:r>
      <w:r w:rsidR="00BE624C">
        <w:rPr>
          <w:lang w:val="en-GB"/>
        </w:rPr>
        <w:fldChar w:fldCharType="separate"/>
      </w:r>
      <w:r w:rsidR="00BE624C" w:rsidRPr="00FE3064">
        <w:rPr>
          <w:rFonts w:ascii="Calibri" w:hAnsi="Calibri" w:cs="Calibri"/>
          <w:szCs w:val="24"/>
          <w:vertAlign w:val="superscript"/>
        </w:rPr>
        <w:t>17</w:t>
      </w:r>
      <w:r w:rsidR="00BE624C">
        <w:rPr>
          <w:lang w:val="en-GB"/>
        </w:rPr>
        <w:fldChar w:fldCharType="end"/>
      </w:r>
      <w:r w:rsidR="00BE624C">
        <w:rPr>
          <w:lang w:val="en-GB"/>
        </w:rPr>
        <w:t>. Thus, in order to examine the benefits of a holistic view on omics data for cancer diagnostics, gene expression features from TCGA are used. This set contains 5000 features for each sample.</w:t>
      </w:r>
    </w:p>
    <w:p w14:paraId="09C18FC8" w14:textId="5FD215BD" w:rsidR="00C023E2" w:rsidRPr="00C023E2" w:rsidRDefault="00BE624C" w:rsidP="00C023E2">
      <w:pPr>
        <w:rPr>
          <w:lang w:val="en-GB"/>
        </w:rPr>
      </w:pPr>
      <w:r>
        <w:rPr>
          <w:lang w:val="en-GB"/>
        </w:rPr>
        <w:t>To investigate the effects of the microbial omics approach, we used the Cancer Microbiome Atlas</w:t>
      </w:r>
      <w:r w:rsidR="00C023E2">
        <w:rPr>
          <w:lang w:val="en-GB"/>
        </w:rPr>
        <w:t xml:space="preserve"> (TCMA)</w:t>
      </w:r>
      <w:r>
        <w:rPr>
          <w:lang w:val="en-GB"/>
        </w:rPr>
        <w:t>. This i</w:t>
      </w:r>
      <w:r w:rsidR="00C023E2">
        <w:rPr>
          <w:lang w:val="en-GB"/>
        </w:rPr>
        <w:t xml:space="preserve">s a microbial database which is based on data that is mined and processed from reads contained in TCGA, which attempts to identify microbial species in tissue and blood samples while dealing with contaminants </w:t>
      </w:r>
      <w:r w:rsidR="00C023E2">
        <w:rPr>
          <w:lang w:val="en-GB"/>
        </w:rPr>
        <w:fldChar w:fldCharType="begin"/>
      </w:r>
      <w:r w:rsidR="00C023E2">
        <w:rPr>
          <w:lang w:val="en-GB"/>
        </w:rPr>
        <w:instrText xml:space="preserve"> ADDIN ZOTERO_ITEM CSL_CITATION {"citationID":"mYrocQYk","properties":{"formattedCitation":"\\super 2\\nosupersub{}","plainCitation":"2","noteIndex":0},"citationItems":[{"id":185,"uris":["http://zotero.org/users/local/0zqklVfX/items/6YDSX49Y"],"itemData":{"id":185,"type":"article-journal","abstract":"Studying the microbial composition of internal organs and their associations with disease remains challenging due to the difficulty of acquiring clinical biopsies. We designed a statistical model to analyze the prevalence of species across sample types from The Cancer Genome Atlas (TCGA), revealing that species equiprevalent across sample types are predominantly contaminants, bearing unique signatures from each TCGA-designated sequencing center. Removing such species mitigated batch effects and isolated the tissue-resident microbiome, which was validated by original matched TCGA samples. Gene copies and nucleotide variants can further distinguish mixed-evidence species. We, thus, present The Cancer Microbiome Atlas (TCMA), a collection of curated, decontaminated microbial compositions of oropharyngeal, esophageal, gastrointestinal, and colorectal tissues. This led to the discovery of prognostic species and blood signatures of mucosal barrier injuries and enabled systematic matched microbe-host multi-omic analyses, which will help guide future studies of the microbiome’s role in human health and disease.","container-title":"Cell Host &amp; Microbe","DOI":"10.1016/j.chom.2020.12.001","ISSN":"1931-3128","issue":"2","journalAbbreviation":"Cell Host &amp; Microbe","language":"en","page":"281-298.e5","source":"ScienceDirect","title":"The cancer microbiome atlas: a pan-cancer comparative analysis to distinguish tissue-resident microbiota from contaminants","title-short":"The cancer microbiome atlas","volume":"29","author":[{"family":"Dohlman","given":"Anders B."},{"family":"Arguijo Mendoza","given":"Diana"},{"family":"Ding","given":"Shengli"},{"family":"Gao","given":"Michael"},{"family":"Dressman","given":"Holly"},{"family":"Iliev","given":"Iliyan D."},{"family":"Lipkin","given":"Steven M."},{"family":"Shen","given":"Xiling"}],"issued":{"date-parts":[["2021",2,10]]}}}],"schema":"https://github.com/citation-style-language/schema/raw/master/csl-citation.json"} </w:instrText>
      </w:r>
      <w:r w:rsidR="00C023E2">
        <w:rPr>
          <w:lang w:val="en-GB"/>
        </w:rPr>
        <w:fldChar w:fldCharType="separate"/>
      </w:r>
      <w:r w:rsidR="00C023E2" w:rsidRPr="00EC4225">
        <w:rPr>
          <w:rFonts w:ascii="Calibri" w:hAnsi="Calibri" w:cs="Calibri"/>
          <w:szCs w:val="24"/>
          <w:vertAlign w:val="superscript"/>
        </w:rPr>
        <w:t>2</w:t>
      </w:r>
      <w:r w:rsidR="00C023E2">
        <w:rPr>
          <w:lang w:val="en-GB"/>
        </w:rPr>
        <w:fldChar w:fldCharType="end"/>
      </w:r>
      <w:r w:rsidR="00C023E2">
        <w:rPr>
          <w:lang w:val="en-GB"/>
        </w:rPr>
        <w:t xml:space="preserve">. </w:t>
      </w:r>
      <w:r>
        <w:rPr>
          <w:lang w:val="en-GB"/>
        </w:rPr>
        <w:t>TCMA contains</w:t>
      </w:r>
      <w:r w:rsidR="00C023E2">
        <w:rPr>
          <w:lang w:val="en-GB"/>
        </w:rPr>
        <w:t xml:space="preserve"> microbial data available from multiple cancers allowing for cross cancer analyses using the same source with common methodologies.</w:t>
      </w:r>
    </w:p>
    <w:p w14:paraId="52D8EB3E" w14:textId="20E45536" w:rsidR="008E44A0" w:rsidRPr="008E44A0" w:rsidRDefault="00BE624C" w:rsidP="008E44A0">
      <w:pPr>
        <w:rPr>
          <w:lang w:val="en-GB"/>
        </w:rPr>
      </w:pPr>
      <w:r>
        <w:rPr>
          <w:lang w:val="en-GB"/>
        </w:rPr>
        <w:t>Finally, for the holo-</w:t>
      </w:r>
      <w:proofErr w:type="spellStart"/>
      <w:r>
        <w:rPr>
          <w:lang w:val="en-GB"/>
        </w:rPr>
        <w:t>omic</w:t>
      </w:r>
      <w:proofErr w:type="spellEnd"/>
      <w:r>
        <w:rPr>
          <w:lang w:val="en-GB"/>
        </w:rPr>
        <w:t xml:space="preserve"> approach, we overlapped samples for which there is both host omics and microbial omics data available.</w:t>
      </w:r>
    </w:p>
    <w:p w14:paraId="3C72955A" w14:textId="63F5F870" w:rsidR="008E44A0" w:rsidRPr="008E44A0" w:rsidRDefault="004A6406" w:rsidP="004A6406">
      <w:pPr>
        <w:pStyle w:val="Heading2"/>
        <w:rPr>
          <w:lang w:val="en-GB"/>
        </w:rPr>
      </w:pPr>
      <w:r>
        <w:rPr>
          <w:lang w:val="en-GB"/>
        </w:rPr>
        <w:t xml:space="preserve">There is </w:t>
      </w:r>
      <w:r w:rsidR="001E56AF">
        <w:rPr>
          <w:lang w:val="en-GB"/>
        </w:rPr>
        <w:t>little</w:t>
      </w:r>
      <w:r>
        <w:rPr>
          <w:lang w:val="en-GB"/>
        </w:rPr>
        <w:t xml:space="preserve"> qualitative difference in performance with holo-</w:t>
      </w:r>
      <w:proofErr w:type="spellStart"/>
      <w:r>
        <w:rPr>
          <w:lang w:val="en-GB"/>
        </w:rPr>
        <w:t>omic</w:t>
      </w:r>
      <w:proofErr w:type="spellEnd"/>
      <w:r>
        <w:rPr>
          <w:lang w:val="en-GB"/>
        </w:rPr>
        <w:t xml:space="preserve"> approach</w:t>
      </w:r>
    </w:p>
    <w:p w14:paraId="39630867" w14:textId="77777777" w:rsidR="008E44A0" w:rsidRDefault="008E44A0" w:rsidP="008E44A0">
      <w:pPr>
        <w:rPr>
          <w:lang w:val="en-GB"/>
        </w:rPr>
      </w:pPr>
      <w:r>
        <w:rPr>
          <w:lang w:val="en-GB"/>
        </w:rPr>
        <w:t xml:space="preserve">We performed a preliminary exploration of the available data sets in order to examine whether a holistic view could have benefits for cancer diagnostics. To this end, we used numerous dimensionality reduction techniques in order to examine the separation between classes for multiple diagnostic endpoints as an indicator of the possible predictive value of integrating omics and microbial data. The diagnostic endpoints were </w:t>
      </w:r>
      <w:proofErr w:type="spellStart"/>
      <w:r>
        <w:rPr>
          <w:lang w:val="en-GB"/>
        </w:rPr>
        <w:t>tumor</w:t>
      </w:r>
      <w:proofErr w:type="spellEnd"/>
      <w:r>
        <w:rPr>
          <w:lang w:val="en-GB"/>
        </w:rPr>
        <w:t xml:space="preserve"> versus normal prediction, and </w:t>
      </w:r>
      <w:proofErr w:type="spellStart"/>
      <w:r>
        <w:rPr>
          <w:lang w:val="en-GB"/>
        </w:rPr>
        <w:t>tumor</w:t>
      </w:r>
      <w:proofErr w:type="spellEnd"/>
      <w:r>
        <w:rPr>
          <w:lang w:val="en-GB"/>
        </w:rPr>
        <w:t xml:space="preserve"> stage prediction. We investigated the class separation using the PCA and t-SNE dimensionality reduction techniques.</w:t>
      </w:r>
    </w:p>
    <w:p w14:paraId="16069F5B" w14:textId="486B33E5" w:rsidR="008E44A0" w:rsidRPr="008E44A0" w:rsidRDefault="008E44A0" w:rsidP="008E44A0">
      <w:pPr>
        <w:rPr>
          <w:lang w:val="en-GB"/>
        </w:rPr>
      </w:pPr>
      <w:r>
        <w:rPr>
          <w:lang w:val="en-GB"/>
        </w:rPr>
        <w:t>For each dimensionality reduction technique and for all 4 cancers, we performed dimensionality reduction on the gene expression data set separately, the genus taxonomical abundance data, and then on the concatenation of these datasets. Additionally, this was done for increasing amounts of selected features, and when using all features. Feature selection was performed using the chi-square test and using all data.</w:t>
      </w:r>
    </w:p>
    <w:p w14:paraId="319DF333" w14:textId="29E56D7C" w:rsidR="004A6406" w:rsidRDefault="004A6406" w:rsidP="004A6406">
      <w:pPr>
        <w:pStyle w:val="Heading3"/>
        <w:rPr>
          <w:lang w:val="en-GB"/>
        </w:rPr>
      </w:pPr>
      <w:proofErr w:type="spellStart"/>
      <w:r>
        <w:rPr>
          <w:lang w:val="en-GB"/>
        </w:rPr>
        <w:t>Tumor</w:t>
      </w:r>
      <w:proofErr w:type="spellEnd"/>
      <w:r>
        <w:rPr>
          <w:lang w:val="en-GB"/>
        </w:rPr>
        <w:t xml:space="preserve"> PCA does not show additional class separation</w:t>
      </w:r>
    </w:p>
    <w:p w14:paraId="5F49A861" w14:textId="21E4B9F4" w:rsidR="00FD78E2" w:rsidRDefault="004A6406" w:rsidP="00FD78E2">
      <w:pPr>
        <w:rPr>
          <w:lang w:val="en-GB"/>
        </w:rPr>
      </w:pPr>
      <w:r>
        <w:rPr>
          <w:lang w:val="en-GB"/>
        </w:rPr>
        <w:t xml:space="preserve">The PCA for the </w:t>
      </w:r>
      <w:proofErr w:type="spellStart"/>
      <w:r>
        <w:rPr>
          <w:lang w:val="en-GB"/>
        </w:rPr>
        <w:t>tumor</w:t>
      </w:r>
      <w:proofErr w:type="spellEnd"/>
      <w:r>
        <w:rPr>
          <w:lang w:val="en-GB"/>
        </w:rPr>
        <w:t xml:space="preserve"> classification endpoint shows that there is no meaningful additional separation</w:t>
      </w:r>
      <w:r w:rsidR="00BD7FE5">
        <w:rPr>
          <w:lang w:val="en-GB"/>
        </w:rPr>
        <w:t xml:space="preserve"> between the classes when integrating genus taxonomic data with gene expression versus using only gene expression data (</w:t>
      </w:r>
      <w:r w:rsidR="00BD7FE5">
        <w:rPr>
          <w:lang w:val="en-GB"/>
        </w:rPr>
        <w:fldChar w:fldCharType="begin"/>
      </w:r>
      <w:r w:rsidR="00BD7FE5">
        <w:rPr>
          <w:lang w:val="en-GB"/>
        </w:rPr>
        <w:instrText xml:space="preserve"> REF _Ref121920412 \h </w:instrText>
      </w:r>
      <w:r w:rsidR="00BD7FE5">
        <w:rPr>
          <w:lang w:val="en-GB"/>
        </w:rPr>
      </w:r>
      <w:r w:rsidR="00BD7FE5">
        <w:rPr>
          <w:lang w:val="en-GB"/>
        </w:rPr>
        <w:fldChar w:fldCharType="separate"/>
      </w:r>
      <w:r w:rsidR="00BD7FE5">
        <w:t xml:space="preserve">Figure </w:t>
      </w:r>
      <w:r w:rsidR="00BD7FE5">
        <w:rPr>
          <w:noProof/>
        </w:rPr>
        <w:t>1</w:t>
      </w:r>
      <w:r w:rsidR="00BD7FE5">
        <w:rPr>
          <w:lang w:val="en-GB"/>
        </w:rPr>
        <w:fldChar w:fldCharType="end"/>
      </w:r>
      <w:r w:rsidR="00BD7FE5">
        <w:rPr>
          <w:lang w:val="en-GB"/>
        </w:rPr>
        <w:t>)</w:t>
      </w:r>
      <w:r w:rsidR="00F46461">
        <w:rPr>
          <w:lang w:val="en-GB"/>
        </w:rPr>
        <w:t>.</w:t>
      </w:r>
      <w:r>
        <w:rPr>
          <w:lang w:val="en-GB"/>
        </w:rPr>
        <w:t xml:space="preserve"> </w:t>
      </w:r>
      <w:r w:rsidR="00BD7FE5">
        <w:rPr>
          <w:lang w:val="en-GB"/>
        </w:rPr>
        <w:t>Additionally, the genus layer</w:t>
      </w:r>
      <w:r w:rsidR="00CA251C">
        <w:rPr>
          <w:lang w:val="en-GB"/>
        </w:rPr>
        <w:t xml:space="preserve"> does not seem to provide much </w:t>
      </w:r>
      <w:r w:rsidR="00BD7FE5">
        <w:rPr>
          <w:lang w:val="en-GB"/>
        </w:rPr>
        <w:t xml:space="preserve">by itself </w:t>
      </w:r>
      <w:r w:rsidR="00CA251C">
        <w:rPr>
          <w:lang w:val="en-GB"/>
        </w:rPr>
        <w:t>separating power. This is possibly because the microbial information is not directly related to the phenotype and thus does not provide enough explaining power by itself.</w:t>
      </w:r>
    </w:p>
    <w:p w14:paraId="79D5B5F0" w14:textId="77777777" w:rsidR="00AD7BCD" w:rsidRDefault="00AD7BCD" w:rsidP="00AD7BCD">
      <w:pPr>
        <w:keepNext/>
      </w:pPr>
      <w:r w:rsidRPr="00AD7BCD">
        <w:rPr>
          <w:noProof/>
          <w:lang w:val="en-GB"/>
        </w:rPr>
        <w:drawing>
          <wp:inline distT="0" distB="0" distL="0" distR="0" wp14:anchorId="4208B0BA" wp14:editId="2E671B5C">
            <wp:extent cx="3768090" cy="1256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768090" cy="1256030"/>
                    </a:xfrm>
                    <a:prstGeom prst="rect">
                      <a:avLst/>
                    </a:prstGeom>
                  </pic:spPr>
                </pic:pic>
              </a:graphicData>
            </a:graphic>
          </wp:inline>
        </w:drawing>
      </w:r>
    </w:p>
    <w:p w14:paraId="1E6AD275" w14:textId="72E5D2A0" w:rsidR="006B2F31" w:rsidRPr="006B2F31" w:rsidRDefault="00AD7BCD" w:rsidP="006B2F31">
      <w:pPr>
        <w:pStyle w:val="Caption"/>
      </w:pPr>
      <w:bookmarkStart w:id="0" w:name="_Ref121920412"/>
      <w:r>
        <w:t xml:space="preserve">Figure </w:t>
      </w:r>
      <w:fldSimple w:instr=" SEQ Figure \* ARABIC ">
        <w:r w:rsidR="00EE7197">
          <w:rPr>
            <w:noProof/>
          </w:rPr>
          <w:t>1</w:t>
        </w:r>
      </w:fldSimple>
      <w:bookmarkEnd w:id="0"/>
      <w:r>
        <w:t xml:space="preserve">: </w:t>
      </w:r>
      <w:r w:rsidR="00944486">
        <w:t xml:space="preserve">tumor PCA of STAD for all modalities with no features selected </w:t>
      </w:r>
    </w:p>
    <w:p w14:paraId="5B7C04D9" w14:textId="2780205E" w:rsidR="00BD7FE5" w:rsidRDefault="00BD7FE5" w:rsidP="00BD7FE5">
      <w:pPr>
        <w:rPr>
          <w:lang w:val="en-GB"/>
        </w:rPr>
      </w:pPr>
      <w:r>
        <w:rPr>
          <w:lang w:val="en-GB"/>
        </w:rPr>
        <w:t xml:space="preserve">This result is consistent across cancer types (i.e. for COAD, ESCA and HNSC). The results for these additional cancer types can be found in the appendix. </w:t>
      </w:r>
    </w:p>
    <w:p w14:paraId="6356DFB6" w14:textId="2E799124" w:rsidR="00CA251C" w:rsidRDefault="00BD7FE5" w:rsidP="00CA251C">
      <w:pPr>
        <w:pStyle w:val="Heading3"/>
        <w:rPr>
          <w:lang w:val="en-GB"/>
        </w:rPr>
      </w:pPr>
      <w:r>
        <w:rPr>
          <w:lang w:val="en-GB"/>
        </w:rPr>
        <w:t>Results are consistent across feature selection amounts</w:t>
      </w:r>
    </w:p>
    <w:p w14:paraId="799C5606" w14:textId="2147063F" w:rsidR="00AD7BCD" w:rsidRDefault="00AD7BCD" w:rsidP="00AD7BCD">
      <w:pPr>
        <w:rPr>
          <w:lang w:val="en-GB"/>
        </w:rPr>
      </w:pPr>
      <w:r>
        <w:rPr>
          <w:lang w:val="en-GB"/>
        </w:rPr>
        <w:t>For PCA, performing feature selection leads to increased separation.</w:t>
      </w:r>
    </w:p>
    <w:p w14:paraId="3CC76A7D" w14:textId="443BE2DA" w:rsidR="005064C9" w:rsidRPr="00AD7BCD" w:rsidRDefault="005064C9" w:rsidP="00AD7BCD">
      <w:pPr>
        <w:rPr>
          <w:lang w:val="en-GB"/>
        </w:rPr>
      </w:pPr>
      <w:r>
        <w:rPr>
          <w:lang w:val="en-GB"/>
        </w:rPr>
        <w:lastRenderedPageBreak/>
        <w:t xml:space="preserve">For </w:t>
      </w:r>
      <w:proofErr w:type="spellStart"/>
      <w:r>
        <w:rPr>
          <w:lang w:val="en-GB"/>
        </w:rPr>
        <w:t>tumor</w:t>
      </w:r>
      <w:proofErr w:type="spellEnd"/>
      <w:r>
        <w:rPr>
          <w:lang w:val="en-GB"/>
        </w:rPr>
        <w:t xml:space="preserve"> versus normal prediction, features (0,5,10) exhibit about the same </w:t>
      </w:r>
      <w:proofErr w:type="spellStart"/>
      <w:r>
        <w:rPr>
          <w:lang w:val="en-GB"/>
        </w:rPr>
        <w:t>behavior</w:t>
      </w:r>
      <w:proofErr w:type="spellEnd"/>
      <w:r>
        <w:rPr>
          <w:lang w:val="en-GB"/>
        </w:rPr>
        <w:t xml:space="preserve">. GE tends to </w:t>
      </w:r>
      <w:r w:rsidR="00194A83">
        <w:rPr>
          <w:lang w:val="en-GB"/>
        </w:rPr>
        <w:t xml:space="preserve">for </w:t>
      </w:r>
      <w:r>
        <w:rPr>
          <w:lang w:val="en-GB"/>
        </w:rPr>
        <w:t xml:space="preserve">show much better separation than genus, and </w:t>
      </w:r>
      <w:proofErr w:type="spellStart"/>
      <w:r>
        <w:rPr>
          <w:lang w:val="en-GB"/>
        </w:rPr>
        <w:t>GE+Genus</w:t>
      </w:r>
      <w:proofErr w:type="spellEnd"/>
      <w:r>
        <w:rPr>
          <w:lang w:val="en-GB"/>
        </w:rPr>
        <w:t xml:space="preserve"> is almost exactly the same as just GE, possibly because GE has much more features, and when features are selected, the selected features are probably GE features.</w:t>
      </w:r>
    </w:p>
    <w:p w14:paraId="5C90FE97" w14:textId="63C966D5" w:rsidR="00CA251C" w:rsidRDefault="00BD7FE5" w:rsidP="00CA251C">
      <w:pPr>
        <w:pStyle w:val="Heading3"/>
        <w:rPr>
          <w:lang w:val="en-GB"/>
        </w:rPr>
      </w:pPr>
      <w:r w:rsidRPr="00BD7FE5">
        <w:rPr>
          <w:lang w:val="en-GB"/>
        </w:rPr>
        <w:t xml:space="preserve">Using different </w:t>
      </w:r>
      <w:r>
        <w:rPr>
          <w:lang w:val="en-GB"/>
        </w:rPr>
        <w:t xml:space="preserve">dimensionality </w:t>
      </w:r>
      <w:r w:rsidRPr="00BD7FE5">
        <w:rPr>
          <w:lang w:val="en-GB"/>
        </w:rPr>
        <w:t xml:space="preserve">reduction techniques </w:t>
      </w:r>
      <w:r>
        <w:rPr>
          <w:lang w:val="en-GB"/>
        </w:rPr>
        <w:t>does not offer additional separation</w:t>
      </w:r>
    </w:p>
    <w:p w14:paraId="407ADC36" w14:textId="0804ADF0" w:rsidR="00BD7FE5" w:rsidRPr="00BD7FE5" w:rsidRDefault="00BD7FE5" w:rsidP="00BD7FE5">
      <w:pPr>
        <w:rPr>
          <w:lang w:val="en-GB"/>
        </w:rPr>
      </w:pPr>
      <w:r>
        <w:rPr>
          <w:lang w:val="en-GB"/>
        </w:rPr>
        <w:t>To determine whether the lack of separation of the holo-</w:t>
      </w:r>
      <w:proofErr w:type="spellStart"/>
      <w:r>
        <w:rPr>
          <w:lang w:val="en-GB"/>
        </w:rPr>
        <w:t>omic</w:t>
      </w:r>
      <w:proofErr w:type="spellEnd"/>
      <w:r>
        <w:rPr>
          <w:lang w:val="en-GB"/>
        </w:rPr>
        <w:t xml:space="preserve"> approach was due to the dimensionality reduction method chosen, </w:t>
      </w:r>
      <w:r>
        <w:t>we repeated the above experiment using t-SNE.</w:t>
      </w:r>
    </w:p>
    <w:p w14:paraId="616D64B9" w14:textId="77777777" w:rsidR="00AD7BCD" w:rsidRPr="00F46461" w:rsidRDefault="00AD7BCD" w:rsidP="00AD7BCD">
      <w:pPr>
        <w:keepNext/>
        <w:rPr>
          <w:lang w:val="nl-NL"/>
        </w:rPr>
      </w:pPr>
      <w:r w:rsidRPr="00AD7BCD">
        <w:rPr>
          <w:noProof/>
          <w:lang w:val="en-GB"/>
        </w:rPr>
        <w:drawing>
          <wp:inline distT="0" distB="0" distL="0" distR="0" wp14:anchorId="4DB01B63" wp14:editId="2D0644CF">
            <wp:extent cx="3747135" cy="1249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747135" cy="1249045"/>
                    </a:xfrm>
                    <a:prstGeom prst="rect">
                      <a:avLst/>
                    </a:prstGeom>
                  </pic:spPr>
                </pic:pic>
              </a:graphicData>
            </a:graphic>
          </wp:inline>
        </w:drawing>
      </w:r>
    </w:p>
    <w:p w14:paraId="69F73859" w14:textId="282EBAE9" w:rsidR="00AD7BCD" w:rsidRDefault="00AD7BCD" w:rsidP="00AD7BCD">
      <w:pPr>
        <w:pStyle w:val="Caption"/>
      </w:pPr>
      <w:bookmarkStart w:id="1" w:name="_Ref121920839"/>
      <w:r>
        <w:t xml:space="preserve">Figure </w:t>
      </w:r>
      <w:fldSimple w:instr=" SEQ Figure \* ARABIC ">
        <w:r w:rsidR="00EE7197">
          <w:rPr>
            <w:noProof/>
          </w:rPr>
          <w:t>2</w:t>
        </w:r>
      </w:fldSimple>
      <w:bookmarkEnd w:id="1"/>
      <w:r>
        <w:t xml:space="preserve">: </w:t>
      </w:r>
      <w:bookmarkStart w:id="2" w:name="_Hlk121315852"/>
      <w:r w:rsidR="006B2F31">
        <w:t xml:space="preserve">tumor </w:t>
      </w:r>
      <w:r>
        <w:t xml:space="preserve">t-SNE of </w:t>
      </w:r>
      <w:r w:rsidR="00944486">
        <w:t xml:space="preserve">STAD for all </w:t>
      </w:r>
      <w:r>
        <w:t>modalities</w:t>
      </w:r>
      <w:r w:rsidR="00944486">
        <w:t xml:space="preserve"> with no features selected</w:t>
      </w:r>
      <w:bookmarkEnd w:id="2"/>
      <w:r w:rsidR="00944486">
        <w:t>.</w:t>
      </w:r>
    </w:p>
    <w:p w14:paraId="2C922B7B" w14:textId="7E4E26F5" w:rsidR="002663EE" w:rsidRPr="00AD7BCD" w:rsidRDefault="009F7DF1" w:rsidP="00AD7BCD">
      <w:pPr>
        <w:rPr>
          <w:lang w:val="en-GB"/>
        </w:rPr>
      </w:pPr>
      <w:r>
        <w:rPr>
          <w:lang w:val="en-GB"/>
        </w:rPr>
        <w:t>With t-SNE, using the overlapping gene expression with genus data again provides a nearly identical amount of separation as when only using gene expression data (</w:t>
      </w:r>
      <w:r>
        <w:rPr>
          <w:lang w:val="en-GB"/>
        </w:rPr>
        <w:fldChar w:fldCharType="begin"/>
      </w:r>
      <w:r>
        <w:rPr>
          <w:lang w:val="en-GB"/>
        </w:rPr>
        <w:instrText xml:space="preserve"> REF _Ref121920839 \h </w:instrText>
      </w:r>
      <w:r>
        <w:rPr>
          <w:lang w:val="en-GB"/>
        </w:rPr>
      </w:r>
      <w:r>
        <w:rPr>
          <w:lang w:val="en-GB"/>
        </w:rPr>
        <w:fldChar w:fldCharType="separate"/>
      </w:r>
      <w:r>
        <w:t xml:space="preserve">Figure </w:t>
      </w:r>
      <w:r>
        <w:rPr>
          <w:noProof/>
        </w:rPr>
        <w:t>2</w:t>
      </w:r>
      <w:r>
        <w:rPr>
          <w:lang w:val="en-GB"/>
        </w:rPr>
        <w:fldChar w:fldCharType="end"/>
      </w:r>
      <w:r>
        <w:rPr>
          <w:lang w:val="en-GB"/>
        </w:rPr>
        <w:t xml:space="preserve">). Similar to PCA, </w:t>
      </w:r>
      <w:r w:rsidR="002663EE">
        <w:rPr>
          <w:lang w:val="en-GB"/>
        </w:rPr>
        <w:t>using only the g</w:t>
      </w:r>
      <w:r w:rsidR="00AD7BCD">
        <w:rPr>
          <w:lang w:val="en-GB"/>
        </w:rPr>
        <w:t>enus</w:t>
      </w:r>
      <w:r w:rsidR="002663EE">
        <w:rPr>
          <w:lang w:val="en-GB"/>
        </w:rPr>
        <w:t xml:space="preserve"> modality provides the worst separation</w:t>
      </w:r>
      <w:r>
        <w:rPr>
          <w:lang w:val="en-GB"/>
        </w:rPr>
        <w:t xml:space="preserve"> between classes .</w:t>
      </w:r>
      <w:r w:rsidR="005064C9">
        <w:rPr>
          <w:lang w:val="en-GB"/>
        </w:rPr>
        <w:t xml:space="preserve"> </w:t>
      </w:r>
    </w:p>
    <w:p w14:paraId="47C876C6" w14:textId="06058A30" w:rsidR="006B2F31" w:rsidRDefault="001E56AF" w:rsidP="006B2F31">
      <w:pPr>
        <w:pStyle w:val="Heading3"/>
        <w:rPr>
          <w:lang w:val="en-GB"/>
        </w:rPr>
      </w:pPr>
      <w:r>
        <w:rPr>
          <w:lang w:val="en-GB"/>
        </w:rPr>
        <w:t>There is u</w:t>
      </w:r>
      <w:r w:rsidR="006B2F31">
        <w:rPr>
          <w:lang w:val="en-GB"/>
        </w:rPr>
        <w:t>nclear</w:t>
      </w:r>
      <w:r>
        <w:rPr>
          <w:lang w:val="en-GB"/>
        </w:rPr>
        <w:t xml:space="preserve"> class</w:t>
      </w:r>
      <w:r w:rsidR="006B2F31">
        <w:rPr>
          <w:lang w:val="en-GB"/>
        </w:rPr>
        <w:t xml:space="preserve"> separation for </w:t>
      </w:r>
      <w:r>
        <w:rPr>
          <w:lang w:val="en-GB"/>
        </w:rPr>
        <w:t xml:space="preserve">the </w:t>
      </w:r>
      <w:r w:rsidR="006B2F31">
        <w:rPr>
          <w:lang w:val="en-GB"/>
        </w:rPr>
        <w:t>stage class</w:t>
      </w:r>
    </w:p>
    <w:p w14:paraId="1D92F4B5" w14:textId="54FC5EB7" w:rsidR="001E56AF" w:rsidRPr="001E56AF" w:rsidRDefault="001E56AF" w:rsidP="001E56AF">
      <w:pPr>
        <w:rPr>
          <w:lang w:val="en-GB"/>
        </w:rPr>
      </w:pPr>
    </w:p>
    <w:p w14:paraId="70815D8C" w14:textId="4E788D49" w:rsidR="006B2F31" w:rsidRPr="006B2F31" w:rsidRDefault="001E56AF" w:rsidP="006B2F31">
      <w:pPr>
        <w:rPr>
          <w:lang w:val="en-GB"/>
        </w:rPr>
      </w:pPr>
      <w:r>
        <w:rPr>
          <w:lang w:val="en-GB"/>
        </w:rPr>
        <w:t xml:space="preserve">In order to determine whether the above results were due to the classification endpoint chosen, we repeated the results using a different endpoint, the </w:t>
      </w:r>
      <w:proofErr w:type="spellStart"/>
      <w:r>
        <w:rPr>
          <w:lang w:val="en-GB"/>
        </w:rPr>
        <w:t>tumor</w:t>
      </w:r>
      <w:proofErr w:type="spellEnd"/>
      <w:r>
        <w:rPr>
          <w:lang w:val="en-GB"/>
        </w:rPr>
        <w:t xml:space="preserve"> stage. </w:t>
      </w:r>
      <w:r w:rsidR="006B2F31">
        <w:rPr>
          <w:lang w:val="en-GB"/>
        </w:rPr>
        <w:t>For the stage class endpoint, there is not much separation to be seen across any of the modalities</w:t>
      </w:r>
      <w:r>
        <w:rPr>
          <w:lang w:val="en-GB"/>
        </w:rPr>
        <w:t xml:space="preserve"> (</w:t>
      </w:r>
      <w:r>
        <w:rPr>
          <w:lang w:val="en-GB"/>
        </w:rPr>
        <w:fldChar w:fldCharType="begin"/>
      </w:r>
      <w:r>
        <w:rPr>
          <w:lang w:val="en-GB"/>
        </w:rPr>
        <w:instrText xml:space="preserve"> REF _Ref121921085 \h </w:instrText>
      </w:r>
      <w:r>
        <w:rPr>
          <w:lang w:val="en-GB"/>
        </w:rPr>
      </w:r>
      <w:r>
        <w:rPr>
          <w:lang w:val="en-GB"/>
        </w:rPr>
        <w:fldChar w:fldCharType="separate"/>
      </w:r>
      <w:r>
        <w:t xml:space="preserve">Figure </w:t>
      </w:r>
      <w:r>
        <w:rPr>
          <w:noProof/>
        </w:rPr>
        <w:t>3</w:t>
      </w:r>
      <w:r>
        <w:rPr>
          <w:lang w:val="en-GB"/>
        </w:rPr>
        <w:fldChar w:fldCharType="end"/>
      </w:r>
      <w:r>
        <w:rPr>
          <w:lang w:val="en-GB"/>
        </w:rPr>
        <w:t>)</w:t>
      </w:r>
      <w:r w:rsidR="006B2F31">
        <w:rPr>
          <w:lang w:val="en-GB"/>
        </w:rPr>
        <w:t xml:space="preserve">. This is likely because of the class imbalance. </w:t>
      </w:r>
    </w:p>
    <w:p w14:paraId="2DEEB8F9" w14:textId="77777777" w:rsidR="006B2F31" w:rsidRDefault="006B2F31" w:rsidP="006B2F31">
      <w:pPr>
        <w:keepNext/>
      </w:pPr>
      <w:r w:rsidRPr="006B2F31">
        <w:rPr>
          <w:noProof/>
          <w:lang w:val="en-GB"/>
        </w:rPr>
        <w:drawing>
          <wp:inline distT="0" distB="0" distL="0" distR="0" wp14:anchorId="245B9BCC" wp14:editId="22B8BA4B">
            <wp:extent cx="3781425" cy="126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781425" cy="1260475"/>
                    </a:xfrm>
                    <a:prstGeom prst="rect">
                      <a:avLst/>
                    </a:prstGeom>
                  </pic:spPr>
                </pic:pic>
              </a:graphicData>
            </a:graphic>
          </wp:inline>
        </w:drawing>
      </w:r>
    </w:p>
    <w:p w14:paraId="3A3AFEB3" w14:textId="3C3DCE3A" w:rsidR="006B2F31" w:rsidRDefault="006B2F31" w:rsidP="006B2F31">
      <w:pPr>
        <w:pStyle w:val="Caption"/>
      </w:pPr>
      <w:bookmarkStart w:id="3" w:name="_Ref121921085"/>
      <w:r>
        <w:t xml:space="preserve">Figure </w:t>
      </w:r>
      <w:fldSimple w:instr=" SEQ Figure \* ARABIC ">
        <w:r w:rsidR="00EE7197">
          <w:rPr>
            <w:noProof/>
          </w:rPr>
          <w:t>3</w:t>
        </w:r>
      </w:fldSimple>
      <w:bookmarkEnd w:id="3"/>
      <w:r>
        <w:t xml:space="preserve">: </w:t>
      </w:r>
      <w:r w:rsidR="00944486">
        <w:t xml:space="preserve">stage </w:t>
      </w:r>
      <w:r w:rsidR="001E56AF">
        <w:t xml:space="preserve">PCA </w:t>
      </w:r>
      <w:r w:rsidR="00944486">
        <w:t>of STAD for all modalities with no features selected</w:t>
      </w:r>
    </w:p>
    <w:p w14:paraId="0449F57E" w14:textId="1C77DF07" w:rsidR="006B2F31" w:rsidRPr="006B2F31" w:rsidRDefault="006B2F31" w:rsidP="006B2F31">
      <w:pPr>
        <w:rPr>
          <w:lang w:val="en-GB"/>
        </w:rPr>
      </w:pPr>
      <w:r>
        <w:rPr>
          <w:lang w:val="en-GB"/>
        </w:rPr>
        <w:t>Again, there is not much difference between</w:t>
      </w:r>
      <w:r w:rsidR="001E56AF">
        <w:rPr>
          <w:lang w:val="en-GB"/>
        </w:rPr>
        <w:t xml:space="preserve"> the</w:t>
      </w:r>
      <w:r>
        <w:rPr>
          <w:lang w:val="en-GB"/>
        </w:rPr>
        <w:t xml:space="preserve"> GE and the overlapped set. The</w:t>
      </w:r>
      <w:r w:rsidR="001E56AF">
        <w:rPr>
          <w:lang w:val="en-GB"/>
        </w:rPr>
        <w:t>se</w:t>
      </w:r>
      <w:r>
        <w:rPr>
          <w:lang w:val="en-GB"/>
        </w:rPr>
        <w:t xml:space="preserve"> results are similar </w:t>
      </w:r>
      <w:r w:rsidR="001E56AF">
        <w:rPr>
          <w:lang w:val="en-GB"/>
        </w:rPr>
        <w:t xml:space="preserve">when using </w:t>
      </w:r>
      <w:r>
        <w:rPr>
          <w:lang w:val="en-GB"/>
        </w:rPr>
        <w:t>t-SNE.</w:t>
      </w:r>
    </w:p>
    <w:p w14:paraId="64EA133F" w14:textId="7D434B41" w:rsidR="00CA251C" w:rsidRDefault="00CA251C" w:rsidP="00CA251C">
      <w:pPr>
        <w:pStyle w:val="Heading3"/>
        <w:rPr>
          <w:lang w:val="en-GB"/>
        </w:rPr>
      </w:pPr>
      <w:r>
        <w:rPr>
          <w:lang w:val="en-GB"/>
        </w:rPr>
        <w:t>Exploring the modalities balance of integrated features</w:t>
      </w:r>
    </w:p>
    <w:p w14:paraId="0974DC75" w14:textId="73C9889B" w:rsidR="00A27069" w:rsidRDefault="009105F3" w:rsidP="009105F3">
      <w:pPr>
        <w:rPr>
          <w:lang w:val="en-GB"/>
        </w:rPr>
      </w:pPr>
      <w:r>
        <w:rPr>
          <w:lang w:val="en-GB"/>
        </w:rPr>
        <w:t>One problem with the above is that the integration occurs via simple concatenation, and if the feature selection process simply selects features from only one data set, then the integration performance will approximate that of the individual data set.</w:t>
      </w:r>
    </w:p>
    <w:p w14:paraId="4815D36A" w14:textId="7236491D" w:rsidR="009105F3" w:rsidRDefault="00CF5CC5" w:rsidP="008D7EC1">
      <w:pPr>
        <w:pStyle w:val="Heading2"/>
        <w:rPr>
          <w:lang w:val="en-GB"/>
        </w:rPr>
      </w:pPr>
      <w:r>
        <w:rPr>
          <w:lang w:val="en-GB"/>
        </w:rPr>
        <w:t>There is little quantitative performance improvement with the h</w:t>
      </w:r>
      <w:r w:rsidR="008D7EC1">
        <w:rPr>
          <w:lang w:val="en-GB"/>
        </w:rPr>
        <w:t>olo-</w:t>
      </w:r>
      <w:proofErr w:type="spellStart"/>
      <w:r w:rsidR="008D7EC1">
        <w:rPr>
          <w:lang w:val="en-GB"/>
        </w:rPr>
        <w:t>omic</w:t>
      </w:r>
      <w:proofErr w:type="spellEnd"/>
      <w:r>
        <w:rPr>
          <w:lang w:val="en-GB"/>
        </w:rPr>
        <w:t xml:space="preserve"> approach</w:t>
      </w:r>
    </w:p>
    <w:p w14:paraId="69E3D146" w14:textId="77777777" w:rsidR="00323235" w:rsidRDefault="00194A83" w:rsidP="00194A83">
      <w:pPr>
        <w:rPr>
          <w:lang w:val="en-GB"/>
        </w:rPr>
      </w:pPr>
      <w:r>
        <w:rPr>
          <w:lang w:val="en-GB"/>
        </w:rPr>
        <w:t xml:space="preserve">To investigate the possible benefits of a holistic view of omics integration, we used the different omics layers and microbial data in a predictive model for numerous cancer diagnostic endpoints. </w:t>
      </w:r>
      <w:r w:rsidR="00323235">
        <w:rPr>
          <w:lang w:val="en-GB"/>
        </w:rPr>
        <w:t xml:space="preserve">The </w:t>
      </w:r>
      <w:r w:rsidR="00323235">
        <w:rPr>
          <w:lang w:val="en-GB"/>
        </w:rPr>
        <w:lastRenderedPageBreak/>
        <w:t xml:space="preserve">performance of the predictive model in different settings was used as a measure of the usefulness of each modality. </w:t>
      </w:r>
    </w:p>
    <w:p w14:paraId="0A692F77" w14:textId="32299E34" w:rsidR="00194A83" w:rsidRDefault="00323235" w:rsidP="00194A83">
      <w:pPr>
        <w:rPr>
          <w:lang w:val="en-GB"/>
        </w:rPr>
      </w:pPr>
      <w:r>
        <w:rPr>
          <w:lang w:val="en-GB"/>
        </w:rPr>
        <w:t>We</w:t>
      </w:r>
      <w:r w:rsidR="00E34420">
        <w:rPr>
          <w:lang w:val="en-GB"/>
        </w:rPr>
        <w:t xml:space="preserve"> use random sampling to</w:t>
      </w:r>
      <w:r>
        <w:rPr>
          <w:lang w:val="en-GB"/>
        </w:rPr>
        <w:t xml:space="preserve"> </w:t>
      </w:r>
      <w:r w:rsidR="00194A83">
        <w:rPr>
          <w:lang w:val="en-GB"/>
        </w:rPr>
        <w:t>randomly split the data set with a stratified split into 80% training and 20% testing n times. In each iteration, a feature selection method is first performed on the training set. These features are then used to train a model on this same training set. The performance of the model is then tested on the testing set for the available endpoints. This is repeated for each cancer, layer and feature amount. The table below displays the combinatorial options of the pipeline.</w:t>
      </w:r>
    </w:p>
    <w:tbl>
      <w:tblPr>
        <w:tblStyle w:val="TableGrid"/>
        <w:tblW w:w="0" w:type="auto"/>
        <w:tblLook w:val="04A0" w:firstRow="1" w:lastRow="0" w:firstColumn="1" w:lastColumn="0" w:noHBand="0" w:noVBand="1"/>
      </w:tblPr>
      <w:tblGrid>
        <w:gridCol w:w="4621"/>
        <w:gridCol w:w="4621"/>
      </w:tblGrid>
      <w:tr w:rsidR="00194A83" w14:paraId="7CD965AC" w14:textId="77777777" w:rsidTr="00627296">
        <w:tc>
          <w:tcPr>
            <w:tcW w:w="4621" w:type="dxa"/>
          </w:tcPr>
          <w:p w14:paraId="004E9C9C" w14:textId="77777777" w:rsidR="00194A83" w:rsidRDefault="00194A83" w:rsidP="00627296">
            <w:pPr>
              <w:rPr>
                <w:lang w:val="en-GB"/>
              </w:rPr>
            </w:pPr>
            <w:r>
              <w:rPr>
                <w:lang w:val="en-GB"/>
              </w:rPr>
              <w:t>Type</w:t>
            </w:r>
          </w:p>
        </w:tc>
        <w:tc>
          <w:tcPr>
            <w:tcW w:w="4621" w:type="dxa"/>
          </w:tcPr>
          <w:p w14:paraId="62DABEDF" w14:textId="77777777" w:rsidR="00194A83" w:rsidRDefault="00194A83" w:rsidP="00627296">
            <w:pPr>
              <w:rPr>
                <w:lang w:val="en-GB"/>
              </w:rPr>
            </w:pPr>
            <w:r>
              <w:rPr>
                <w:lang w:val="en-GB"/>
              </w:rPr>
              <w:t>Values</w:t>
            </w:r>
          </w:p>
        </w:tc>
      </w:tr>
      <w:tr w:rsidR="00194A83" w14:paraId="441B9575" w14:textId="77777777" w:rsidTr="00627296">
        <w:tc>
          <w:tcPr>
            <w:tcW w:w="4621" w:type="dxa"/>
          </w:tcPr>
          <w:p w14:paraId="3B1E7EF5" w14:textId="77777777" w:rsidR="00194A83" w:rsidRDefault="00194A83" w:rsidP="00627296">
            <w:pPr>
              <w:rPr>
                <w:lang w:val="en-GB"/>
              </w:rPr>
            </w:pPr>
            <w:r>
              <w:rPr>
                <w:lang w:val="en-GB"/>
              </w:rPr>
              <w:t>Cancers</w:t>
            </w:r>
          </w:p>
        </w:tc>
        <w:tc>
          <w:tcPr>
            <w:tcW w:w="4621" w:type="dxa"/>
          </w:tcPr>
          <w:p w14:paraId="1BF94011" w14:textId="77777777" w:rsidR="00194A83" w:rsidRPr="004E4EC1" w:rsidRDefault="00194A83" w:rsidP="00627296">
            <w:r w:rsidRPr="004E4EC1">
              <w:rPr>
                <w:lang w:val="en-GB"/>
              </w:rPr>
              <w:t>COAD, ESCA, HNSC and STAD</w:t>
            </w:r>
          </w:p>
        </w:tc>
      </w:tr>
      <w:tr w:rsidR="00194A83" w14:paraId="70D55CDD" w14:textId="77777777" w:rsidTr="00627296">
        <w:tc>
          <w:tcPr>
            <w:tcW w:w="4621" w:type="dxa"/>
          </w:tcPr>
          <w:p w14:paraId="714175B4" w14:textId="77777777" w:rsidR="00194A83" w:rsidRDefault="00194A83" w:rsidP="00627296">
            <w:pPr>
              <w:rPr>
                <w:lang w:val="en-GB"/>
              </w:rPr>
            </w:pPr>
            <w:r>
              <w:rPr>
                <w:lang w:val="en-GB"/>
              </w:rPr>
              <w:t>Endpoint</w:t>
            </w:r>
          </w:p>
        </w:tc>
        <w:tc>
          <w:tcPr>
            <w:tcW w:w="4621" w:type="dxa"/>
          </w:tcPr>
          <w:p w14:paraId="774D702D" w14:textId="77777777" w:rsidR="00194A83" w:rsidRPr="004E4EC1" w:rsidRDefault="00194A83" w:rsidP="00627296">
            <w:pPr>
              <w:rPr>
                <w:lang w:val="en-GB"/>
              </w:rPr>
            </w:pPr>
            <w:proofErr w:type="spellStart"/>
            <w:r>
              <w:rPr>
                <w:lang w:val="en-GB"/>
              </w:rPr>
              <w:t>Tumor</w:t>
            </w:r>
            <w:proofErr w:type="spellEnd"/>
            <w:r>
              <w:rPr>
                <w:lang w:val="en-GB"/>
              </w:rPr>
              <w:t xml:space="preserve"> vs Normal, Stage</w:t>
            </w:r>
          </w:p>
        </w:tc>
      </w:tr>
      <w:tr w:rsidR="00194A83" w14:paraId="66DCE643" w14:textId="77777777" w:rsidTr="00627296">
        <w:tc>
          <w:tcPr>
            <w:tcW w:w="4621" w:type="dxa"/>
          </w:tcPr>
          <w:p w14:paraId="4458877E" w14:textId="77777777" w:rsidR="00194A83" w:rsidRDefault="00194A83" w:rsidP="00627296">
            <w:pPr>
              <w:rPr>
                <w:lang w:val="en-GB"/>
              </w:rPr>
            </w:pPr>
            <w:r>
              <w:rPr>
                <w:lang w:val="en-GB"/>
              </w:rPr>
              <w:t>Layers</w:t>
            </w:r>
          </w:p>
        </w:tc>
        <w:tc>
          <w:tcPr>
            <w:tcW w:w="4621" w:type="dxa"/>
          </w:tcPr>
          <w:p w14:paraId="1352B455" w14:textId="77777777" w:rsidR="00194A83" w:rsidRDefault="00194A83" w:rsidP="00627296">
            <w:pPr>
              <w:rPr>
                <w:lang w:val="en-GB"/>
              </w:rPr>
            </w:pPr>
            <w:r w:rsidRPr="004E4EC1">
              <w:t xml:space="preserve">GE, Genus, GE </w:t>
            </w:r>
            <w:r w:rsidRPr="004E4EC1">
              <w:rPr>
                <w:lang w:val="en-GB"/>
              </w:rPr>
              <w:t>∩</w:t>
            </w:r>
            <w:r w:rsidRPr="004E4EC1">
              <w:t xml:space="preserve"> Genus</w:t>
            </w:r>
          </w:p>
        </w:tc>
      </w:tr>
      <w:tr w:rsidR="00194A83" w14:paraId="3DA459D7" w14:textId="77777777" w:rsidTr="00627296">
        <w:tc>
          <w:tcPr>
            <w:tcW w:w="4621" w:type="dxa"/>
          </w:tcPr>
          <w:p w14:paraId="437A79D2" w14:textId="77777777" w:rsidR="00194A83" w:rsidRDefault="00194A83" w:rsidP="00627296">
            <w:pPr>
              <w:rPr>
                <w:lang w:val="en-GB"/>
              </w:rPr>
            </w:pPr>
            <w:r>
              <w:rPr>
                <w:lang w:val="en-GB"/>
              </w:rPr>
              <w:t>Feature Selection Method</w:t>
            </w:r>
          </w:p>
        </w:tc>
        <w:tc>
          <w:tcPr>
            <w:tcW w:w="4621" w:type="dxa"/>
          </w:tcPr>
          <w:p w14:paraId="4CA05331" w14:textId="77777777" w:rsidR="00194A83" w:rsidRPr="004E4EC1" w:rsidRDefault="00194A83" w:rsidP="00627296">
            <w:r>
              <w:t xml:space="preserve">Chi2 and </w:t>
            </w:r>
            <w:proofErr w:type="spellStart"/>
            <w:r>
              <w:t>Linreg</w:t>
            </w:r>
            <w:proofErr w:type="spellEnd"/>
          </w:p>
        </w:tc>
      </w:tr>
      <w:tr w:rsidR="00194A83" w14:paraId="63941A0C" w14:textId="77777777" w:rsidTr="00627296">
        <w:tc>
          <w:tcPr>
            <w:tcW w:w="4621" w:type="dxa"/>
          </w:tcPr>
          <w:p w14:paraId="4045C579" w14:textId="77777777" w:rsidR="00194A83" w:rsidRPr="0053720E" w:rsidRDefault="00194A83" w:rsidP="00627296">
            <w:pPr>
              <w:rPr>
                <w:b/>
                <w:bCs/>
                <w:lang w:val="en-GB"/>
              </w:rPr>
            </w:pPr>
            <w:r w:rsidRPr="0053720E">
              <w:rPr>
                <w:b/>
                <w:bCs/>
                <w:lang w:val="en-GB"/>
              </w:rPr>
              <w:t>Prediction model</w:t>
            </w:r>
          </w:p>
          <w:p w14:paraId="3F270C08" w14:textId="77777777" w:rsidR="0053720E" w:rsidRDefault="0053720E" w:rsidP="00627296">
            <w:pPr>
              <w:rPr>
                <w:lang w:val="en-GB"/>
              </w:rPr>
            </w:pPr>
            <w:proofErr w:type="spellStart"/>
            <w:r>
              <w:rPr>
                <w:lang w:val="en-GB"/>
              </w:rPr>
              <w:t>Tumor</w:t>
            </w:r>
            <w:proofErr w:type="spellEnd"/>
            <w:r>
              <w:rPr>
                <w:lang w:val="en-GB"/>
              </w:rPr>
              <w:t xml:space="preserve"> vs Normal</w:t>
            </w:r>
          </w:p>
          <w:p w14:paraId="65175B2E" w14:textId="0E454A91" w:rsidR="0053720E" w:rsidRDefault="0053720E" w:rsidP="00627296">
            <w:pPr>
              <w:rPr>
                <w:lang w:val="en-GB"/>
              </w:rPr>
            </w:pPr>
            <w:r>
              <w:rPr>
                <w:lang w:val="en-GB"/>
              </w:rPr>
              <w:t>Stage</w:t>
            </w:r>
          </w:p>
        </w:tc>
        <w:tc>
          <w:tcPr>
            <w:tcW w:w="4621" w:type="dxa"/>
          </w:tcPr>
          <w:p w14:paraId="258FD2BB" w14:textId="77777777" w:rsidR="0053720E" w:rsidRDefault="0053720E" w:rsidP="00627296"/>
          <w:p w14:paraId="5EC97F83" w14:textId="1CE0B69E" w:rsidR="0053720E" w:rsidRDefault="00194A83" w:rsidP="00627296">
            <w:r>
              <w:t>SVM</w:t>
            </w:r>
          </w:p>
          <w:p w14:paraId="4C11D7E4" w14:textId="1C1518A7" w:rsidR="00194A83" w:rsidRPr="004E4EC1" w:rsidRDefault="0053720E" w:rsidP="00627296">
            <w:r>
              <w:t>Linear regression</w:t>
            </w:r>
          </w:p>
        </w:tc>
      </w:tr>
      <w:tr w:rsidR="00194A83" w14:paraId="2764F2BC" w14:textId="77777777" w:rsidTr="00627296">
        <w:tc>
          <w:tcPr>
            <w:tcW w:w="4621" w:type="dxa"/>
          </w:tcPr>
          <w:p w14:paraId="43B81E7E" w14:textId="77777777" w:rsidR="00194A83" w:rsidRDefault="00194A83" w:rsidP="00627296">
            <w:pPr>
              <w:rPr>
                <w:lang w:val="en-GB"/>
              </w:rPr>
            </w:pPr>
            <w:r>
              <w:rPr>
                <w:lang w:val="en-GB"/>
              </w:rPr>
              <w:t>Feature amounts</w:t>
            </w:r>
          </w:p>
        </w:tc>
        <w:tc>
          <w:tcPr>
            <w:tcW w:w="4621" w:type="dxa"/>
          </w:tcPr>
          <w:p w14:paraId="0976A357" w14:textId="77777777" w:rsidR="00194A83" w:rsidRDefault="00194A83" w:rsidP="00627296">
            <w:r>
              <w:t>6, 10, 26, 50, 100, 200, all</w:t>
            </w:r>
          </w:p>
        </w:tc>
      </w:tr>
    </w:tbl>
    <w:p w14:paraId="66C0DDA0" w14:textId="77777777" w:rsidR="00194A83" w:rsidRDefault="00194A83" w:rsidP="00194A83">
      <w:pPr>
        <w:rPr>
          <w:lang w:val="en-GB"/>
        </w:rPr>
      </w:pPr>
    </w:p>
    <w:p w14:paraId="35894E1B" w14:textId="7CD861B1" w:rsidR="00194A83" w:rsidRDefault="00194A83" w:rsidP="00194A83">
      <w:pPr>
        <w:rPr>
          <w:lang w:val="en-GB"/>
        </w:rPr>
      </w:pPr>
      <w:r>
        <w:rPr>
          <w:lang w:val="en-GB"/>
        </w:rPr>
        <w:t>The prediction models are then evaluated using the precision, recall and f1-score. This pipeline thus generates n different sets of values for these evaluation metrics. For the evaluation, we consider the average of the metric across each class value. For each combination of the value types above, the average of across the n random sampling iterations are then plotted along with their standard deviation across these iterations.</w:t>
      </w:r>
    </w:p>
    <w:p w14:paraId="1428CE99" w14:textId="193E1A37" w:rsidR="00E34420" w:rsidRDefault="00E34420" w:rsidP="00194A83">
      <w:pPr>
        <w:rPr>
          <w:lang w:val="en-GB"/>
        </w:rPr>
      </w:pPr>
      <w:r>
        <w:rPr>
          <w:lang w:val="en-GB"/>
        </w:rPr>
        <w:t xml:space="preserve">Again, this was done for stage prediction and </w:t>
      </w:r>
      <w:proofErr w:type="spellStart"/>
      <w:r>
        <w:rPr>
          <w:lang w:val="en-GB"/>
        </w:rPr>
        <w:t>tumor</w:t>
      </w:r>
      <w:proofErr w:type="spellEnd"/>
      <w:r>
        <w:rPr>
          <w:lang w:val="en-GB"/>
        </w:rPr>
        <w:t xml:space="preserve"> versus normal prediction. The predictive performance of the GE model separately, and the microbial data model were used as a baseline. The integration of both of these data sets were then compared to this baseline.</w:t>
      </w:r>
    </w:p>
    <w:p w14:paraId="7E806A0C" w14:textId="0F71BCC7" w:rsidR="000E1B94" w:rsidRPr="00194A83" w:rsidRDefault="000E1B94" w:rsidP="000E1B94">
      <w:pPr>
        <w:pStyle w:val="Heading3"/>
        <w:rPr>
          <w:lang w:val="en-GB"/>
        </w:rPr>
      </w:pPr>
      <w:r>
        <w:rPr>
          <w:lang w:val="en-GB"/>
        </w:rPr>
        <w:t>Holo-</w:t>
      </w:r>
      <w:proofErr w:type="spellStart"/>
      <w:r>
        <w:rPr>
          <w:lang w:val="en-GB"/>
        </w:rPr>
        <w:t>omic</w:t>
      </w:r>
      <w:proofErr w:type="spellEnd"/>
      <w:r>
        <w:rPr>
          <w:lang w:val="en-GB"/>
        </w:rPr>
        <w:t xml:space="preserve"> approach does not lead to improved </w:t>
      </w:r>
      <w:proofErr w:type="spellStart"/>
      <w:r>
        <w:rPr>
          <w:lang w:val="en-GB"/>
        </w:rPr>
        <w:t>tumor</w:t>
      </w:r>
      <w:proofErr w:type="spellEnd"/>
      <w:r>
        <w:rPr>
          <w:lang w:val="en-GB"/>
        </w:rPr>
        <w:t xml:space="preserve"> prediction performance</w:t>
      </w:r>
    </w:p>
    <w:p w14:paraId="4C8A0DDE" w14:textId="00240A31" w:rsidR="008D7EC1" w:rsidRDefault="008D7EC1" w:rsidP="008D7EC1">
      <w:pPr>
        <w:rPr>
          <w:lang w:val="en-GB"/>
        </w:rPr>
      </w:pPr>
      <w:r>
        <w:rPr>
          <w:lang w:val="en-GB"/>
        </w:rPr>
        <w:t>The preliminary results indicate that integrating gene expression with microbial taxonomic data does not lead to a significant improvement in prediction performance over using gene expression data alone</w:t>
      </w:r>
      <w:r w:rsidR="00E34420">
        <w:rPr>
          <w:lang w:val="en-GB"/>
        </w:rPr>
        <w:t xml:space="preserve"> (</w:t>
      </w:r>
      <w:r w:rsidR="00E34420">
        <w:rPr>
          <w:lang w:val="en-GB"/>
        </w:rPr>
        <w:fldChar w:fldCharType="begin"/>
      </w:r>
      <w:r w:rsidR="00E34420">
        <w:rPr>
          <w:lang w:val="en-GB"/>
        </w:rPr>
        <w:instrText xml:space="preserve"> REF _Ref121922446 \h </w:instrText>
      </w:r>
      <w:r w:rsidR="00E34420">
        <w:rPr>
          <w:lang w:val="en-GB"/>
        </w:rPr>
      </w:r>
      <w:r w:rsidR="00E34420">
        <w:rPr>
          <w:lang w:val="en-GB"/>
        </w:rPr>
        <w:fldChar w:fldCharType="separate"/>
      </w:r>
      <w:r w:rsidR="00E34420">
        <w:t xml:space="preserve">Figure </w:t>
      </w:r>
      <w:r w:rsidR="00E34420">
        <w:rPr>
          <w:noProof/>
        </w:rPr>
        <w:t>4</w:t>
      </w:r>
      <w:r w:rsidR="00E34420">
        <w:rPr>
          <w:lang w:val="en-GB"/>
        </w:rPr>
        <w:fldChar w:fldCharType="end"/>
      </w:r>
      <w:r w:rsidR="00E34420">
        <w:rPr>
          <w:lang w:val="en-GB"/>
        </w:rPr>
        <w:t>)</w:t>
      </w:r>
      <w:r>
        <w:rPr>
          <w:lang w:val="en-GB"/>
        </w:rPr>
        <w:t>.</w:t>
      </w:r>
      <w:r w:rsidR="00E34420">
        <w:rPr>
          <w:lang w:val="en-GB"/>
        </w:rPr>
        <w:t xml:space="preserve"> </w:t>
      </w:r>
    </w:p>
    <w:p w14:paraId="645F8F4E" w14:textId="77777777" w:rsidR="002B10C8" w:rsidRDefault="008D7EC1" w:rsidP="002B10C8">
      <w:pPr>
        <w:keepNext/>
      </w:pPr>
      <w:r w:rsidRPr="0096165F">
        <w:rPr>
          <w:noProof/>
        </w:rPr>
        <w:drawing>
          <wp:inline distT="0" distB="0" distL="0" distR="0" wp14:anchorId="3F433CE1" wp14:editId="60808B51">
            <wp:extent cx="5730240"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p>
    <w:p w14:paraId="11568389" w14:textId="2F39DAE9" w:rsidR="008D7EC1" w:rsidRDefault="002B10C8" w:rsidP="002B10C8">
      <w:pPr>
        <w:pStyle w:val="Caption"/>
        <w:rPr>
          <w:lang w:val="en-GB"/>
        </w:rPr>
      </w:pPr>
      <w:bookmarkStart w:id="4" w:name="_Ref121922446"/>
      <w:r>
        <w:t xml:space="preserve">Figure </w:t>
      </w:r>
      <w:fldSimple w:instr=" SEQ Figure \* ARABIC ">
        <w:r w:rsidR="00EE7197">
          <w:rPr>
            <w:noProof/>
          </w:rPr>
          <w:t>4</w:t>
        </w:r>
      </w:fldSimple>
      <w:bookmarkEnd w:id="4"/>
      <w:r>
        <w:t>: f1-score of tumor vs normal prediction for each cancer</w:t>
      </w:r>
    </w:p>
    <w:p w14:paraId="1E9A9C00" w14:textId="449D1753" w:rsidR="008D7EC1" w:rsidRDefault="00E34420" w:rsidP="008D7EC1">
      <w:pPr>
        <w:rPr>
          <w:lang w:val="en-GB"/>
        </w:rPr>
      </w:pPr>
      <w:r>
        <w:t>T</w:t>
      </w:r>
      <w:r w:rsidR="00F30F05">
        <w:rPr>
          <w:lang w:val="en-GB"/>
        </w:rPr>
        <w:t xml:space="preserve">his result is consistent for </w:t>
      </w:r>
      <w:proofErr w:type="spellStart"/>
      <w:r w:rsidR="00F30F05">
        <w:rPr>
          <w:lang w:val="en-GB"/>
        </w:rPr>
        <w:t>tumor</w:t>
      </w:r>
      <w:proofErr w:type="spellEnd"/>
      <w:r w:rsidR="00F30F05">
        <w:rPr>
          <w:lang w:val="en-GB"/>
        </w:rPr>
        <w:t xml:space="preserve"> versus normal prediction</w:t>
      </w:r>
      <w:r>
        <w:rPr>
          <w:lang w:val="en-GB"/>
        </w:rPr>
        <w:t>, but also</w:t>
      </w:r>
      <w:r w:rsidR="00F30F05">
        <w:rPr>
          <w:lang w:val="en-GB"/>
        </w:rPr>
        <w:t xml:space="preserve"> stage prediction</w:t>
      </w:r>
      <w:r>
        <w:rPr>
          <w:lang w:val="en-GB"/>
        </w:rPr>
        <w:t xml:space="preserve"> </w:t>
      </w:r>
      <w:r>
        <w:rPr>
          <w:lang w:val="en-GB"/>
        </w:rPr>
        <w:fldChar w:fldCharType="begin"/>
      </w:r>
      <w:r>
        <w:rPr>
          <w:lang w:val="en-GB"/>
        </w:rPr>
        <w:instrText xml:space="preserve"> REF _Ref121922481 \h </w:instrText>
      </w:r>
      <w:r>
        <w:rPr>
          <w:lang w:val="en-GB"/>
        </w:rPr>
      </w:r>
      <w:r>
        <w:rPr>
          <w:lang w:val="en-GB"/>
        </w:rPr>
        <w:fldChar w:fldCharType="separate"/>
      </w:r>
      <w:r>
        <w:t xml:space="preserve">Figure </w:t>
      </w:r>
      <w:r>
        <w:rPr>
          <w:noProof/>
        </w:rPr>
        <w:t>5</w:t>
      </w:r>
      <w:r>
        <w:rPr>
          <w:lang w:val="en-GB"/>
        </w:rPr>
        <w:fldChar w:fldCharType="end"/>
      </w:r>
      <w:r w:rsidR="00F30F05">
        <w:rPr>
          <w:lang w:val="en-GB"/>
        </w:rPr>
        <w:t>.</w:t>
      </w:r>
    </w:p>
    <w:p w14:paraId="10B304B7" w14:textId="1965F628" w:rsidR="002B10C8" w:rsidRPr="00F30F05" w:rsidRDefault="008D7EC1" w:rsidP="00F30F05">
      <w:pPr>
        <w:rPr>
          <w:lang w:val="en-GB"/>
        </w:rPr>
      </w:pPr>
      <w:r>
        <w:rPr>
          <w:noProof/>
          <w:lang w:val="en-GB"/>
        </w:rPr>
        <w:lastRenderedPageBreak/>
        <w:drawing>
          <wp:inline distT="0" distB="0" distL="0" distR="0" wp14:anchorId="19F120C6" wp14:editId="1891EBDC">
            <wp:extent cx="573024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0240" cy="1432560"/>
                    </a:xfrm>
                    <a:prstGeom prst="rect">
                      <a:avLst/>
                    </a:prstGeom>
                  </pic:spPr>
                </pic:pic>
              </a:graphicData>
            </a:graphic>
          </wp:inline>
        </w:drawing>
      </w:r>
      <w:r w:rsidR="00F30F05">
        <w:t xml:space="preserve"> </w:t>
      </w:r>
    </w:p>
    <w:p w14:paraId="79ECE304" w14:textId="73BC54D8" w:rsidR="00F30F05" w:rsidRDefault="002B10C8" w:rsidP="00AD7BCD">
      <w:pPr>
        <w:pStyle w:val="Caption"/>
      </w:pPr>
      <w:bookmarkStart w:id="5" w:name="_Ref121922481"/>
      <w:r>
        <w:t xml:space="preserve">Figure </w:t>
      </w:r>
      <w:fldSimple w:instr=" SEQ Figure \* ARABIC ">
        <w:r w:rsidR="00EE7197">
          <w:rPr>
            <w:noProof/>
          </w:rPr>
          <w:t>5</w:t>
        </w:r>
      </w:fldSimple>
      <w:bookmarkEnd w:id="5"/>
      <w:r>
        <w:t>: f1-sc</w:t>
      </w:r>
      <w:r w:rsidRPr="00704319">
        <w:t xml:space="preserve">ore of </w:t>
      </w:r>
      <w:r>
        <w:t>stage pred</w:t>
      </w:r>
      <w:r w:rsidRPr="00704319">
        <w:t>iction for each cancer</w:t>
      </w:r>
    </w:p>
    <w:p w14:paraId="1B0FD975" w14:textId="244A06F3" w:rsidR="005A59C9" w:rsidRPr="005A59C9" w:rsidRDefault="005A59C9" w:rsidP="005A59C9">
      <w:r>
        <w:t>These results also seem to be consistent across the different amount of selected features.</w:t>
      </w:r>
    </w:p>
    <w:p w14:paraId="7030FD31" w14:textId="5B6C567F" w:rsidR="008D7EC1" w:rsidRDefault="008D7EC1" w:rsidP="008D7EC1">
      <w:pPr>
        <w:pStyle w:val="Heading3"/>
        <w:rPr>
          <w:lang w:val="en-GB"/>
        </w:rPr>
      </w:pPr>
      <w:r>
        <w:rPr>
          <w:lang w:val="en-GB"/>
        </w:rPr>
        <w:t>Genus layer provides worse performance</w:t>
      </w:r>
    </w:p>
    <w:p w14:paraId="2D43E710" w14:textId="4F372677" w:rsidR="002B10C8" w:rsidRDefault="00F30F05" w:rsidP="00F30F05">
      <w:pPr>
        <w:rPr>
          <w:lang w:val="en-GB"/>
        </w:rPr>
      </w:pPr>
      <w:r>
        <w:rPr>
          <w:lang w:val="en-GB"/>
        </w:rPr>
        <w:t xml:space="preserve">The genus layer seems to provide the worst performance. This is possibly because the taxonomic genus data is mined from the </w:t>
      </w:r>
      <w:proofErr w:type="spellStart"/>
      <w:r>
        <w:rPr>
          <w:lang w:val="en-GB"/>
        </w:rPr>
        <w:t>tumor</w:t>
      </w:r>
      <w:proofErr w:type="spellEnd"/>
      <w:r>
        <w:rPr>
          <w:lang w:val="en-GB"/>
        </w:rPr>
        <w:t xml:space="preserve"> samples and might not be directly related to the aetiology of the disease. Thus, it might not contain enough predictive power by itself. It is worth noting that this does not necessarily mean that microbial data might not be enough to predict these endpoints, but rather that the specific microbial data collected might need additional non-microbial features  to be powerful.</w:t>
      </w:r>
    </w:p>
    <w:p w14:paraId="741F0412" w14:textId="57EC3F14" w:rsidR="00F30F05" w:rsidRDefault="00F30F05" w:rsidP="00F30F05">
      <w:pPr>
        <w:rPr>
          <w:lang w:val="en-GB"/>
        </w:rPr>
      </w:pPr>
      <w:r>
        <w:rPr>
          <w:lang w:val="en-GB"/>
        </w:rPr>
        <w:t>Interestingly, this difference is smaller for stage prediction. This is possibly because of the extreme imbalance of classes in the data set. The more classes there are, the harder it is to maintain a balance.</w:t>
      </w:r>
      <w:r w:rsidR="00283898">
        <w:rPr>
          <w:lang w:val="en-GB"/>
        </w:rPr>
        <w:t xml:space="preserve"> Thus, for stage prediction, all the models achieve relatively low performance.</w:t>
      </w:r>
      <w:r>
        <w:rPr>
          <w:lang w:val="en-GB"/>
        </w:rPr>
        <w:t xml:space="preserve"> </w:t>
      </w:r>
    </w:p>
    <w:p w14:paraId="11CB8F0E" w14:textId="732623F3" w:rsidR="00F30F05" w:rsidRDefault="003B5636" w:rsidP="00F30F05">
      <w:pPr>
        <w:rPr>
          <w:lang w:val="en-GB"/>
        </w:rPr>
      </w:pPr>
      <w:r>
        <w:rPr>
          <w:lang w:val="en-GB"/>
        </w:rPr>
        <w:t xml:space="preserve">This is relatively consistent with previous results of prediction models using TCGA microbial data </w:t>
      </w:r>
      <w:r>
        <w:rPr>
          <w:lang w:val="en-GB"/>
        </w:rPr>
        <w:fldChar w:fldCharType="begin"/>
      </w:r>
      <w:r>
        <w:rPr>
          <w:lang w:val="en-GB"/>
        </w:rPr>
        <w:instrText xml:space="preserve"> ADDIN ZOTERO_ITEM CSL_CITATION {"citationID":"1HMbmNSP","properties":{"formattedCitation":"\\super 5\\nosupersub{}","plainCitation":"5","noteIndex":0},"citationItems":[{"id":182,"uris":["http://zotero.org/users/local/0zqklVfX/items/3EG828JE"],"itemData":{"id":182,"type":"article-journal","abstract":"Systematic characterization of the cancer microbiome provides the opportunity to develop techniques that exploit non-human, microorganism-derived molecules in the diagnosis of a major human disease. Following recent demonstrations that some types of cancer show substantial microbial contributions1–10, we re-examined whole-genome and whole-transcriptome sequencing studies in The Cancer Genome Atlas11 (TCGA) of 33 types of cancer from treatment-naive patients (a total of 18,116 samples) for microbial reads, and found unique microbial signatures in tissue and blood within and between most major types of cancer. These TCGA blood signatures remained predictive when applied to patients with stage Ia–IIc cancer and cancers lacking any genomic alterations currently measured on two commercial-grade cell-free tumour DNA platforms, despite the use of very stringent decontamination analyses that discarded up to 92.3% of total sequence data. In addition, we could discriminate among samples from healthy, cancer-free individuals (n = 69) and those from patients with multiple types of cancer (prostate, lung, and melanoma; 100 samples in total) solely using plasma-derived, cell-free microbial nucleic acids. This potential microbiome-based oncology diagnostic tool warrants further exploration.","container-title":"Nature","DOI":"10.1038/s41586-020-2095-1","ISSN":"1476-4687","issue":"7800","language":"en","license":"2020 The Author(s), under exclusive licence to Springer Nature Limited","note":"number: 7800\npublisher: Nature Publishing Group","page":"567-574","source":"www.nature.com","title":"Microbiome analyses of blood and tissues suggest cancer diagnostic approach","volume":"579","author":[{"family":"Poore","given":"Gregory D."},{"family":"Kopylova","given":"Evguenia"},{"family":"Zhu","given":"Qiyun"},{"family":"Carpenter","given":"Carolina"},{"family":"Fraraccio","given":"Serena"},{"family":"Wandro","given":"Stephen"},{"family":"Kosciolek","given":"Tomasz"},{"family":"Janssen","given":"Stefan"},{"family":"Metcalf","given":"Jessica"},{"family":"Song","given":"Se Jin"},{"family":"Kanbar","given":"Jad"},{"family":"Miller-Montgomery","given":"Sandrine"},{"family":"Heaton","given":"Robert"},{"family":"Mckay","given":"Rana"},{"family":"Patel","given":"Sandip Pravin"},{"family":"Swafford","given":"Austin D."},{"family":"Knight","given":"Rob"}],"issued":{"date-parts":[["2020",3]]}}}],"schema":"https://github.com/citation-style-language/schema/raw/master/csl-citation.json"} </w:instrText>
      </w:r>
      <w:r>
        <w:rPr>
          <w:lang w:val="en-GB"/>
        </w:rPr>
        <w:fldChar w:fldCharType="separate"/>
      </w:r>
      <w:r w:rsidRPr="003B5636">
        <w:rPr>
          <w:rFonts w:ascii="Calibri" w:hAnsi="Calibri" w:cs="Calibri"/>
          <w:szCs w:val="24"/>
          <w:vertAlign w:val="superscript"/>
        </w:rPr>
        <w:t>5</w:t>
      </w:r>
      <w:r>
        <w:rPr>
          <w:lang w:val="en-GB"/>
        </w:rPr>
        <w:fldChar w:fldCharType="end"/>
      </w:r>
      <w:r>
        <w:rPr>
          <w:lang w:val="en-GB"/>
        </w:rPr>
        <w:t xml:space="preserve">. </w:t>
      </w:r>
    </w:p>
    <w:p w14:paraId="769D97FA" w14:textId="4E8F2C1A" w:rsidR="002B10C8" w:rsidRDefault="002B10C8" w:rsidP="002B10C8">
      <w:pPr>
        <w:pStyle w:val="Heading3"/>
        <w:rPr>
          <w:lang w:val="en-GB"/>
        </w:rPr>
      </w:pPr>
      <w:r>
        <w:rPr>
          <w:lang w:val="en-GB"/>
        </w:rPr>
        <w:t>Are results independent of prediction model?</w:t>
      </w:r>
    </w:p>
    <w:p w14:paraId="659BAF12" w14:textId="2C1CDAFA" w:rsidR="00C667C5" w:rsidRPr="00C667C5" w:rsidRDefault="00C667C5" w:rsidP="00C667C5">
      <w:pPr>
        <w:rPr>
          <w:lang w:val="en-GB"/>
        </w:rPr>
      </w:pPr>
      <w:r>
        <w:rPr>
          <w:lang w:val="en-GB"/>
        </w:rPr>
        <w:t>Attempt different prediction models and hyper parameter tuning.</w:t>
      </w:r>
    </w:p>
    <w:p w14:paraId="6637EAD4" w14:textId="0A65777C" w:rsidR="00283898" w:rsidRDefault="00283898" w:rsidP="00283898">
      <w:pPr>
        <w:pStyle w:val="Heading3"/>
        <w:rPr>
          <w:lang w:val="en-GB"/>
        </w:rPr>
      </w:pPr>
      <w:r>
        <w:rPr>
          <w:lang w:val="en-GB"/>
        </w:rPr>
        <w:t>Feature selection is dominated by one modality</w:t>
      </w:r>
    </w:p>
    <w:p w14:paraId="449368DB" w14:textId="77777777" w:rsidR="00E34420" w:rsidRDefault="00E34420" w:rsidP="00E34420">
      <w:pPr>
        <w:rPr>
          <w:lang w:val="en-GB"/>
        </w:rPr>
      </w:pPr>
      <w:r>
        <w:rPr>
          <w:lang w:val="en-GB"/>
        </w:rPr>
        <w:t>To investigate the distribution of the types of features selected for each feature selection method and feature amounts, the proportion for which each layer is represented in the final feature sets is investigated by saving the selected features for each combinatorial state of the pipeline in each iteration. The proportion is then plotted for all the different cancers for each feature amount.</w:t>
      </w:r>
    </w:p>
    <w:p w14:paraId="71A58F35" w14:textId="2F541FAC" w:rsidR="00283898" w:rsidRPr="00283898" w:rsidRDefault="00283898" w:rsidP="00283898">
      <w:pPr>
        <w:rPr>
          <w:lang w:val="en-GB"/>
        </w:rPr>
      </w:pPr>
      <w:r>
        <w:rPr>
          <w:lang w:val="en-GB"/>
        </w:rPr>
        <w:t>It seems that when performing feature selection on the integrated data set, most of the features selected</w:t>
      </w:r>
      <w:r w:rsidR="00B17DBC">
        <w:rPr>
          <w:lang w:val="en-GB"/>
        </w:rPr>
        <w:t xml:space="preserve"> originate from the gene expression set</w:t>
      </w:r>
      <w:r w:rsidR="005A59C9">
        <w:rPr>
          <w:lang w:val="en-GB"/>
        </w:rPr>
        <w:t xml:space="preserve"> (</w:t>
      </w:r>
      <w:r w:rsidR="005A59C9">
        <w:rPr>
          <w:lang w:val="en-GB"/>
        </w:rPr>
        <w:fldChar w:fldCharType="begin"/>
      </w:r>
      <w:r w:rsidR="005A59C9">
        <w:rPr>
          <w:lang w:val="en-GB"/>
        </w:rPr>
        <w:instrText xml:space="preserve"> REF _Ref121922778 \h </w:instrText>
      </w:r>
      <w:r w:rsidR="005A59C9">
        <w:rPr>
          <w:lang w:val="en-GB"/>
        </w:rPr>
      </w:r>
      <w:r w:rsidR="005A59C9">
        <w:rPr>
          <w:lang w:val="en-GB"/>
        </w:rPr>
        <w:fldChar w:fldCharType="separate"/>
      </w:r>
      <w:r w:rsidR="005A59C9">
        <w:t xml:space="preserve">Figure </w:t>
      </w:r>
      <w:r w:rsidR="005A59C9">
        <w:rPr>
          <w:noProof/>
        </w:rPr>
        <w:t>6</w:t>
      </w:r>
      <w:r w:rsidR="005A59C9">
        <w:rPr>
          <w:lang w:val="en-GB"/>
        </w:rPr>
        <w:fldChar w:fldCharType="end"/>
      </w:r>
      <w:r w:rsidR="005A59C9">
        <w:rPr>
          <w:lang w:val="en-GB"/>
        </w:rPr>
        <w:t>)</w:t>
      </w:r>
      <w:r w:rsidR="00B17DBC">
        <w:rPr>
          <w:lang w:val="en-GB"/>
        </w:rPr>
        <w:t>.</w:t>
      </w:r>
      <w:r>
        <w:rPr>
          <w:lang w:val="en-GB"/>
        </w:rPr>
        <w:t xml:space="preserve"> </w:t>
      </w:r>
    </w:p>
    <w:p w14:paraId="3D607D05" w14:textId="77777777" w:rsidR="00B17DBC" w:rsidRDefault="00283898" w:rsidP="00B17DBC">
      <w:pPr>
        <w:keepNext/>
      </w:pPr>
      <w:r>
        <w:rPr>
          <w:noProof/>
          <w:lang w:val="en-GB"/>
        </w:rPr>
        <w:lastRenderedPageBreak/>
        <w:drawing>
          <wp:inline distT="0" distB="0" distL="0" distR="0" wp14:anchorId="5943B4C0" wp14:editId="4341C196">
            <wp:extent cx="573151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887F1C6" w14:textId="487C6D8A" w:rsidR="00283898" w:rsidRDefault="00B17DBC" w:rsidP="00B17DBC">
      <w:pPr>
        <w:pStyle w:val="Caption"/>
      </w:pPr>
      <w:bookmarkStart w:id="6" w:name="_Ref121922778"/>
      <w:r>
        <w:t xml:space="preserve">Figure </w:t>
      </w:r>
      <w:fldSimple w:instr=" SEQ Figure \* ARABIC ">
        <w:r w:rsidR="00EE7197">
          <w:rPr>
            <w:noProof/>
          </w:rPr>
          <w:t>6</w:t>
        </w:r>
      </w:fldSimple>
      <w:bookmarkEnd w:id="6"/>
      <w:r>
        <w:t>: fraction of GE features selected for each feature amount and cancer during tumor versus normal prediction</w:t>
      </w:r>
    </w:p>
    <w:p w14:paraId="6B388974" w14:textId="0B6797C1" w:rsidR="005E5774" w:rsidRDefault="005A59C9" w:rsidP="005E5774">
      <w:r>
        <w:t>Furthermore, out of the 221 total GENUS features, less than 1% is selected in the feature selection process (</w:t>
      </w:r>
      <w:r>
        <w:fldChar w:fldCharType="begin"/>
      </w:r>
      <w:r>
        <w:instrText xml:space="preserve"> REF _Ref121922934 \h </w:instrText>
      </w:r>
      <w:r>
        <w:fldChar w:fldCharType="separate"/>
      </w:r>
      <w:r>
        <w:t xml:space="preserve">Figure </w:t>
      </w:r>
      <w:r>
        <w:rPr>
          <w:noProof/>
        </w:rPr>
        <w:t>7</w:t>
      </w:r>
      <w:r>
        <w:fldChar w:fldCharType="end"/>
      </w:r>
      <w:r>
        <w:t>).</w:t>
      </w:r>
    </w:p>
    <w:p w14:paraId="1A1B72D3" w14:textId="77777777" w:rsidR="005E5774" w:rsidRDefault="005E5774" w:rsidP="005E5774">
      <w:pPr>
        <w:keepNext/>
      </w:pPr>
      <w:r>
        <w:rPr>
          <w:noProof/>
        </w:rPr>
        <w:drawing>
          <wp:inline distT="0" distB="0" distL="0" distR="0" wp14:anchorId="4CECFD68" wp14:editId="5312CF36">
            <wp:extent cx="5731510" cy="286575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C63F8CD" w14:textId="4C70F05E" w:rsidR="005E5774" w:rsidRDefault="005E5774" w:rsidP="005E5774">
      <w:pPr>
        <w:pStyle w:val="Caption"/>
      </w:pPr>
      <w:bookmarkStart w:id="7" w:name="_Ref121922934"/>
      <w:r>
        <w:t xml:space="preserve">Figure </w:t>
      </w:r>
      <w:fldSimple w:instr=" SEQ Figure \* ARABIC ">
        <w:r w:rsidR="00EE7197">
          <w:rPr>
            <w:noProof/>
          </w:rPr>
          <w:t>7</w:t>
        </w:r>
      </w:fldSimple>
      <w:bookmarkEnd w:id="7"/>
      <w:r w:rsidRPr="005C6D67">
        <w:t xml:space="preserve">: </w:t>
      </w:r>
      <w:r>
        <w:t>absolute amount of GENUS</w:t>
      </w:r>
      <w:r w:rsidRPr="005C6D67">
        <w:t xml:space="preserve"> features selected for each feature amount and cancer during tumor versus normal prediction</w:t>
      </w:r>
    </w:p>
    <w:p w14:paraId="23C22CE1" w14:textId="45531683" w:rsidR="00C401CE" w:rsidRPr="00C401CE" w:rsidRDefault="00C401CE" w:rsidP="00C401CE">
      <w:pPr>
        <w:rPr>
          <w:lang w:val="en-GB"/>
        </w:rPr>
      </w:pPr>
      <w:r>
        <w:rPr>
          <w:lang w:val="en-GB"/>
        </w:rPr>
        <w:t>One possible reason for the domination of gene expression features is that the original data set contains much more gene expression features than taxonomic genus features (more than 20 times as much). Thus, there are simply more gene expression features to select from. It is clear that the microbial features are still useful, given that they are still reasonably well represented when selecting the top 5 or 10 features.</w:t>
      </w:r>
    </w:p>
    <w:p w14:paraId="43D1E8A4" w14:textId="58C99749" w:rsidR="005A59C9" w:rsidRDefault="005A59C9" w:rsidP="005A59C9">
      <w:pPr>
        <w:pStyle w:val="Heading4"/>
      </w:pPr>
      <w:r>
        <w:t>GE modality dominance is smaller in stage prediction</w:t>
      </w:r>
    </w:p>
    <w:p w14:paraId="48BD9FD0" w14:textId="51D6C416" w:rsidR="00C401CE" w:rsidRPr="00C401CE" w:rsidRDefault="00C401CE" w:rsidP="00C401CE">
      <w:pPr>
        <w:rPr>
          <w:lang w:val="en-GB"/>
        </w:rPr>
      </w:pPr>
      <w:r>
        <w:rPr>
          <w:lang w:val="en-GB"/>
        </w:rPr>
        <w:t xml:space="preserve">The dominance of the gene expression modality seems to be smaller for stage prediction, possibly because there is a wider variety of endpoint values and thus relationships between input and output to consider during the feature selection process. </w:t>
      </w:r>
    </w:p>
    <w:p w14:paraId="5BD9238D" w14:textId="77777777" w:rsidR="00B17DBC" w:rsidRDefault="00283898" w:rsidP="00B17DBC">
      <w:pPr>
        <w:keepNext/>
      </w:pPr>
      <w:r>
        <w:rPr>
          <w:noProof/>
          <w:lang w:val="en-GB"/>
        </w:rPr>
        <w:lastRenderedPageBreak/>
        <w:drawing>
          <wp:inline distT="0" distB="0" distL="0" distR="0" wp14:anchorId="5BE6D455" wp14:editId="09820086">
            <wp:extent cx="5731510" cy="286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E31CD38" w14:textId="61CB6FA0" w:rsidR="00CA251C" w:rsidRDefault="00B17DBC" w:rsidP="00B17DBC">
      <w:pPr>
        <w:pStyle w:val="Caption"/>
      </w:pPr>
      <w:r>
        <w:t xml:space="preserve">Figure </w:t>
      </w:r>
      <w:fldSimple w:instr=" SEQ Figure \* ARABIC ">
        <w:r w:rsidR="00EE7197">
          <w:rPr>
            <w:noProof/>
          </w:rPr>
          <w:t>8</w:t>
        </w:r>
      </w:fldSimple>
      <w:r>
        <w:t xml:space="preserve">: </w:t>
      </w:r>
      <w:r w:rsidRPr="00413DF4">
        <w:t xml:space="preserve">fraction of GE features selected for each feature amount and cancer during </w:t>
      </w:r>
      <w:r>
        <w:t>stage</w:t>
      </w:r>
      <w:r w:rsidRPr="00413DF4">
        <w:t xml:space="preserve"> predictio</w:t>
      </w:r>
      <w:r>
        <w:t>n</w:t>
      </w:r>
    </w:p>
    <w:p w14:paraId="5B2FBE3E" w14:textId="77777777" w:rsidR="00EE7197" w:rsidRDefault="00EE7197" w:rsidP="00EE7197">
      <w:pPr>
        <w:keepNext/>
      </w:pPr>
      <w:r>
        <w:rPr>
          <w:noProof/>
        </w:rPr>
        <w:drawing>
          <wp:inline distT="0" distB="0" distL="0" distR="0" wp14:anchorId="5B87FA20" wp14:editId="7F5EA029">
            <wp:extent cx="5731510" cy="286575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738EEF3" w14:textId="1110D6E4" w:rsidR="005E5774" w:rsidRPr="005E5774" w:rsidRDefault="00EE7197" w:rsidP="00EE7197">
      <w:pPr>
        <w:pStyle w:val="Caption"/>
      </w:pPr>
      <w:r>
        <w:t xml:space="preserve">Figure </w:t>
      </w:r>
      <w:fldSimple w:instr=" SEQ Figure \* ARABIC ">
        <w:r>
          <w:rPr>
            <w:noProof/>
          </w:rPr>
          <w:t>9</w:t>
        </w:r>
      </w:fldSimple>
      <w:r>
        <w:t xml:space="preserve">: </w:t>
      </w:r>
      <w:r w:rsidRPr="00966288">
        <w:t xml:space="preserve">absolute amount of GENUS features selected for each feature amount and cancer during </w:t>
      </w:r>
      <w:r>
        <w:t>stage</w:t>
      </w:r>
      <w:r w:rsidRPr="00966288">
        <w:t xml:space="preserve"> prediction</w:t>
      </w:r>
    </w:p>
    <w:p w14:paraId="5BDC0AC0" w14:textId="5D811319" w:rsidR="00B17DBC" w:rsidRDefault="00B17DBC" w:rsidP="00CA251C">
      <w:pPr>
        <w:rPr>
          <w:lang w:val="en-GB"/>
        </w:rPr>
      </w:pPr>
      <w:r>
        <w:rPr>
          <w:lang w:val="en-GB"/>
        </w:rPr>
        <w:t>One possible way to deal with this is to correct for the amount of base features in each modality. Additionally, it is possible to use</w:t>
      </w:r>
      <w:r w:rsidR="008D0951">
        <w:rPr>
          <w:lang w:val="en-GB"/>
        </w:rPr>
        <w:t xml:space="preserve"> feature selection on the original modalities separately prior to concatenating.</w:t>
      </w:r>
    </w:p>
    <w:p w14:paraId="3BC68983" w14:textId="1C7375C5" w:rsidR="009240AB" w:rsidRDefault="009240AB" w:rsidP="009240AB">
      <w:pPr>
        <w:pStyle w:val="Heading4"/>
        <w:rPr>
          <w:lang w:val="en-GB"/>
        </w:rPr>
      </w:pPr>
      <w:r>
        <w:rPr>
          <w:lang w:val="en-GB"/>
        </w:rPr>
        <w:t>Feature selection robustness</w:t>
      </w:r>
    </w:p>
    <w:p w14:paraId="1479CF06" w14:textId="2625593D" w:rsidR="009240AB" w:rsidRDefault="009240AB" w:rsidP="009240AB">
      <w:pPr>
        <w:rPr>
          <w:lang w:val="en-GB"/>
        </w:rPr>
      </w:pPr>
      <w:r>
        <w:rPr>
          <w:lang w:val="en-GB"/>
        </w:rPr>
        <w:t xml:space="preserve">Devise experiment to examine feature selection robustness across iterations. </w:t>
      </w:r>
    </w:p>
    <w:p w14:paraId="01DD43F1" w14:textId="5970510A" w:rsidR="009240AB" w:rsidRPr="009240AB" w:rsidRDefault="009240AB" w:rsidP="009240AB">
      <w:pPr>
        <w:rPr>
          <w:lang w:val="en-GB"/>
        </w:rPr>
      </w:pPr>
      <w:r>
        <w:rPr>
          <w:lang w:val="en-GB"/>
        </w:rPr>
        <w:t>[Display bar plot showing the amount of features</w:t>
      </w:r>
      <w:r w:rsidR="00AB3B0E">
        <w:rPr>
          <w:lang w:val="en-GB"/>
        </w:rPr>
        <w:t xml:space="preserve"> selected for different percentages of something iterations e.g. 10 feature selected 40-50% of the time</w:t>
      </w:r>
      <w:r>
        <w:rPr>
          <w:lang w:val="en-GB"/>
        </w:rPr>
        <w:t>]</w:t>
      </w:r>
    </w:p>
    <w:p w14:paraId="52EB8D97" w14:textId="6757D1E1" w:rsidR="009240AB" w:rsidRDefault="009240AB" w:rsidP="009240AB">
      <w:pPr>
        <w:pStyle w:val="Heading3"/>
        <w:rPr>
          <w:lang w:val="en-GB"/>
        </w:rPr>
      </w:pPr>
      <w:r>
        <w:rPr>
          <w:lang w:val="en-GB"/>
        </w:rPr>
        <w:t xml:space="preserve">Results consistent for additional prediction targets </w:t>
      </w:r>
    </w:p>
    <w:p w14:paraId="2F1B907D" w14:textId="44E1C6B2" w:rsidR="009240AB" w:rsidRDefault="009240AB" w:rsidP="009240AB">
      <w:pPr>
        <w:rPr>
          <w:lang w:val="en-GB"/>
        </w:rPr>
      </w:pPr>
      <w:r>
        <w:rPr>
          <w:lang w:val="en-GB"/>
        </w:rPr>
        <w:t>results of survival prediction</w:t>
      </w:r>
    </w:p>
    <w:p w14:paraId="2490813E" w14:textId="4548208F" w:rsidR="00AB3B0E" w:rsidRDefault="00AB3B0E" w:rsidP="009240AB">
      <w:pPr>
        <w:rPr>
          <w:lang w:val="en-GB"/>
        </w:rPr>
      </w:pPr>
      <w:r>
        <w:rPr>
          <w:lang w:val="en-GB"/>
        </w:rPr>
        <w:t>[Display prediction performance of survival]</w:t>
      </w:r>
    </w:p>
    <w:p w14:paraId="44E3AC2B" w14:textId="32148A1A" w:rsidR="009240AB" w:rsidRDefault="009240AB" w:rsidP="009240AB">
      <w:pPr>
        <w:pStyle w:val="Heading3"/>
        <w:rPr>
          <w:lang w:val="en-GB"/>
        </w:rPr>
      </w:pPr>
      <w:r>
        <w:rPr>
          <w:lang w:val="en-GB"/>
        </w:rPr>
        <w:lastRenderedPageBreak/>
        <w:t>Enforcing class balance does not improve performance</w:t>
      </w:r>
    </w:p>
    <w:p w14:paraId="5902D49F" w14:textId="0FA9C1BE" w:rsidR="009240AB" w:rsidRDefault="009240AB" w:rsidP="009240AB">
      <w:pPr>
        <w:rPr>
          <w:lang w:val="en-GB"/>
        </w:rPr>
      </w:pPr>
      <w:r>
        <w:rPr>
          <w:lang w:val="en-GB"/>
        </w:rPr>
        <w:t>results when over sampling</w:t>
      </w:r>
    </w:p>
    <w:p w14:paraId="7E7A5556" w14:textId="3E0E6A5A" w:rsidR="00AB3B0E" w:rsidRDefault="00AB3B0E" w:rsidP="009240AB">
      <w:pPr>
        <w:rPr>
          <w:lang w:val="en-GB"/>
        </w:rPr>
      </w:pPr>
      <w:r>
        <w:rPr>
          <w:lang w:val="en-GB"/>
        </w:rPr>
        <w:t>[Display prediction performance when over sampling]</w:t>
      </w:r>
    </w:p>
    <w:p w14:paraId="2C1C3AD1" w14:textId="75A7DCF9" w:rsidR="009240AB" w:rsidRDefault="009240AB" w:rsidP="009240AB">
      <w:pPr>
        <w:pStyle w:val="Heading3"/>
        <w:rPr>
          <w:lang w:val="en-GB"/>
        </w:rPr>
      </w:pPr>
      <w:r>
        <w:rPr>
          <w:lang w:val="en-GB"/>
        </w:rPr>
        <w:t xml:space="preserve">Enforcing modality parity during feature selection </w:t>
      </w:r>
      <w:r w:rsidR="00451C9E">
        <w:rPr>
          <w:lang w:val="en-GB"/>
        </w:rPr>
        <w:t>does not i</w:t>
      </w:r>
      <w:r>
        <w:rPr>
          <w:lang w:val="en-GB"/>
        </w:rPr>
        <w:t>mprove performance</w:t>
      </w:r>
    </w:p>
    <w:p w14:paraId="3D192687" w14:textId="7E53BF27" w:rsidR="00451C9E" w:rsidRDefault="00451C9E" w:rsidP="00451C9E">
      <w:pPr>
        <w:rPr>
          <w:lang w:val="en-GB"/>
        </w:rPr>
      </w:pPr>
      <w:r>
        <w:rPr>
          <w:lang w:val="en-GB"/>
        </w:rPr>
        <w:t>To determine whether the domination of one modality in the features selected has an effect on the added performance of the holo-</w:t>
      </w:r>
      <w:proofErr w:type="spellStart"/>
      <w:r>
        <w:rPr>
          <w:lang w:val="en-GB"/>
        </w:rPr>
        <w:t>omic</w:t>
      </w:r>
      <w:proofErr w:type="spellEnd"/>
      <w:r>
        <w:rPr>
          <w:lang w:val="en-GB"/>
        </w:rPr>
        <w:t xml:space="preserve"> approach, we repeated the above experiments while enforcing parity in the amount of features selected of each modality. To do this, we performed feature selection prior to integrating the modalities to ensure that the same amount of features are selected of each modality. </w:t>
      </w:r>
    </w:p>
    <w:p w14:paraId="6DD93C1E" w14:textId="31E64BAE" w:rsidR="00451C9E" w:rsidRPr="00451C9E" w:rsidRDefault="00451C9E" w:rsidP="00451C9E">
      <w:pPr>
        <w:rPr>
          <w:lang w:val="en-GB"/>
        </w:rPr>
      </w:pPr>
      <w:r>
        <w:rPr>
          <w:lang w:val="en-GB"/>
        </w:rPr>
        <w:t>As can be seen, this leads to similar or worse performance than only using GE or the non-enforced-parity feature selection approach with the overlapped layer (</w:t>
      </w:r>
      <w:r>
        <w:rPr>
          <w:lang w:val="en-GB"/>
        </w:rPr>
        <w:fldChar w:fldCharType="begin"/>
      </w:r>
      <w:r>
        <w:rPr>
          <w:lang w:val="en-GB"/>
        </w:rPr>
        <w:instrText xml:space="preserve"> REF _Ref121922446 \h </w:instrText>
      </w:r>
      <w:r>
        <w:rPr>
          <w:lang w:val="en-GB"/>
        </w:rPr>
      </w:r>
      <w:r>
        <w:rPr>
          <w:lang w:val="en-GB"/>
        </w:rPr>
        <w:fldChar w:fldCharType="separate"/>
      </w:r>
      <w:r>
        <w:t xml:space="preserve">Figure </w:t>
      </w:r>
      <w:r>
        <w:rPr>
          <w:noProof/>
        </w:rPr>
        <w:t>4</w:t>
      </w:r>
      <w:r>
        <w:rPr>
          <w:lang w:val="en-GB"/>
        </w:rPr>
        <w:fldChar w:fldCharType="end"/>
      </w:r>
      <w:r>
        <w:rPr>
          <w:lang w:val="en-GB"/>
        </w:rPr>
        <w:t>).</w:t>
      </w:r>
    </w:p>
    <w:p w14:paraId="1412B0FB" w14:textId="1306DA41" w:rsidR="009240AB" w:rsidRPr="009240AB" w:rsidRDefault="00AB3B0E" w:rsidP="009240AB">
      <w:pPr>
        <w:rPr>
          <w:lang w:val="en-GB"/>
        </w:rPr>
      </w:pPr>
      <w:r>
        <w:rPr>
          <w:lang w:val="en-GB"/>
        </w:rPr>
        <w:t>[Display performance of integrated modality versus individual modalities when enforcing modality parity]</w:t>
      </w:r>
    </w:p>
    <w:p w14:paraId="6FB8B054" w14:textId="00FA90F2" w:rsidR="00782B0E" w:rsidRDefault="00782B0E" w:rsidP="00782B0E">
      <w:pPr>
        <w:pStyle w:val="Heading1"/>
        <w:rPr>
          <w:lang w:val="en-GB"/>
        </w:rPr>
      </w:pPr>
      <w:r>
        <w:rPr>
          <w:lang w:val="en-GB"/>
        </w:rPr>
        <w:t>Conclusion</w:t>
      </w:r>
    </w:p>
    <w:p w14:paraId="71376D35" w14:textId="76658908" w:rsidR="00B17DBC" w:rsidRDefault="00B17DBC" w:rsidP="00CA251C">
      <w:pPr>
        <w:rPr>
          <w:lang w:val="en-GB"/>
        </w:rPr>
      </w:pPr>
    </w:p>
    <w:p w14:paraId="3046DEA2" w14:textId="77777777" w:rsidR="00B17DBC" w:rsidRDefault="00B17DBC" w:rsidP="00CA251C">
      <w:pPr>
        <w:rPr>
          <w:lang w:val="en-GB"/>
        </w:rPr>
      </w:pPr>
    </w:p>
    <w:p w14:paraId="0A3719B2" w14:textId="77777777" w:rsidR="00B17DBC" w:rsidRPr="00CA251C" w:rsidRDefault="00B17DBC" w:rsidP="00CA251C">
      <w:pPr>
        <w:rPr>
          <w:lang w:val="en-GB"/>
        </w:rPr>
      </w:pPr>
    </w:p>
    <w:p w14:paraId="751993A9" w14:textId="77777777" w:rsidR="00180923" w:rsidRPr="00180923" w:rsidRDefault="008D0A23" w:rsidP="00180923">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00180923" w:rsidRPr="00180923">
        <w:rPr>
          <w:rFonts w:ascii="Calibri" w:hAnsi="Calibri" w:cs="Calibri"/>
        </w:rPr>
        <w:t>1.</w:t>
      </w:r>
      <w:r w:rsidR="00180923" w:rsidRPr="00180923">
        <w:rPr>
          <w:rFonts w:ascii="Calibri" w:hAnsi="Calibri" w:cs="Calibri"/>
        </w:rPr>
        <w:tab/>
        <w:t>Machiraju, G., Amar, D. &amp; Ashley, E. Multi-omics factorization illustrates the added value of deep learning approaches. 7.</w:t>
      </w:r>
    </w:p>
    <w:p w14:paraId="7142BEA4" w14:textId="77777777" w:rsidR="00180923" w:rsidRPr="00180923" w:rsidRDefault="00180923" w:rsidP="00180923">
      <w:pPr>
        <w:pStyle w:val="Bibliography"/>
        <w:rPr>
          <w:rFonts w:ascii="Calibri" w:hAnsi="Calibri" w:cs="Calibri"/>
        </w:rPr>
      </w:pPr>
      <w:r w:rsidRPr="00180923">
        <w:rPr>
          <w:rFonts w:ascii="Calibri" w:hAnsi="Calibri" w:cs="Calibri"/>
        </w:rPr>
        <w:t>2.</w:t>
      </w:r>
      <w:r w:rsidRPr="00180923">
        <w:rPr>
          <w:rFonts w:ascii="Calibri" w:hAnsi="Calibri" w:cs="Calibri"/>
        </w:rPr>
        <w:tab/>
        <w:t xml:space="preserve">Dohlman, A. B. </w:t>
      </w:r>
      <w:r w:rsidRPr="00180923">
        <w:rPr>
          <w:rFonts w:ascii="Calibri" w:hAnsi="Calibri" w:cs="Calibri"/>
          <w:i/>
          <w:iCs/>
        </w:rPr>
        <w:t>et al.</w:t>
      </w:r>
      <w:r w:rsidRPr="00180923">
        <w:rPr>
          <w:rFonts w:ascii="Calibri" w:hAnsi="Calibri" w:cs="Calibri"/>
        </w:rPr>
        <w:t xml:space="preserve"> The cancer microbiome atlas: a pan-cancer comparative analysis to distinguish tissue-resident microbiota from contaminants. </w:t>
      </w:r>
      <w:r w:rsidRPr="00180923">
        <w:rPr>
          <w:rFonts w:ascii="Calibri" w:hAnsi="Calibri" w:cs="Calibri"/>
          <w:i/>
          <w:iCs/>
        </w:rPr>
        <w:t>Cell Host Microbe</w:t>
      </w:r>
      <w:r w:rsidRPr="00180923">
        <w:rPr>
          <w:rFonts w:ascii="Calibri" w:hAnsi="Calibri" w:cs="Calibri"/>
        </w:rPr>
        <w:t xml:space="preserve"> </w:t>
      </w:r>
      <w:r w:rsidRPr="00180923">
        <w:rPr>
          <w:rFonts w:ascii="Calibri" w:hAnsi="Calibri" w:cs="Calibri"/>
          <w:b/>
          <w:bCs/>
        </w:rPr>
        <w:t>29</w:t>
      </w:r>
      <w:r w:rsidRPr="00180923">
        <w:rPr>
          <w:rFonts w:ascii="Calibri" w:hAnsi="Calibri" w:cs="Calibri"/>
        </w:rPr>
        <w:t>, 281-298.e5 (2021).</w:t>
      </w:r>
    </w:p>
    <w:p w14:paraId="28988A59" w14:textId="77777777" w:rsidR="00180923" w:rsidRPr="00180923" w:rsidRDefault="00180923" w:rsidP="00180923">
      <w:pPr>
        <w:pStyle w:val="Bibliography"/>
        <w:rPr>
          <w:rFonts w:ascii="Calibri" w:hAnsi="Calibri" w:cs="Calibri"/>
        </w:rPr>
      </w:pPr>
      <w:r w:rsidRPr="00180923">
        <w:rPr>
          <w:rFonts w:ascii="Calibri" w:hAnsi="Calibri" w:cs="Calibri"/>
        </w:rPr>
        <w:t>3.</w:t>
      </w:r>
      <w:r w:rsidRPr="00180923">
        <w:rPr>
          <w:rFonts w:ascii="Calibri" w:hAnsi="Calibri" w:cs="Calibri"/>
        </w:rPr>
        <w:tab/>
        <w:t xml:space="preserve">Knippel, R. J., Drewes, J. L. &amp; Sears, C. L. The Cancer Microbiome: Recent Highlights and Knowledge Gaps. </w:t>
      </w:r>
      <w:r w:rsidRPr="00180923">
        <w:rPr>
          <w:rFonts w:ascii="Calibri" w:hAnsi="Calibri" w:cs="Calibri"/>
          <w:i/>
          <w:iCs/>
        </w:rPr>
        <w:t>Cancer Discov.</w:t>
      </w:r>
      <w:r w:rsidRPr="00180923">
        <w:rPr>
          <w:rFonts w:ascii="Calibri" w:hAnsi="Calibri" w:cs="Calibri"/>
        </w:rPr>
        <w:t xml:space="preserve"> </w:t>
      </w:r>
      <w:r w:rsidRPr="00180923">
        <w:rPr>
          <w:rFonts w:ascii="Calibri" w:hAnsi="Calibri" w:cs="Calibri"/>
          <w:b/>
          <w:bCs/>
        </w:rPr>
        <w:t>11</w:t>
      </w:r>
      <w:r w:rsidRPr="00180923">
        <w:rPr>
          <w:rFonts w:ascii="Calibri" w:hAnsi="Calibri" w:cs="Calibri"/>
        </w:rPr>
        <w:t>, 2378–2395 (2021).</w:t>
      </w:r>
    </w:p>
    <w:p w14:paraId="7F003A0A" w14:textId="77777777" w:rsidR="00180923" w:rsidRPr="00180923" w:rsidRDefault="00180923" w:rsidP="00180923">
      <w:pPr>
        <w:pStyle w:val="Bibliography"/>
        <w:rPr>
          <w:rFonts w:ascii="Calibri" w:hAnsi="Calibri" w:cs="Calibri"/>
        </w:rPr>
      </w:pPr>
      <w:r w:rsidRPr="00180923">
        <w:rPr>
          <w:rFonts w:ascii="Calibri" w:hAnsi="Calibri" w:cs="Calibri"/>
        </w:rPr>
        <w:t>4.</w:t>
      </w:r>
      <w:r w:rsidRPr="00180923">
        <w:rPr>
          <w:rFonts w:ascii="Calibri" w:hAnsi="Calibri" w:cs="Calibri"/>
        </w:rPr>
        <w:tab/>
        <w:t xml:space="preserve">Garrett, W. S. The gut microbiota and colon cancer. </w:t>
      </w:r>
      <w:r w:rsidRPr="00180923">
        <w:rPr>
          <w:rFonts w:ascii="Calibri" w:hAnsi="Calibri" w:cs="Calibri"/>
          <w:i/>
          <w:iCs/>
        </w:rPr>
        <w:t>Science</w:t>
      </w:r>
      <w:r w:rsidRPr="00180923">
        <w:rPr>
          <w:rFonts w:ascii="Calibri" w:hAnsi="Calibri" w:cs="Calibri"/>
        </w:rPr>
        <w:t xml:space="preserve"> </w:t>
      </w:r>
      <w:r w:rsidRPr="00180923">
        <w:rPr>
          <w:rFonts w:ascii="Calibri" w:hAnsi="Calibri" w:cs="Calibri"/>
          <w:b/>
          <w:bCs/>
        </w:rPr>
        <w:t>364</w:t>
      </w:r>
      <w:r w:rsidRPr="00180923">
        <w:rPr>
          <w:rFonts w:ascii="Calibri" w:hAnsi="Calibri" w:cs="Calibri"/>
        </w:rPr>
        <w:t>, 1133–1135 (2019).</w:t>
      </w:r>
    </w:p>
    <w:p w14:paraId="46BF9D4D" w14:textId="77777777" w:rsidR="00180923" w:rsidRPr="00180923" w:rsidRDefault="00180923" w:rsidP="00180923">
      <w:pPr>
        <w:pStyle w:val="Bibliography"/>
        <w:rPr>
          <w:rFonts w:ascii="Calibri" w:hAnsi="Calibri" w:cs="Calibri"/>
        </w:rPr>
      </w:pPr>
      <w:r w:rsidRPr="00180923">
        <w:rPr>
          <w:rFonts w:ascii="Calibri" w:hAnsi="Calibri" w:cs="Calibri"/>
        </w:rPr>
        <w:t>5.</w:t>
      </w:r>
      <w:r w:rsidRPr="00180923">
        <w:rPr>
          <w:rFonts w:ascii="Calibri" w:hAnsi="Calibri" w:cs="Calibri"/>
        </w:rPr>
        <w:tab/>
        <w:t xml:space="preserve">Poore, G. D. </w:t>
      </w:r>
      <w:r w:rsidRPr="00180923">
        <w:rPr>
          <w:rFonts w:ascii="Calibri" w:hAnsi="Calibri" w:cs="Calibri"/>
          <w:i/>
          <w:iCs/>
        </w:rPr>
        <w:t>et al.</w:t>
      </w:r>
      <w:r w:rsidRPr="00180923">
        <w:rPr>
          <w:rFonts w:ascii="Calibri" w:hAnsi="Calibri" w:cs="Calibri"/>
        </w:rPr>
        <w:t xml:space="preserve"> Microbiome analyses of blood and tissues suggest cancer diagnostic approach. </w:t>
      </w:r>
      <w:r w:rsidRPr="00180923">
        <w:rPr>
          <w:rFonts w:ascii="Calibri" w:hAnsi="Calibri" w:cs="Calibri"/>
          <w:i/>
          <w:iCs/>
        </w:rPr>
        <w:t>Nature</w:t>
      </w:r>
      <w:r w:rsidRPr="00180923">
        <w:rPr>
          <w:rFonts w:ascii="Calibri" w:hAnsi="Calibri" w:cs="Calibri"/>
        </w:rPr>
        <w:t xml:space="preserve"> </w:t>
      </w:r>
      <w:r w:rsidRPr="00180923">
        <w:rPr>
          <w:rFonts w:ascii="Calibri" w:hAnsi="Calibri" w:cs="Calibri"/>
          <w:b/>
          <w:bCs/>
        </w:rPr>
        <w:t>579</w:t>
      </w:r>
      <w:r w:rsidRPr="00180923">
        <w:rPr>
          <w:rFonts w:ascii="Calibri" w:hAnsi="Calibri" w:cs="Calibri"/>
        </w:rPr>
        <w:t>, 567–574 (2020).</w:t>
      </w:r>
    </w:p>
    <w:p w14:paraId="40025CA1" w14:textId="77777777" w:rsidR="00180923" w:rsidRPr="00180923" w:rsidRDefault="00180923" w:rsidP="00180923">
      <w:pPr>
        <w:pStyle w:val="Bibliography"/>
        <w:rPr>
          <w:rFonts w:ascii="Calibri" w:hAnsi="Calibri" w:cs="Calibri"/>
        </w:rPr>
      </w:pPr>
      <w:r w:rsidRPr="00180923">
        <w:rPr>
          <w:rFonts w:ascii="Calibri" w:hAnsi="Calibri" w:cs="Calibri"/>
        </w:rPr>
        <w:t>6.</w:t>
      </w:r>
      <w:r w:rsidRPr="00180923">
        <w:rPr>
          <w:rFonts w:ascii="Calibri" w:hAnsi="Calibri" w:cs="Calibri"/>
        </w:rPr>
        <w:tab/>
        <w:t xml:space="preserve">Nyholm, L. </w:t>
      </w:r>
      <w:r w:rsidRPr="00180923">
        <w:rPr>
          <w:rFonts w:ascii="Calibri" w:hAnsi="Calibri" w:cs="Calibri"/>
          <w:i/>
          <w:iCs/>
        </w:rPr>
        <w:t>et al.</w:t>
      </w:r>
      <w:r w:rsidRPr="00180923">
        <w:rPr>
          <w:rFonts w:ascii="Calibri" w:hAnsi="Calibri" w:cs="Calibri"/>
        </w:rPr>
        <w:t xml:space="preserve"> Holo-Omics: Integrated Host-Microbiota Multi-omics for Basic and Applied Biological Research. </w:t>
      </w:r>
      <w:r w:rsidRPr="00180923">
        <w:rPr>
          <w:rFonts w:ascii="Calibri" w:hAnsi="Calibri" w:cs="Calibri"/>
          <w:i/>
          <w:iCs/>
        </w:rPr>
        <w:t>iScience</w:t>
      </w:r>
      <w:r w:rsidRPr="00180923">
        <w:rPr>
          <w:rFonts w:ascii="Calibri" w:hAnsi="Calibri" w:cs="Calibri"/>
        </w:rPr>
        <w:t xml:space="preserve"> </w:t>
      </w:r>
      <w:r w:rsidRPr="00180923">
        <w:rPr>
          <w:rFonts w:ascii="Calibri" w:hAnsi="Calibri" w:cs="Calibri"/>
          <w:b/>
          <w:bCs/>
        </w:rPr>
        <w:t>23</w:t>
      </w:r>
      <w:r w:rsidRPr="00180923">
        <w:rPr>
          <w:rFonts w:ascii="Calibri" w:hAnsi="Calibri" w:cs="Calibri"/>
        </w:rPr>
        <w:t>, 101414 (2020).</w:t>
      </w:r>
    </w:p>
    <w:p w14:paraId="35A8552B" w14:textId="77777777" w:rsidR="00180923" w:rsidRPr="00180923" w:rsidRDefault="00180923" w:rsidP="00180923">
      <w:pPr>
        <w:pStyle w:val="Bibliography"/>
        <w:rPr>
          <w:rFonts w:ascii="Calibri" w:hAnsi="Calibri" w:cs="Calibri"/>
        </w:rPr>
      </w:pPr>
      <w:r w:rsidRPr="00180923">
        <w:rPr>
          <w:rFonts w:ascii="Calibri" w:hAnsi="Calibri" w:cs="Calibri"/>
        </w:rPr>
        <w:lastRenderedPageBreak/>
        <w:t>7.</w:t>
      </w:r>
      <w:r w:rsidRPr="00180923">
        <w:rPr>
          <w:rFonts w:ascii="Calibri" w:hAnsi="Calibri" w:cs="Calibri"/>
        </w:rPr>
        <w:tab/>
        <w:t xml:space="preserve">Kwon, M., Seo, S.-S., Kim, M. K., Lee, D. O. &amp; Lim, M. C. Compositional and Functional Differences between Microbiota and Cervical Carcinogenesis as Identified by Shotgun Metagenomic Sequencing. </w:t>
      </w:r>
      <w:r w:rsidRPr="00180923">
        <w:rPr>
          <w:rFonts w:ascii="Calibri" w:hAnsi="Calibri" w:cs="Calibri"/>
          <w:i/>
          <w:iCs/>
        </w:rPr>
        <w:t>Cancers</w:t>
      </w:r>
      <w:r w:rsidRPr="00180923">
        <w:rPr>
          <w:rFonts w:ascii="Calibri" w:hAnsi="Calibri" w:cs="Calibri"/>
        </w:rPr>
        <w:t xml:space="preserve"> </w:t>
      </w:r>
      <w:r w:rsidRPr="00180923">
        <w:rPr>
          <w:rFonts w:ascii="Calibri" w:hAnsi="Calibri" w:cs="Calibri"/>
          <w:b/>
          <w:bCs/>
        </w:rPr>
        <w:t>11</w:t>
      </w:r>
      <w:r w:rsidRPr="00180923">
        <w:rPr>
          <w:rFonts w:ascii="Calibri" w:hAnsi="Calibri" w:cs="Calibri"/>
        </w:rPr>
        <w:t>, 309 (2019).</w:t>
      </w:r>
    </w:p>
    <w:p w14:paraId="15D833CE" w14:textId="77777777" w:rsidR="00180923" w:rsidRPr="00180923" w:rsidRDefault="00180923" w:rsidP="00180923">
      <w:pPr>
        <w:pStyle w:val="Bibliography"/>
        <w:rPr>
          <w:rFonts w:ascii="Calibri" w:hAnsi="Calibri" w:cs="Calibri"/>
        </w:rPr>
      </w:pPr>
      <w:r w:rsidRPr="00180923">
        <w:rPr>
          <w:rFonts w:ascii="Calibri" w:hAnsi="Calibri" w:cs="Calibri"/>
        </w:rPr>
        <w:t>8.</w:t>
      </w:r>
      <w:r w:rsidRPr="00180923">
        <w:rPr>
          <w:rFonts w:ascii="Calibri" w:hAnsi="Calibri" w:cs="Calibri"/>
        </w:rPr>
        <w:tab/>
        <w:t xml:space="preserve">Elinav, E., Garrett, W. S., Trinchieri, G. &amp; Wargo, J. The cancer microbiome. </w:t>
      </w:r>
      <w:r w:rsidRPr="00180923">
        <w:rPr>
          <w:rFonts w:ascii="Calibri" w:hAnsi="Calibri" w:cs="Calibri"/>
          <w:i/>
          <w:iCs/>
        </w:rPr>
        <w:t>Nat. Rev. Cancer</w:t>
      </w:r>
      <w:r w:rsidRPr="00180923">
        <w:rPr>
          <w:rFonts w:ascii="Calibri" w:hAnsi="Calibri" w:cs="Calibri"/>
        </w:rPr>
        <w:t xml:space="preserve"> </w:t>
      </w:r>
      <w:r w:rsidRPr="00180923">
        <w:rPr>
          <w:rFonts w:ascii="Calibri" w:hAnsi="Calibri" w:cs="Calibri"/>
          <w:b/>
          <w:bCs/>
        </w:rPr>
        <w:t>19</w:t>
      </w:r>
      <w:r w:rsidRPr="00180923">
        <w:rPr>
          <w:rFonts w:ascii="Calibri" w:hAnsi="Calibri" w:cs="Calibri"/>
        </w:rPr>
        <w:t>, 371–376 (2019).</w:t>
      </w:r>
    </w:p>
    <w:p w14:paraId="22482FDE" w14:textId="77777777" w:rsidR="00180923" w:rsidRPr="00180923" w:rsidRDefault="00180923" w:rsidP="00180923">
      <w:pPr>
        <w:pStyle w:val="Bibliography"/>
        <w:rPr>
          <w:rFonts w:ascii="Calibri" w:hAnsi="Calibri" w:cs="Calibri"/>
        </w:rPr>
      </w:pPr>
      <w:r w:rsidRPr="00180923">
        <w:rPr>
          <w:rFonts w:ascii="Calibri" w:hAnsi="Calibri" w:cs="Calibri"/>
        </w:rPr>
        <w:t>9.</w:t>
      </w:r>
      <w:r w:rsidRPr="00180923">
        <w:rPr>
          <w:rFonts w:ascii="Calibri" w:hAnsi="Calibri" w:cs="Calibri"/>
        </w:rPr>
        <w:tab/>
        <w:t xml:space="preserve">Fang, H., Du, Y., Pan, S., Zhong, M. &amp; Tang, J. Patients with Parkinson’s disease predict a lower incidence of colorectal cancer. </w:t>
      </w:r>
      <w:r w:rsidRPr="00180923">
        <w:rPr>
          <w:rFonts w:ascii="Calibri" w:hAnsi="Calibri" w:cs="Calibri"/>
          <w:i/>
          <w:iCs/>
        </w:rPr>
        <w:t>BMC Geriatr.</w:t>
      </w:r>
      <w:r w:rsidRPr="00180923">
        <w:rPr>
          <w:rFonts w:ascii="Calibri" w:hAnsi="Calibri" w:cs="Calibri"/>
        </w:rPr>
        <w:t xml:space="preserve"> </w:t>
      </w:r>
      <w:r w:rsidRPr="00180923">
        <w:rPr>
          <w:rFonts w:ascii="Calibri" w:hAnsi="Calibri" w:cs="Calibri"/>
          <w:b/>
          <w:bCs/>
        </w:rPr>
        <w:t>21</w:t>
      </w:r>
      <w:r w:rsidRPr="00180923">
        <w:rPr>
          <w:rFonts w:ascii="Calibri" w:hAnsi="Calibri" w:cs="Calibri"/>
        </w:rPr>
        <w:t>, 564 (2021).</w:t>
      </w:r>
    </w:p>
    <w:p w14:paraId="46611CCF" w14:textId="77777777" w:rsidR="00180923" w:rsidRPr="00180923" w:rsidRDefault="00180923" w:rsidP="00180923">
      <w:pPr>
        <w:pStyle w:val="Bibliography"/>
        <w:rPr>
          <w:rFonts w:ascii="Calibri" w:hAnsi="Calibri" w:cs="Calibri"/>
          <w:lang w:val="nl-NL"/>
        </w:rPr>
      </w:pPr>
      <w:r w:rsidRPr="00180923">
        <w:rPr>
          <w:rFonts w:ascii="Calibri" w:hAnsi="Calibri" w:cs="Calibri"/>
        </w:rPr>
        <w:t>10.</w:t>
      </w:r>
      <w:r w:rsidRPr="00180923">
        <w:rPr>
          <w:rFonts w:ascii="Calibri" w:hAnsi="Calibri" w:cs="Calibri"/>
        </w:rPr>
        <w:tab/>
        <w:t xml:space="preserve">Alberdi, A., Andersen, S. B., Limborg, M. T., Dunn, R. R. &amp; Gilbert, M. T. P. Disentangling host–microbiota complexity through hologenomics. </w:t>
      </w:r>
      <w:r w:rsidRPr="00180923">
        <w:rPr>
          <w:rFonts w:ascii="Calibri" w:hAnsi="Calibri" w:cs="Calibri"/>
          <w:i/>
          <w:iCs/>
          <w:lang w:val="nl-NL"/>
        </w:rPr>
        <w:t>Nat. Rev. Genet.</w:t>
      </w:r>
      <w:r w:rsidRPr="00180923">
        <w:rPr>
          <w:rFonts w:ascii="Calibri" w:hAnsi="Calibri" w:cs="Calibri"/>
          <w:lang w:val="nl-NL"/>
        </w:rPr>
        <w:t xml:space="preserve"> 1–17 (2021) doi:10.1038/s41576-021-00421-0.</w:t>
      </w:r>
    </w:p>
    <w:p w14:paraId="169AFDC7" w14:textId="77777777" w:rsidR="00180923" w:rsidRPr="00180923" w:rsidRDefault="00180923" w:rsidP="00180923">
      <w:pPr>
        <w:pStyle w:val="Bibliography"/>
        <w:rPr>
          <w:rFonts w:ascii="Calibri" w:hAnsi="Calibri" w:cs="Calibri"/>
        </w:rPr>
      </w:pPr>
      <w:r w:rsidRPr="00180923">
        <w:rPr>
          <w:rFonts w:ascii="Calibri" w:hAnsi="Calibri" w:cs="Calibri"/>
          <w:lang w:val="nl-NL"/>
        </w:rPr>
        <w:t>11.</w:t>
      </w:r>
      <w:r w:rsidRPr="00180923">
        <w:rPr>
          <w:rFonts w:ascii="Calibri" w:hAnsi="Calibri" w:cs="Calibri"/>
          <w:lang w:val="nl-NL"/>
        </w:rPr>
        <w:tab/>
        <w:t xml:space="preserve">Limborg, M. T. </w:t>
      </w:r>
      <w:r w:rsidRPr="00180923">
        <w:rPr>
          <w:rFonts w:ascii="Calibri" w:hAnsi="Calibri" w:cs="Calibri"/>
          <w:i/>
          <w:iCs/>
          <w:lang w:val="nl-NL"/>
        </w:rPr>
        <w:t>et al.</w:t>
      </w:r>
      <w:r w:rsidRPr="00180923">
        <w:rPr>
          <w:rFonts w:ascii="Calibri" w:hAnsi="Calibri" w:cs="Calibri"/>
          <w:lang w:val="nl-NL"/>
        </w:rPr>
        <w:t xml:space="preserve"> </w:t>
      </w:r>
      <w:r w:rsidRPr="00180923">
        <w:rPr>
          <w:rFonts w:ascii="Calibri" w:hAnsi="Calibri" w:cs="Calibri"/>
        </w:rPr>
        <w:t xml:space="preserve">Applied Hologenomics: Feasibility and Potential in Aquaculture. </w:t>
      </w:r>
      <w:r w:rsidRPr="00180923">
        <w:rPr>
          <w:rFonts w:ascii="Calibri" w:hAnsi="Calibri" w:cs="Calibri"/>
          <w:i/>
          <w:iCs/>
        </w:rPr>
        <w:t>Trends Biotechnol.</w:t>
      </w:r>
      <w:r w:rsidRPr="00180923">
        <w:rPr>
          <w:rFonts w:ascii="Calibri" w:hAnsi="Calibri" w:cs="Calibri"/>
        </w:rPr>
        <w:t xml:space="preserve"> </w:t>
      </w:r>
      <w:r w:rsidRPr="00180923">
        <w:rPr>
          <w:rFonts w:ascii="Calibri" w:hAnsi="Calibri" w:cs="Calibri"/>
          <w:b/>
          <w:bCs/>
        </w:rPr>
        <w:t>36</w:t>
      </w:r>
      <w:r w:rsidRPr="00180923">
        <w:rPr>
          <w:rFonts w:ascii="Calibri" w:hAnsi="Calibri" w:cs="Calibri"/>
        </w:rPr>
        <w:t>, 252–264 (2018).</w:t>
      </w:r>
    </w:p>
    <w:p w14:paraId="53068732" w14:textId="77777777" w:rsidR="00180923" w:rsidRPr="00180923" w:rsidRDefault="00180923" w:rsidP="00180923">
      <w:pPr>
        <w:pStyle w:val="Bibliography"/>
        <w:rPr>
          <w:rFonts w:ascii="Calibri" w:hAnsi="Calibri" w:cs="Calibri"/>
        </w:rPr>
      </w:pPr>
      <w:r w:rsidRPr="00180923">
        <w:rPr>
          <w:rFonts w:ascii="Calibri" w:hAnsi="Calibri" w:cs="Calibri"/>
        </w:rPr>
        <w:t>12.</w:t>
      </w:r>
      <w:r w:rsidRPr="00180923">
        <w:rPr>
          <w:rFonts w:ascii="Calibri" w:hAnsi="Calibri" w:cs="Calibri"/>
        </w:rPr>
        <w:tab/>
        <w:t xml:space="preserve">Greathouse, K. L. </w:t>
      </w:r>
      <w:r w:rsidRPr="00180923">
        <w:rPr>
          <w:rFonts w:ascii="Calibri" w:hAnsi="Calibri" w:cs="Calibri"/>
          <w:i/>
          <w:iCs/>
        </w:rPr>
        <w:t>et al.</w:t>
      </w:r>
      <w:r w:rsidRPr="00180923">
        <w:rPr>
          <w:rFonts w:ascii="Calibri" w:hAnsi="Calibri" w:cs="Calibri"/>
        </w:rPr>
        <w:t xml:space="preserve"> Interaction between the microbiome and TP53 in human lung cancer. </w:t>
      </w:r>
      <w:r w:rsidRPr="00180923">
        <w:rPr>
          <w:rFonts w:ascii="Calibri" w:hAnsi="Calibri" w:cs="Calibri"/>
          <w:i/>
          <w:iCs/>
        </w:rPr>
        <w:t>Genome Biol.</w:t>
      </w:r>
      <w:r w:rsidRPr="00180923">
        <w:rPr>
          <w:rFonts w:ascii="Calibri" w:hAnsi="Calibri" w:cs="Calibri"/>
        </w:rPr>
        <w:t xml:space="preserve"> </w:t>
      </w:r>
      <w:r w:rsidRPr="00180923">
        <w:rPr>
          <w:rFonts w:ascii="Calibri" w:hAnsi="Calibri" w:cs="Calibri"/>
          <w:b/>
          <w:bCs/>
        </w:rPr>
        <w:t>19</w:t>
      </w:r>
      <w:r w:rsidRPr="00180923">
        <w:rPr>
          <w:rFonts w:ascii="Calibri" w:hAnsi="Calibri" w:cs="Calibri"/>
        </w:rPr>
        <w:t>, 123 (2018).</w:t>
      </w:r>
    </w:p>
    <w:p w14:paraId="3C7D6314" w14:textId="77777777" w:rsidR="00180923" w:rsidRPr="00180923" w:rsidRDefault="00180923" w:rsidP="00180923">
      <w:pPr>
        <w:pStyle w:val="Bibliography"/>
        <w:rPr>
          <w:rFonts w:ascii="Calibri" w:hAnsi="Calibri" w:cs="Calibri"/>
        </w:rPr>
      </w:pPr>
      <w:r w:rsidRPr="00180923">
        <w:rPr>
          <w:rFonts w:ascii="Calibri" w:hAnsi="Calibri" w:cs="Calibri"/>
        </w:rPr>
        <w:t>13.</w:t>
      </w:r>
      <w:r w:rsidRPr="00180923">
        <w:rPr>
          <w:rFonts w:ascii="Calibri" w:hAnsi="Calibri" w:cs="Calibri"/>
        </w:rPr>
        <w:tab/>
        <w:t xml:space="preserve">Wang, Y., Wang, Y. &amp; Wang, J. A comprehensive analysis of intratumor microbiome in head and neck squamous cell carcinoma. </w:t>
      </w:r>
      <w:r w:rsidRPr="00180923">
        <w:rPr>
          <w:rFonts w:ascii="Calibri" w:hAnsi="Calibri" w:cs="Calibri"/>
          <w:i/>
          <w:iCs/>
        </w:rPr>
        <w:t>Eur. Arch. Otorhinolaryngol.</w:t>
      </w:r>
      <w:r w:rsidRPr="00180923">
        <w:rPr>
          <w:rFonts w:ascii="Calibri" w:hAnsi="Calibri" w:cs="Calibri"/>
        </w:rPr>
        <w:t xml:space="preserve"> (2022) doi:10.1007/s00405-022-07284-z.</w:t>
      </w:r>
    </w:p>
    <w:p w14:paraId="314ECEE8" w14:textId="77777777" w:rsidR="00180923" w:rsidRPr="00180923" w:rsidRDefault="00180923" w:rsidP="00180923">
      <w:pPr>
        <w:pStyle w:val="Bibliography"/>
        <w:rPr>
          <w:rFonts w:ascii="Calibri" w:hAnsi="Calibri" w:cs="Calibri"/>
        </w:rPr>
      </w:pPr>
      <w:r w:rsidRPr="00180923">
        <w:rPr>
          <w:rFonts w:ascii="Calibri" w:hAnsi="Calibri" w:cs="Calibri"/>
        </w:rPr>
        <w:t>14.</w:t>
      </w:r>
      <w:r w:rsidRPr="00180923">
        <w:rPr>
          <w:rFonts w:ascii="Calibri" w:hAnsi="Calibri" w:cs="Calibri"/>
        </w:rPr>
        <w:tab/>
        <w:t xml:space="preserve">Chakladar, J. </w:t>
      </w:r>
      <w:r w:rsidRPr="00180923">
        <w:rPr>
          <w:rFonts w:ascii="Calibri" w:hAnsi="Calibri" w:cs="Calibri"/>
          <w:i/>
          <w:iCs/>
        </w:rPr>
        <w:t>et al.</w:t>
      </w:r>
      <w:r w:rsidRPr="00180923">
        <w:rPr>
          <w:rFonts w:ascii="Calibri" w:hAnsi="Calibri" w:cs="Calibri"/>
        </w:rPr>
        <w:t xml:space="preserve"> The Pancreatic Microbiome is Associated with Carcinogenesis and Worse Prognosis in Males and Smokers. </w:t>
      </w:r>
      <w:r w:rsidRPr="00180923">
        <w:rPr>
          <w:rFonts w:ascii="Calibri" w:hAnsi="Calibri" w:cs="Calibri"/>
          <w:i/>
          <w:iCs/>
        </w:rPr>
        <w:t>Cancers</w:t>
      </w:r>
      <w:r w:rsidRPr="00180923">
        <w:rPr>
          <w:rFonts w:ascii="Calibri" w:hAnsi="Calibri" w:cs="Calibri"/>
        </w:rPr>
        <w:t xml:space="preserve"> </w:t>
      </w:r>
      <w:r w:rsidRPr="00180923">
        <w:rPr>
          <w:rFonts w:ascii="Calibri" w:hAnsi="Calibri" w:cs="Calibri"/>
          <w:b/>
          <w:bCs/>
        </w:rPr>
        <w:t>12</w:t>
      </w:r>
      <w:r w:rsidRPr="00180923">
        <w:rPr>
          <w:rFonts w:ascii="Calibri" w:hAnsi="Calibri" w:cs="Calibri"/>
        </w:rPr>
        <w:t>, 2672 (2020).</w:t>
      </w:r>
    </w:p>
    <w:p w14:paraId="37646F8D" w14:textId="77777777" w:rsidR="00180923" w:rsidRPr="00180923" w:rsidRDefault="00180923" w:rsidP="00180923">
      <w:pPr>
        <w:pStyle w:val="Bibliography"/>
        <w:rPr>
          <w:rFonts w:ascii="Calibri" w:hAnsi="Calibri" w:cs="Calibri"/>
        </w:rPr>
      </w:pPr>
      <w:r w:rsidRPr="00180923">
        <w:rPr>
          <w:rFonts w:ascii="Calibri" w:hAnsi="Calibri" w:cs="Calibri"/>
        </w:rPr>
        <w:t>15.</w:t>
      </w:r>
      <w:r w:rsidRPr="00180923">
        <w:rPr>
          <w:rFonts w:ascii="Calibri" w:hAnsi="Calibri" w:cs="Calibri"/>
        </w:rPr>
        <w:tab/>
        <w:t xml:space="preserve">Erickson, A. R. </w:t>
      </w:r>
      <w:r w:rsidRPr="00180923">
        <w:rPr>
          <w:rFonts w:ascii="Calibri" w:hAnsi="Calibri" w:cs="Calibri"/>
          <w:i/>
          <w:iCs/>
        </w:rPr>
        <w:t>et al.</w:t>
      </w:r>
      <w:r w:rsidRPr="00180923">
        <w:rPr>
          <w:rFonts w:ascii="Calibri" w:hAnsi="Calibri" w:cs="Calibri"/>
        </w:rPr>
        <w:t xml:space="preserve"> Integrated Metagenomics/Metaproteomics Reveals Human Host-Microbiota Signatures of Crohn’s Disease. </w:t>
      </w:r>
      <w:r w:rsidRPr="00180923">
        <w:rPr>
          <w:rFonts w:ascii="Calibri" w:hAnsi="Calibri" w:cs="Calibri"/>
          <w:i/>
          <w:iCs/>
        </w:rPr>
        <w:t>PLoS ONE</w:t>
      </w:r>
      <w:r w:rsidRPr="00180923">
        <w:rPr>
          <w:rFonts w:ascii="Calibri" w:hAnsi="Calibri" w:cs="Calibri"/>
        </w:rPr>
        <w:t xml:space="preserve"> </w:t>
      </w:r>
      <w:r w:rsidRPr="00180923">
        <w:rPr>
          <w:rFonts w:ascii="Calibri" w:hAnsi="Calibri" w:cs="Calibri"/>
          <w:b/>
          <w:bCs/>
        </w:rPr>
        <w:t>7</w:t>
      </w:r>
      <w:r w:rsidRPr="00180923">
        <w:rPr>
          <w:rFonts w:ascii="Calibri" w:hAnsi="Calibri" w:cs="Calibri"/>
        </w:rPr>
        <w:t>, e49138 (2012).</w:t>
      </w:r>
    </w:p>
    <w:p w14:paraId="231842D3" w14:textId="77777777" w:rsidR="00180923" w:rsidRPr="00180923" w:rsidRDefault="00180923" w:rsidP="00180923">
      <w:pPr>
        <w:pStyle w:val="Bibliography"/>
        <w:rPr>
          <w:rFonts w:ascii="Calibri" w:hAnsi="Calibri" w:cs="Calibri"/>
        </w:rPr>
      </w:pPr>
      <w:r w:rsidRPr="00180923">
        <w:rPr>
          <w:rFonts w:ascii="Calibri" w:hAnsi="Calibri" w:cs="Calibri"/>
        </w:rPr>
        <w:t>16.</w:t>
      </w:r>
      <w:r w:rsidRPr="00180923">
        <w:rPr>
          <w:rFonts w:ascii="Calibri" w:hAnsi="Calibri" w:cs="Calibri"/>
        </w:rPr>
        <w:tab/>
        <w:t xml:space="preserve">Proctor, L. M. </w:t>
      </w:r>
      <w:r w:rsidRPr="00180923">
        <w:rPr>
          <w:rFonts w:ascii="Calibri" w:hAnsi="Calibri" w:cs="Calibri"/>
          <w:i/>
          <w:iCs/>
        </w:rPr>
        <w:t>et al.</w:t>
      </w:r>
      <w:r w:rsidRPr="00180923">
        <w:rPr>
          <w:rFonts w:ascii="Calibri" w:hAnsi="Calibri" w:cs="Calibri"/>
        </w:rPr>
        <w:t xml:space="preserve"> The Integrative Human Microbiome Project. </w:t>
      </w:r>
      <w:r w:rsidRPr="00180923">
        <w:rPr>
          <w:rFonts w:ascii="Calibri" w:hAnsi="Calibri" w:cs="Calibri"/>
          <w:i/>
          <w:iCs/>
        </w:rPr>
        <w:t>Nature</w:t>
      </w:r>
      <w:r w:rsidRPr="00180923">
        <w:rPr>
          <w:rFonts w:ascii="Calibri" w:hAnsi="Calibri" w:cs="Calibri"/>
        </w:rPr>
        <w:t xml:space="preserve"> </w:t>
      </w:r>
      <w:r w:rsidRPr="00180923">
        <w:rPr>
          <w:rFonts w:ascii="Calibri" w:hAnsi="Calibri" w:cs="Calibri"/>
          <w:b/>
          <w:bCs/>
        </w:rPr>
        <w:t>569</w:t>
      </w:r>
      <w:r w:rsidRPr="00180923">
        <w:rPr>
          <w:rFonts w:ascii="Calibri" w:hAnsi="Calibri" w:cs="Calibri"/>
        </w:rPr>
        <w:t>, 641–648 (2019).</w:t>
      </w:r>
    </w:p>
    <w:p w14:paraId="74C860E1" w14:textId="77777777" w:rsidR="00180923" w:rsidRPr="00180923" w:rsidRDefault="00180923" w:rsidP="00180923">
      <w:pPr>
        <w:pStyle w:val="Bibliography"/>
        <w:rPr>
          <w:rFonts w:ascii="Calibri" w:hAnsi="Calibri" w:cs="Calibri"/>
        </w:rPr>
      </w:pPr>
      <w:r w:rsidRPr="00180923">
        <w:rPr>
          <w:rFonts w:ascii="Calibri" w:hAnsi="Calibri" w:cs="Calibri"/>
        </w:rPr>
        <w:t>17.</w:t>
      </w:r>
      <w:r w:rsidRPr="00180923">
        <w:rPr>
          <w:rFonts w:ascii="Calibri" w:hAnsi="Calibri" w:cs="Calibri"/>
        </w:rPr>
        <w:tab/>
        <w:t xml:space="preserve">Duan, R. </w:t>
      </w:r>
      <w:r w:rsidRPr="00180923">
        <w:rPr>
          <w:rFonts w:ascii="Calibri" w:hAnsi="Calibri" w:cs="Calibri"/>
          <w:i/>
          <w:iCs/>
        </w:rPr>
        <w:t>et al.</w:t>
      </w:r>
      <w:r w:rsidRPr="00180923">
        <w:rPr>
          <w:rFonts w:ascii="Calibri" w:hAnsi="Calibri" w:cs="Calibri"/>
        </w:rPr>
        <w:t xml:space="preserve"> Evaluation and comparison of multi-omics data integration methods for cancer subtyping. </w:t>
      </w:r>
      <w:r w:rsidRPr="00180923">
        <w:rPr>
          <w:rFonts w:ascii="Calibri" w:hAnsi="Calibri" w:cs="Calibri"/>
          <w:i/>
          <w:iCs/>
        </w:rPr>
        <w:t>PLOS Comput. Biol.</w:t>
      </w:r>
      <w:r w:rsidRPr="00180923">
        <w:rPr>
          <w:rFonts w:ascii="Calibri" w:hAnsi="Calibri" w:cs="Calibri"/>
        </w:rPr>
        <w:t xml:space="preserve"> </w:t>
      </w:r>
      <w:r w:rsidRPr="00180923">
        <w:rPr>
          <w:rFonts w:ascii="Calibri" w:hAnsi="Calibri" w:cs="Calibri"/>
          <w:b/>
          <w:bCs/>
        </w:rPr>
        <w:t>17</w:t>
      </w:r>
      <w:r w:rsidRPr="00180923">
        <w:rPr>
          <w:rFonts w:ascii="Calibri" w:hAnsi="Calibri" w:cs="Calibri"/>
        </w:rPr>
        <w:t>, e1009224 (2021).</w:t>
      </w:r>
    </w:p>
    <w:p w14:paraId="46399BD6" w14:textId="77777777" w:rsidR="00180923" w:rsidRPr="00180923" w:rsidRDefault="00180923" w:rsidP="00180923">
      <w:pPr>
        <w:pStyle w:val="Bibliography"/>
        <w:rPr>
          <w:rFonts w:ascii="Calibri" w:hAnsi="Calibri" w:cs="Calibri"/>
        </w:rPr>
      </w:pPr>
      <w:r w:rsidRPr="00180923">
        <w:rPr>
          <w:rFonts w:ascii="Calibri" w:hAnsi="Calibri" w:cs="Calibri"/>
        </w:rPr>
        <w:lastRenderedPageBreak/>
        <w:t>18.</w:t>
      </w:r>
      <w:r w:rsidRPr="00180923">
        <w:rPr>
          <w:rFonts w:ascii="Calibri" w:hAnsi="Calibri" w:cs="Calibri"/>
        </w:rPr>
        <w:tab/>
        <w:t xml:space="preserve">Way, G. P. &amp; Greene, C. S. Extracting a biologically relevant latent space from cancer transcriptomes with variational autoencoders. </w:t>
      </w:r>
      <w:r w:rsidRPr="00180923">
        <w:rPr>
          <w:rFonts w:ascii="Calibri" w:hAnsi="Calibri" w:cs="Calibri"/>
          <w:i/>
          <w:iCs/>
        </w:rPr>
        <w:t>Pac. Symp. Biocomput. Pac. Symp. Biocomput.</w:t>
      </w:r>
      <w:r w:rsidRPr="00180923">
        <w:rPr>
          <w:rFonts w:ascii="Calibri" w:hAnsi="Calibri" w:cs="Calibri"/>
        </w:rPr>
        <w:t xml:space="preserve"> </w:t>
      </w:r>
      <w:r w:rsidRPr="00180923">
        <w:rPr>
          <w:rFonts w:ascii="Calibri" w:hAnsi="Calibri" w:cs="Calibri"/>
          <w:b/>
          <w:bCs/>
        </w:rPr>
        <w:t>23</w:t>
      </w:r>
      <w:r w:rsidRPr="00180923">
        <w:rPr>
          <w:rFonts w:ascii="Calibri" w:hAnsi="Calibri" w:cs="Calibri"/>
        </w:rPr>
        <w:t>, 80–91 (2018).</w:t>
      </w:r>
    </w:p>
    <w:p w14:paraId="20CDD50F" w14:textId="556B2FBE" w:rsidR="00812088" w:rsidRPr="00A96604" w:rsidRDefault="008D0A23">
      <w:pPr>
        <w:rPr>
          <w:lang w:val="en-GB"/>
        </w:rPr>
      </w:pPr>
      <w:r>
        <w:rPr>
          <w:lang w:val="en-GB"/>
        </w:rPr>
        <w:fldChar w:fldCharType="end"/>
      </w:r>
    </w:p>
    <w:sectPr w:rsidR="00812088" w:rsidRPr="00A96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B244D" w14:textId="77777777" w:rsidR="0004638E" w:rsidRDefault="0004638E" w:rsidP="001F73E5">
      <w:pPr>
        <w:spacing w:after="0" w:line="240" w:lineRule="auto"/>
      </w:pPr>
      <w:r>
        <w:separator/>
      </w:r>
    </w:p>
  </w:endnote>
  <w:endnote w:type="continuationSeparator" w:id="0">
    <w:p w14:paraId="2CEE60C1" w14:textId="77777777" w:rsidR="0004638E" w:rsidRDefault="0004638E" w:rsidP="001F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996D7" w14:textId="77777777" w:rsidR="0004638E" w:rsidRDefault="0004638E" w:rsidP="001F73E5">
      <w:pPr>
        <w:spacing w:after="0" w:line="240" w:lineRule="auto"/>
      </w:pPr>
      <w:r>
        <w:separator/>
      </w:r>
    </w:p>
  </w:footnote>
  <w:footnote w:type="continuationSeparator" w:id="0">
    <w:p w14:paraId="11A2C440" w14:textId="77777777" w:rsidR="0004638E" w:rsidRDefault="0004638E" w:rsidP="001F73E5">
      <w:pPr>
        <w:spacing w:after="0" w:line="240" w:lineRule="auto"/>
      </w:pPr>
      <w:r>
        <w:continuationSeparator/>
      </w:r>
    </w:p>
  </w:footnote>
  <w:footnote w:id="1">
    <w:p w14:paraId="6386CEC3" w14:textId="4E296143" w:rsidR="001F73E5" w:rsidRDefault="001F73E5">
      <w:pPr>
        <w:pStyle w:val="FootnoteText"/>
      </w:pPr>
      <w:r>
        <w:rPr>
          <w:rStyle w:val="FootnoteReference"/>
        </w:rPr>
        <w:footnoteRef/>
      </w:r>
      <w:r>
        <w:t xml:space="preserve"> </w:t>
      </w:r>
      <w:hyperlink r:id="rId1" w:history="1">
        <w:r w:rsidRPr="00FE31B4">
          <w:rPr>
            <w:rStyle w:val="Hyperlink"/>
            <w:lang w:val="en-GB"/>
          </w:rPr>
          <w:t>https://tcma.pratt.duke.edu/</w:t>
        </w:r>
      </w:hyperlink>
    </w:p>
  </w:footnote>
  <w:footnote w:id="2">
    <w:p w14:paraId="29A8B8A1" w14:textId="34A933DC" w:rsidR="00C023E2" w:rsidRPr="00C023E2" w:rsidRDefault="00C023E2" w:rsidP="00C023E2">
      <w:pPr>
        <w:rPr>
          <w:lang w:val="en-GB"/>
        </w:rPr>
      </w:pPr>
      <w:r>
        <w:rPr>
          <w:rStyle w:val="FootnoteReference"/>
        </w:rPr>
        <w:footnoteRef/>
      </w:r>
      <w:r>
        <w:t xml:space="preserve"> </w:t>
      </w:r>
      <w:r w:rsidRPr="003017B1">
        <w:rPr>
          <w:lang w:val="en-GB"/>
        </w:rPr>
        <w:t>https://gdc.cancer.gov/resources-tcga-users/tcga-code-tables/sample-type-codes</w:t>
      </w:r>
    </w:p>
  </w:footnote>
  <w:footnote w:id="3">
    <w:p w14:paraId="304EF86C" w14:textId="35DF0B85" w:rsidR="00C023E2" w:rsidRDefault="00C023E2">
      <w:pPr>
        <w:pStyle w:val="FootnoteText"/>
      </w:pPr>
      <w:r>
        <w:rPr>
          <w:rStyle w:val="FootnoteReference"/>
        </w:rPr>
        <w:footnoteRef/>
      </w:r>
      <w:r>
        <w:t xml:space="preserve"> </w:t>
      </w:r>
      <w:r w:rsidRPr="00C023E2">
        <w:t>https://docs.gdc.cancer.gov/Encyclopedia/pages/images/TCGA-TCGAbarcode-080518-1750-4378.pdf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2"/>
  </w:num>
  <w:num w:numId="3" w16cid:durableId="1904295687">
    <w:abstractNumId w:val="1"/>
  </w:num>
  <w:num w:numId="4" w16cid:durableId="670253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78BF69D9-6F0A-4605-A957-EA9081C8D70F}"/>
    <w:docVar w:name="dgnword-eventsink" w:val="399190912"/>
  </w:docVars>
  <w:rsids>
    <w:rsidRoot w:val="00A96604"/>
    <w:rsid w:val="000011A0"/>
    <w:rsid w:val="00001F06"/>
    <w:rsid w:val="00012BDF"/>
    <w:rsid w:val="00015CA7"/>
    <w:rsid w:val="00017490"/>
    <w:rsid w:val="000255CA"/>
    <w:rsid w:val="00033BD2"/>
    <w:rsid w:val="0003769F"/>
    <w:rsid w:val="000423DE"/>
    <w:rsid w:val="0004638E"/>
    <w:rsid w:val="000477FE"/>
    <w:rsid w:val="00056827"/>
    <w:rsid w:val="0007197A"/>
    <w:rsid w:val="00084F5A"/>
    <w:rsid w:val="000912E0"/>
    <w:rsid w:val="00091A77"/>
    <w:rsid w:val="00097627"/>
    <w:rsid w:val="000A0E92"/>
    <w:rsid w:val="000A541B"/>
    <w:rsid w:val="000B73BD"/>
    <w:rsid w:val="000C3AA3"/>
    <w:rsid w:val="000C6B78"/>
    <w:rsid w:val="000E1B94"/>
    <w:rsid w:val="00105D2E"/>
    <w:rsid w:val="001228BD"/>
    <w:rsid w:val="00127277"/>
    <w:rsid w:val="001411EA"/>
    <w:rsid w:val="00142FE4"/>
    <w:rsid w:val="00147CB4"/>
    <w:rsid w:val="001678E3"/>
    <w:rsid w:val="001719F7"/>
    <w:rsid w:val="00180923"/>
    <w:rsid w:val="00182DA5"/>
    <w:rsid w:val="00191D0D"/>
    <w:rsid w:val="00194A83"/>
    <w:rsid w:val="001B5B1A"/>
    <w:rsid w:val="001C3A8F"/>
    <w:rsid w:val="001C4646"/>
    <w:rsid w:val="001D015B"/>
    <w:rsid w:val="001D70B8"/>
    <w:rsid w:val="001D7446"/>
    <w:rsid w:val="001E56AF"/>
    <w:rsid w:val="001E7AAA"/>
    <w:rsid w:val="001F5B0B"/>
    <w:rsid w:val="001F73E5"/>
    <w:rsid w:val="00203142"/>
    <w:rsid w:val="00222A46"/>
    <w:rsid w:val="002232B3"/>
    <w:rsid w:val="00235766"/>
    <w:rsid w:val="00240BF5"/>
    <w:rsid w:val="00243C18"/>
    <w:rsid w:val="0026406F"/>
    <w:rsid w:val="002663EE"/>
    <w:rsid w:val="00274FDB"/>
    <w:rsid w:val="00283898"/>
    <w:rsid w:val="002909C1"/>
    <w:rsid w:val="00294CAE"/>
    <w:rsid w:val="002A19E3"/>
    <w:rsid w:val="002A5B64"/>
    <w:rsid w:val="002B10C8"/>
    <w:rsid w:val="002D2DEC"/>
    <w:rsid w:val="002D3143"/>
    <w:rsid w:val="002D3CE9"/>
    <w:rsid w:val="003017B1"/>
    <w:rsid w:val="00301B30"/>
    <w:rsid w:val="00323235"/>
    <w:rsid w:val="00324463"/>
    <w:rsid w:val="00362AD8"/>
    <w:rsid w:val="00370C80"/>
    <w:rsid w:val="003851AE"/>
    <w:rsid w:val="003956A4"/>
    <w:rsid w:val="003B5636"/>
    <w:rsid w:val="003C4EBF"/>
    <w:rsid w:val="003C6DD7"/>
    <w:rsid w:val="003D24BC"/>
    <w:rsid w:val="003D26BF"/>
    <w:rsid w:val="003F3E04"/>
    <w:rsid w:val="003F5EEF"/>
    <w:rsid w:val="003F6709"/>
    <w:rsid w:val="0042041E"/>
    <w:rsid w:val="004277AD"/>
    <w:rsid w:val="00432975"/>
    <w:rsid w:val="0044530F"/>
    <w:rsid w:val="00446BD8"/>
    <w:rsid w:val="00451C9E"/>
    <w:rsid w:val="00456F0D"/>
    <w:rsid w:val="004615FB"/>
    <w:rsid w:val="00464C80"/>
    <w:rsid w:val="0047564F"/>
    <w:rsid w:val="004800F2"/>
    <w:rsid w:val="00492C4D"/>
    <w:rsid w:val="004A6406"/>
    <w:rsid w:val="004B4560"/>
    <w:rsid w:val="004C5635"/>
    <w:rsid w:val="004C5EFA"/>
    <w:rsid w:val="004D017C"/>
    <w:rsid w:val="004E4EC1"/>
    <w:rsid w:val="004F5B71"/>
    <w:rsid w:val="004F742B"/>
    <w:rsid w:val="00501BEA"/>
    <w:rsid w:val="00504E80"/>
    <w:rsid w:val="005064C9"/>
    <w:rsid w:val="0051709F"/>
    <w:rsid w:val="00537027"/>
    <w:rsid w:val="0053720E"/>
    <w:rsid w:val="0054671E"/>
    <w:rsid w:val="00563AAF"/>
    <w:rsid w:val="0057034B"/>
    <w:rsid w:val="00581746"/>
    <w:rsid w:val="005A44C1"/>
    <w:rsid w:val="005A59C9"/>
    <w:rsid w:val="005A7353"/>
    <w:rsid w:val="005C4B07"/>
    <w:rsid w:val="005D0415"/>
    <w:rsid w:val="005D3F4B"/>
    <w:rsid w:val="005D410D"/>
    <w:rsid w:val="005D7E9D"/>
    <w:rsid w:val="005E0447"/>
    <w:rsid w:val="005E5774"/>
    <w:rsid w:val="005E692D"/>
    <w:rsid w:val="00603D70"/>
    <w:rsid w:val="00607A53"/>
    <w:rsid w:val="00614037"/>
    <w:rsid w:val="00620F5E"/>
    <w:rsid w:val="00625DEA"/>
    <w:rsid w:val="00627653"/>
    <w:rsid w:val="00631DE9"/>
    <w:rsid w:val="00637ED4"/>
    <w:rsid w:val="006454AC"/>
    <w:rsid w:val="006463D9"/>
    <w:rsid w:val="006547AA"/>
    <w:rsid w:val="00661E09"/>
    <w:rsid w:val="006620BE"/>
    <w:rsid w:val="00665921"/>
    <w:rsid w:val="00666EBF"/>
    <w:rsid w:val="006839AC"/>
    <w:rsid w:val="00687E59"/>
    <w:rsid w:val="00696053"/>
    <w:rsid w:val="0069665A"/>
    <w:rsid w:val="006B2F31"/>
    <w:rsid w:val="006C50A9"/>
    <w:rsid w:val="006D7FAD"/>
    <w:rsid w:val="006E05A4"/>
    <w:rsid w:val="006E338C"/>
    <w:rsid w:val="006E54B9"/>
    <w:rsid w:val="00720AF8"/>
    <w:rsid w:val="00736A17"/>
    <w:rsid w:val="007439D7"/>
    <w:rsid w:val="007457DB"/>
    <w:rsid w:val="007606A1"/>
    <w:rsid w:val="007660F8"/>
    <w:rsid w:val="00782B0E"/>
    <w:rsid w:val="0078557C"/>
    <w:rsid w:val="00791FC3"/>
    <w:rsid w:val="007931A4"/>
    <w:rsid w:val="007933AB"/>
    <w:rsid w:val="00797EBF"/>
    <w:rsid w:val="007A2AA9"/>
    <w:rsid w:val="007B0B89"/>
    <w:rsid w:val="007C0BFD"/>
    <w:rsid w:val="007C6931"/>
    <w:rsid w:val="007D168F"/>
    <w:rsid w:val="007D77EC"/>
    <w:rsid w:val="007E5AF0"/>
    <w:rsid w:val="007F2C93"/>
    <w:rsid w:val="007F37A9"/>
    <w:rsid w:val="007F5CCF"/>
    <w:rsid w:val="007F7989"/>
    <w:rsid w:val="00812088"/>
    <w:rsid w:val="00815362"/>
    <w:rsid w:val="008253F0"/>
    <w:rsid w:val="008325E3"/>
    <w:rsid w:val="0083593D"/>
    <w:rsid w:val="008457B5"/>
    <w:rsid w:val="0084787B"/>
    <w:rsid w:val="00857689"/>
    <w:rsid w:val="00862435"/>
    <w:rsid w:val="0086599A"/>
    <w:rsid w:val="0087183F"/>
    <w:rsid w:val="00880562"/>
    <w:rsid w:val="00881CB5"/>
    <w:rsid w:val="008A4B99"/>
    <w:rsid w:val="008B757B"/>
    <w:rsid w:val="008D0951"/>
    <w:rsid w:val="008D0A23"/>
    <w:rsid w:val="008D7EC1"/>
    <w:rsid w:val="008E44A0"/>
    <w:rsid w:val="008E5FB0"/>
    <w:rsid w:val="008F1C95"/>
    <w:rsid w:val="008F2A67"/>
    <w:rsid w:val="00901744"/>
    <w:rsid w:val="009105F3"/>
    <w:rsid w:val="00910EC1"/>
    <w:rsid w:val="00921FE6"/>
    <w:rsid w:val="00923C0D"/>
    <w:rsid w:val="009240AB"/>
    <w:rsid w:val="00924E55"/>
    <w:rsid w:val="00926148"/>
    <w:rsid w:val="009348E8"/>
    <w:rsid w:val="00944486"/>
    <w:rsid w:val="00945518"/>
    <w:rsid w:val="0096165F"/>
    <w:rsid w:val="009649B1"/>
    <w:rsid w:val="00965CE4"/>
    <w:rsid w:val="0097542D"/>
    <w:rsid w:val="00993FD7"/>
    <w:rsid w:val="009A3AB9"/>
    <w:rsid w:val="009A5C8D"/>
    <w:rsid w:val="009B2F38"/>
    <w:rsid w:val="009B7E09"/>
    <w:rsid w:val="009B7FAE"/>
    <w:rsid w:val="009C4A81"/>
    <w:rsid w:val="009C56E6"/>
    <w:rsid w:val="009E6945"/>
    <w:rsid w:val="009F76FD"/>
    <w:rsid w:val="009F7DF1"/>
    <w:rsid w:val="00A006CC"/>
    <w:rsid w:val="00A15D71"/>
    <w:rsid w:val="00A16029"/>
    <w:rsid w:val="00A174DE"/>
    <w:rsid w:val="00A2156A"/>
    <w:rsid w:val="00A27069"/>
    <w:rsid w:val="00A4435E"/>
    <w:rsid w:val="00A80609"/>
    <w:rsid w:val="00A96604"/>
    <w:rsid w:val="00AA4BB3"/>
    <w:rsid w:val="00AB13DA"/>
    <w:rsid w:val="00AB19BA"/>
    <w:rsid w:val="00AB323A"/>
    <w:rsid w:val="00AB3B0E"/>
    <w:rsid w:val="00AB7AB4"/>
    <w:rsid w:val="00AD6999"/>
    <w:rsid w:val="00AD7BCD"/>
    <w:rsid w:val="00B10986"/>
    <w:rsid w:val="00B13C0C"/>
    <w:rsid w:val="00B14B8A"/>
    <w:rsid w:val="00B16961"/>
    <w:rsid w:val="00B171FD"/>
    <w:rsid w:val="00B17B61"/>
    <w:rsid w:val="00B17DBC"/>
    <w:rsid w:val="00B242CD"/>
    <w:rsid w:val="00B27F81"/>
    <w:rsid w:val="00B326AC"/>
    <w:rsid w:val="00B373E4"/>
    <w:rsid w:val="00B4629E"/>
    <w:rsid w:val="00B5569C"/>
    <w:rsid w:val="00B66F82"/>
    <w:rsid w:val="00B67B05"/>
    <w:rsid w:val="00B74125"/>
    <w:rsid w:val="00B778EE"/>
    <w:rsid w:val="00B77A75"/>
    <w:rsid w:val="00B844D1"/>
    <w:rsid w:val="00B868C8"/>
    <w:rsid w:val="00B94DE8"/>
    <w:rsid w:val="00BA213A"/>
    <w:rsid w:val="00BA42F6"/>
    <w:rsid w:val="00BA55F6"/>
    <w:rsid w:val="00BB1F9B"/>
    <w:rsid w:val="00BB735D"/>
    <w:rsid w:val="00BC5673"/>
    <w:rsid w:val="00BD56F6"/>
    <w:rsid w:val="00BD6D49"/>
    <w:rsid w:val="00BD7FE5"/>
    <w:rsid w:val="00BE624C"/>
    <w:rsid w:val="00C023E2"/>
    <w:rsid w:val="00C02E20"/>
    <w:rsid w:val="00C1419F"/>
    <w:rsid w:val="00C205B0"/>
    <w:rsid w:val="00C22403"/>
    <w:rsid w:val="00C30329"/>
    <w:rsid w:val="00C31BCF"/>
    <w:rsid w:val="00C32DE8"/>
    <w:rsid w:val="00C35844"/>
    <w:rsid w:val="00C36462"/>
    <w:rsid w:val="00C401CE"/>
    <w:rsid w:val="00C44700"/>
    <w:rsid w:val="00C60C78"/>
    <w:rsid w:val="00C6365D"/>
    <w:rsid w:val="00C667C5"/>
    <w:rsid w:val="00C66C40"/>
    <w:rsid w:val="00C7165F"/>
    <w:rsid w:val="00C75B30"/>
    <w:rsid w:val="00C8456D"/>
    <w:rsid w:val="00CA251C"/>
    <w:rsid w:val="00CA30B8"/>
    <w:rsid w:val="00CA3788"/>
    <w:rsid w:val="00CB6801"/>
    <w:rsid w:val="00CD64FE"/>
    <w:rsid w:val="00CD6906"/>
    <w:rsid w:val="00CE027D"/>
    <w:rsid w:val="00CF4940"/>
    <w:rsid w:val="00CF4AD8"/>
    <w:rsid w:val="00CF5CC5"/>
    <w:rsid w:val="00D04E93"/>
    <w:rsid w:val="00D10E62"/>
    <w:rsid w:val="00D24283"/>
    <w:rsid w:val="00D26AC7"/>
    <w:rsid w:val="00D27CC5"/>
    <w:rsid w:val="00D3131F"/>
    <w:rsid w:val="00D3485B"/>
    <w:rsid w:val="00D36CF4"/>
    <w:rsid w:val="00D43C64"/>
    <w:rsid w:val="00D622F4"/>
    <w:rsid w:val="00D633A6"/>
    <w:rsid w:val="00D75250"/>
    <w:rsid w:val="00D82253"/>
    <w:rsid w:val="00D86C69"/>
    <w:rsid w:val="00DA6596"/>
    <w:rsid w:val="00DB6F67"/>
    <w:rsid w:val="00DC2EBB"/>
    <w:rsid w:val="00DC4CAE"/>
    <w:rsid w:val="00DE179C"/>
    <w:rsid w:val="00DF3788"/>
    <w:rsid w:val="00DF5C63"/>
    <w:rsid w:val="00DF7ACF"/>
    <w:rsid w:val="00E0269E"/>
    <w:rsid w:val="00E03E9C"/>
    <w:rsid w:val="00E0566A"/>
    <w:rsid w:val="00E125E8"/>
    <w:rsid w:val="00E2529A"/>
    <w:rsid w:val="00E31D27"/>
    <w:rsid w:val="00E34420"/>
    <w:rsid w:val="00E376C7"/>
    <w:rsid w:val="00E521C1"/>
    <w:rsid w:val="00E63691"/>
    <w:rsid w:val="00E7779D"/>
    <w:rsid w:val="00E875DA"/>
    <w:rsid w:val="00E96E16"/>
    <w:rsid w:val="00EA1224"/>
    <w:rsid w:val="00EC4225"/>
    <w:rsid w:val="00EC4291"/>
    <w:rsid w:val="00EC5736"/>
    <w:rsid w:val="00EC7796"/>
    <w:rsid w:val="00EE5EA4"/>
    <w:rsid w:val="00EE7197"/>
    <w:rsid w:val="00F146E8"/>
    <w:rsid w:val="00F152EA"/>
    <w:rsid w:val="00F2622A"/>
    <w:rsid w:val="00F30F05"/>
    <w:rsid w:val="00F42512"/>
    <w:rsid w:val="00F445BC"/>
    <w:rsid w:val="00F46461"/>
    <w:rsid w:val="00F57A8B"/>
    <w:rsid w:val="00F67099"/>
    <w:rsid w:val="00F7138C"/>
    <w:rsid w:val="00F76864"/>
    <w:rsid w:val="00F873C7"/>
    <w:rsid w:val="00FA06A6"/>
    <w:rsid w:val="00FA4AF9"/>
    <w:rsid w:val="00FB565D"/>
    <w:rsid w:val="00FC5BFF"/>
    <w:rsid w:val="00FD78E2"/>
    <w:rsid w:val="00FE229D"/>
    <w:rsid w:val="00FE2325"/>
    <w:rsid w:val="00FE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431AB50F-44CC-4901-A088-05588E5D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A0"/>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1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6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19E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E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10C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4E55"/>
    <w:rPr>
      <w:color w:val="0563C1" w:themeColor="hyperlink"/>
      <w:u w:val="single"/>
    </w:rPr>
  </w:style>
  <w:style w:type="character" w:styleId="UnresolvedMention">
    <w:name w:val="Unresolved Mention"/>
    <w:basedOn w:val="DefaultParagraphFont"/>
    <w:uiPriority w:val="99"/>
    <w:semiHidden/>
    <w:unhideWhenUsed/>
    <w:rsid w:val="00924E55"/>
    <w:rPr>
      <w:color w:val="605E5C"/>
      <w:shd w:val="clear" w:color="auto" w:fill="E1DFDD"/>
    </w:rPr>
  </w:style>
  <w:style w:type="character" w:styleId="FollowedHyperlink">
    <w:name w:val="FollowedHyperlink"/>
    <w:basedOn w:val="DefaultParagraphFont"/>
    <w:uiPriority w:val="99"/>
    <w:semiHidden/>
    <w:unhideWhenUsed/>
    <w:rsid w:val="00924E55"/>
    <w:rPr>
      <w:color w:val="954F72" w:themeColor="followedHyperlink"/>
      <w:u w:val="single"/>
    </w:rPr>
  </w:style>
  <w:style w:type="paragraph" w:styleId="FootnoteText">
    <w:name w:val="footnote text"/>
    <w:basedOn w:val="Normal"/>
    <w:link w:val="FootnoteTextChar"/>
    <w:uiPriority w:val="99"/>
    <w:semiHidden/>
    <w:unhideWhenUsed/>
    <w:rsid w:val="001F7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73E5"/>
    <w:rPr>
      <w:sz w:val="20"/>
      <w:szCs w:val="20"/>
    </w:rPr>
  </w:style>
  <w:style w:type="character" w:styleId="FootnoteReference">
    <w:name w:val="footnote reference"/>
    <w:basedOn w:val="DefaultParagraphFont"/>
    <w:uiPriority w:val="99"/>
    <w:semiHidden/>
    <w:unhideWhenUsed/>
    <w:rsid w:val="001F7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339">
      <w:bodyDiv w:val="1"/>
      <w:marLeft w:val="0"/>
      <w:marRight w:val="0"/>
      <w:marTop w:val="0"/>
      <w:marBottom w:val="0"/>
      <w:divBdr>
        <w:top w:val="none" w:sz="0" w:space="0" w:color="auto"/>
        <w:left w:val="none" w:sz="0" w:space="0" w:color="auto"/>
        <w:bottom w:val="none" w:sz="0" w:space="0" w:color="auto"/>
        <w:right w:val="none" w:sz="0" w:space="0" w:color="auto"/>
      </w:divBdr>
    </w:div>
    <w:div w:id="258028257">
      <w:bodyDiv w:val="1"/>
      <w:marLeft w:val="0"/>
      <w:marRight w:val="0"/>
      <w:marTop w:val="0"/>
      <w:marBottom w:val="0"/>
      <w:divBdr>
        <w:top w:val="none" w:sz="0" w:space="0" w:color="auto"/>
        <w:left w:val="none" w:sz="0" w:space="0" w:color="auto"/>
        <w:bottom w:val="none" w:sz="0" w:space="0" w:color="auto"/>
        <w:right w:val="none" w:sz="0" w:space="0" w:color="auto"/>
      </w:divBdr>
      <w:divsChild>
        <w:div w:id="42753568">
          <w:marLeft w:val="0"/>
          <w:marRight w:val="0"/>
          <w:marTop w:val="0"/>
          <w:marBottom w:val="0"/>
          <w:divBdr>
            <w:top w:val="none" w:sz="0" w:space="0" w:color="auto"/>
            <w:left w:val="none" w:sz="0" w:space="0" w:color="auto"/>
            <w:bottom w:val="none" w:sz="0" w:space="0" w:color="auto"/>
            <w:right w:val="none" w:sz="0" w:space="0" w:color="auto"/>
          </w:divBdr>
          <w:divsChild>
            <w:div w:id="810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111">
      <w:bodyDiv w:val="1"/>
      <w:marLeft w:val="0"/>
      <w:marRight w:val="0"/>
      <w:marTop w:val="0"/>
      <w:marBottom w:val="0"/>
      <w:divBdr>
        <w:top w:val="none" w:sz="0" w:space="0" w:color="auto"/>
        <w:left w:val="none" w:sz="0" w:space="0" w:color="auto"/>
        <w:bottom w:val="none" w:sz="0" w:space="0" w:color="auto"/>
        <w:right w:val="none" w:sz="0" w:space="0" w:color="auto"/>
      </w:divBdr>
    </w:div>
    <w:div w:id="1010448144">
      <w:bodyDiv w:val="1"/>
      <w:marLeft w:val="0"/>
      <w:marRight w:val="0"/>
      <w:marTop w:val="0"/>
      <w:marBottom w:val="0"/>
      <w:divBdr>
        <w:top w:val="none" w:sz="0" w:space="0" w:color="auto"/>
        <w:left w:val="none" w:sz="0" w:space="0" w:color="auto"/>
        <w:bottom w:val="none" w:sz="0" w:space="0" w:color="auto"/>
        <w:right w:val="none" w:sz="0" w:space="0" w:color="auto"/>
      </w:divBdr>
    </w:div>
    <w:div w:id="183344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tcma.pratt.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11894</TotalTime>
  <Pages>14</Pages>
  <Words>19560</Words>
  <Characters>111496</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57</cp:revision>
  <dcterms:created xsi:type="dcterms:W3CDTF">2022-02-22T17:33:00Z</dcterms:created>
  <dcterms:modified xsi:type="dcterms:W3CDTF">2022-12-18T21:20:00Z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id="MwDb054m"/&gt;&lt;style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