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289AAA" w14:textId="57EB79D4" w:rsidR="009C4A81" w:rsidRDefault="007F5CCF" w:rsidP="00FE2325">
      <w:pPr>
        <w:pStyle w:val="Title"/>
      </w:pPr>
      <w:r>
        <w:t>Host- Microbiome Omics Integration for Cancer Analysis</w:t>
      </w:r>
      <w:r w:rsidR="00362AD8">
        <w:t xml:space="preserve"> And Diagnostics</w:t>
      </w:r>
    </w:p>
    <w:p w14:paraId="7D446754" w14:textId="76B93B4E" w:rsidR="00B00B88" w:rsidRDefault="00B00B88" w:rsidP="00FE2325">
      <w:pPr>
        <w:pStyle w:val="Heading1"/>
        <w:rPr>
          <w:lang w:val="en-GB"/>
        </w:rPr>
      </w:pPr>
      <w:proofErr w:type="spellStart"/>
      <w:r>
        <w:rPr>
          <w:lang w:val="en-GB"/>
        </w:rPr>
        <w:t>Todo</w:t>
      </w:r>
      <w:proofErr w:type="spellEnd"/>
    </w:p>
    <w:p w14:paraId="3B2517AC" w14:textId="50280059" w:rsidR="00B00B88" w:rsidRPr="00B00B88" w:rsidRDefault="00B00B88" w:rsidP="00B00B88">
      <w:pPr>
        <w:rPr>
          <w:lang w:val="en-GB"/>
        </w:rPr>
      </w:pPr>
      <w:r>
        <w:rPr>
          <w:lang w:val="en-GB"/>
        </w:rPr>
        <w:t>[pay more attention to the sentence structure, begin with most important message in paragraphs]</w:t>
      </w:r>
    </w:p>
    <w:p w14:paraId="5D2C8851" w14:textId="339B2F51" w:rsidR="007D168F" w:rsidRDefault="007D168F" w:rsidP="00FE2325">
      <w:pPr>
        <w:pStyle w:val="Heading1"/>
        <w:rPr>
          <w:lang w:val="en-GB"/>
        </w:rPr>
      </w:pPr>
      <w:r>
        <w:rPr>
          <w:lang w:val="en-GB"/>
        </w:rPr>
        <w:t>Abstract</w:t>
      </w:r>
    </w:p>
    <w:p w14:paraId="6EAB9589" w14:textId="77777777" w:rsidR="00894724" w:rsidRDefault="00894724" w:rsidP="000D591C">
      <w:pPr>
        <w:rPr>
          <w:lang w:val="en-GB"/>
        </w:rPr>
      </w:pPr>
      <w:r>
        <w:rPr>
          <w:lang w:val="en-GB"/>
        </w:rPr>
        <w:t>Cancer is one of the leading causes of death in the world. While there have been many studies investigating the progression and prevalence of cancer in tissues using host omics data or microbial data, there is a lack of research using a holo- omics approach combining both types of data. Such an approach could offer additional insights as those microbiota has been shown to have an effect on cancer morphology and aetiology.</w:t>
      </w:r>
    </w:p>
    <w:p w14:paraId="41A756FB" w14:textId="2C9090BA" w:rsidR="00894724" w:rsidRDefault="00894724" w:rsidP="000D591C">
      <w:pPr>
        <w:rPr>
          <w:lang w:val="en-GB"/>
        </w:rPr>
      </w:pPr>
      <w:r>
        <w:rPr>
          <w:lang w:val="en-GB"/>
        </w:rPr>
        <w:t>To investigate whether such an approach offers additional information, we built prediction models using individual gene expression layer, genus abundance data as a baseline and then compared it to the prediction performance when using both modalities together integrated in differing ways, using different prediction models and predicting for different prediction targets.</w:t>
      </w:r>
    </w:p>
    <w:p w14:paraId="410CF4F4" w14:textId="02A784D6" w:rsidR="00894724" w:rsidRPr="000D591C" w:rsidRDefault="00894724" w:rsidP="000D591C">
      <w:pPr>
        <w:rPr>
          <w:lang w:val="en-GB"/>
        </w:rPr>
      </w:pPr>
      <w:r>
        <w:rPr>
          <w:lang w:val="en-GB"/>
        </w:rPr>
        <w:t>The results indicate that there is no additional improvement. This might be because of the data or the power of gene expression.</w:t>
      </w:r>
    </w:p>
    <w:p w14:paraId="000541CF" w14:textId="31C5DA96" w:rsidR="00C02E20" w:rsidRDefault="007D168F" w:rsidP="007D168F">
      <w:pPr>
        <w:pStyle w:val="Heading1"/>
        <w:rPr>
          <w:lang w:val="en-GB"/>
        </w:rPr>
      </w:pPr>
      <w:r>
        <w:rPr>
          <w:lang w:val="en-GB"/>
        </w:rPr>
        <w:t>Introduction</w:t>
      </w:r>
    </w:p>
    <w:p w14:paraId="6698699D" w14:textId="77777777" w:rsidR="0080016C" w:rsidRDefault="00AC1520" w:rsidP="00AC1520">
      <w:pPr>
        <w:rPr>
          <w:lang w:val="en-GB"/>
        </w:rPr>
      </w:pPr>
      <w:r>
        <w:rPr>
          <w:lang w:val="en-GB"/>
        </w:rPr>
        <w:t>[</w:t>
      </w:r>
    </w:p>
    <w:p w14:paraId="0E5F7DF1" w14:textId="4DA8FA55" w:rsidR="00AC1520" w:rsidRDefault="00AC1520" w:rsidP="00AC1520">
      <w:pPr>
        <w:rPr>
          <w:lang w:val="en-GB"/>
        </w:rPr>
      </w:pPr>
      <w:r>
        <w:rPr>
          <w:lang w:val="en-GB"/>
        </w:rPr>
        <w:t>why is cancer important?</w:t>
      </w:r>
    </w:p>
    <w:p w14:paraId="0E11C2FD" w14:textId="5549A741" w:rsidR="00AC1520" w:rsidRDefault="00AC1520" w:rsidP="00AC1520">
      <w:pPr>
        <w:rPr>
          <w:lang w:val="en-GB"/>
        </w:rPr>
      </w:pPr>
      <w:r>
        <w:rPr>
          <w:lang w:val="en-GB"/>
        </w:rPr>
        <w:t>Increasing data facilitates cancer diagnostic research</w:t>
      </w:r>
    </w:p>
    <w:p w14:paraId="05A2441B" w14:textId="5CBB3653" w:rsidR="00AC1520" w:rsidRDefault="00AC1520" w:rsidP="00AC1520">
      <w:pPr>
        <w:rPr>
          <w:lang w:val="en-GB"/>
        </w:rPr>
      </w:pPr>
      <w:r>
        <w:rPr>
          <w:lang w:val="en-GB"/>
        </w:rPr>
        <w:t>host omics integration</w:t>
      </w:r>
    </w:p>
    <w:p w14:paraId="39872A61" w14:textId="7C8FD62B" w:rsidR="0080016C" w:rsidRDefault="0080016C" w:rsidP="00AC1520">
      <w:pPr>
        <w:pStyle w:val="ListParagraph"/>
        <w:numPr>
          <w:ilvl w:val="0"/>
          <w:numId w:val="6"/>
        </w:numPr>
        <w:rPr>
          <w:lang w:val="en-GB"/>
        </w:rPr>
      </w:pPr>
      <w:r>
        <w:rPr>
          <w:lang w:val="en-GB"/>
        </w:rPr>
        <w:t>TCGA data set</w:t>
      </w:r>
    </w:p>
    <w:p w14:paraId="179E7997" w14:textId="17412723" w:rsidR="00AC1520" w:rsidRPr="00AC1520" w:rsidRDefault="00AC1520" w:rsidP="00AC1520">
      <w:pPr>
        <w:pStyle w:val="ListParagraph"/>
        <w:numPr>
          <w:ilvl w:val="0"/>
          <w:numId w:val="6"/>
        </w:numPr>
        <w:rPr>
          <w:lang w:val="en-GB"/>
        </w:rPr>
      </w:pPr>
      <w:r>
        <w:rPr>
          <w:lang w:val="en-GB"/>
        </w:rPr>
        <w:t>is used for cancer diagnostics but comes with challenges</w:t>
      </w:r>
    </w:p>
    <w:p w14:paraId="0A9A5B13" w14:textId="7E30AC85" w:rsidR="00AC1520" w:rsidRDefault="00AC1520" w:rsidP="00AC1520">
      <w:pPr>
        <w:rPr>
          <w:lang w:val="en-GB"/>
        </w:rPr>
      </w:pPr>
      <w:r>
        <w:rPr>
          <w:lang w:val="en-GB"/>
        </w:rPr>
        <w:t>microbial omics integration</w:t>
      </w:r>
    </w:p>
    <w:p w14:paraId="2FFBB0BE" w14:textId="0DD10313" w:rsidR="00AC1520" w:rsidRDefault="00AC1520" w:rsidP="00AC1520">
      <w:pPr>
        <w:pStyle w:val="ListParagraph"/>
        <w:numPr>
          <w:ilvl w:val="0"/>
          <w:numId w:val="5"/>
        </w:numPr>
        <w:rPr>
          <w:lang w:val="en-GB"/>
        </w:rPr>
      </w:pPr>
      <w:r>
        <w:rPr>
          <w:lang w:val="en-GB"/>
        </w:rPr>
        <w:t>what is microbiota?</w:t>
      </w:r>
    </w:p>
    <w:p w14:paraId="266FB3DD" w14:textId="2C43ADC6" w:rsidR="00AC1520" w:rsidRDefault="00AC1520" w:rsidP="00AC1520">
      <w:pPr>
        <w:pStyle w:val="ListParagraph"/>
        <w:numPr>
          <w:ilvl w:val="0"/>
          <w:numId w:val="5"/>
        </w:numPr>
        <w:rPr>
          <w:lang w:val="en-GB"/>
        </w:rPr>
      </w:pPr>
      <w:r>
        <w:rPr>
          <w:lang w:val="en-GB"/>
        </w:rPr>
        <w:t>What data sets are there?</w:t>
      </w:r>
    </w:p>
    <w:p w14:paraId="3B6E44B2" w14:textId="2F45B90A" w:rsidR="00AC1520" w:rsidRDefault="00AC1520" w:rsidP="00AC1520">
      <w:pPr>
        <w:pStyle w:val="ListParagraph"/>
        <w:numPr>
          <w:ilvl w:val="1"/>
          <w:numId w:val="5"/>
        </w:numPr>
        <w:rPr>
          <w:lang w:val="en-GB"/>
        </w:rPr>
      </w:pPr>
      <w:r>
        <w:rPr>
          <w:lang w:val="en-GB"/>
        </w:rPr>
        <w:t>Raw data sets</w:t>
      </w:r>
    </w:p>
    <w:p w14:paraId="20D88123" w14:textId="3BEE714B" w:rsidR="00AC1520" w:rsidRDefault="00AC1520" w:rsidP="00AC1520">
      <w:pPr>
        <w:pStyle w:val="ListParagraph"/>
        <w:numPr>
          <w:ilvl w:val="1"/>
          <w:numId w:val="5"/>
        </w:numPr>
        <w:rPr>
          <w:lang w:val="en-GB"/>
        </w:rPr>
      </w:pPr>
      <w:r>
        <w:rPr>
          <w:lang w:val="en-GB"/>
        </w:rPr>
        <w:t>Mined from TCGA</w:t>
      </w:r>
    </w:p>
    <w:p w14:paraId="457D0FA1" w14:textId="13BA37F7" w:rsidR="00AC1520" w:rsidRDefault="00AC1520" w:rsidP="00AC1520">
      <w:pPr>
        <w:pStyle w:val="ListParagraph"/>
        <w:numPr>
          <w:ilvl w:val="0"/>
          <w:numId w:val="5"/>
        </w:numPr>
        <w:rPr>
          <w:lang w:val="en-GB"/>
        </w:rPr>
      </w:pPr>
      <w:r>
        <w:rPr>
          <w:lang w:val="en-GB"/>
        </w:rPr>
        <w:t>microbiota differs per person, cancer  is environmentally affected</w:t>
      </w:r>
    </w:p>
    <w:p w14:paraId="6A01CB61" w14:textId="781A6F15" w:rsidR="00AC1520" w:rsidRDefault="00AC1520" w:rsidP="00AC1520">
      <w:pPr>
        <w:pStyle w:val="ListParagraph"/>
        <w:numPr>
          <w:ilvl w:val="0"/>
          <w:numId w:val="5"/>
        </w:numPr>
        <w:rPr>
          <w:lang w:val="en-GB"/>
        </w:rPr>
      </w:pPr>
      <w:r>
        <w:rPr>
          <w:lang w:val="en-GB"/>
        </w:rPr>
        <w:t>it has an effect on health</w:t>
      </w:r>
    </w:p>
    <w:p w14:paraId="2924649A" w14:textId="6CEFD3F5" w:rsidR="0080016C" w:rsidRDefault="0080016C" w:rsidP="00AC1520">
      <w:pPr>
        <w:pStyle w:val="ListParagraph"/>
        <w:numPr>
          <w:ilvl w:val="0"/>
          <w:numId w:val="5"/>
        </w:numPr>
        <w:rPr>
          <w:lang w:val="en-GB"/>
        </w:rPr>
      </w:pPr>
      <w:r>
        <w:rPr>
          <w:lang w:val="en-GB"/>
        </w:rPr>
        <w:t>types of analysis done in research (</w:t>
      </w:r>
      <w:r w:rsidR="00722FD6">
        <w:rPr>
          <w:lang w:val="en-GB"/>
        </w:rPr>
        <w:t>e.g. taxonomical analysis, meta</w:t>
      </w:r>
      <w:r w:rsidR="00722FD6" w:rsidRPr="00722FD6">
        <w:rPr>
          <w:lang w:val="en-GB"/>
        </w:rPr>
        <w:t xml:space="preserve"> </w:t>
      </w:r>
      <w:r w:rsidR="00722FD6">
        <w:rPr>
          <w:lang w:val="en-GB"/>
        </w:rPr>
        <w:t>proteomics</w:t>
      </w:r>
      <w:r>
        <w:rPr>
          <w:lang w:val="en-GB"/>
        </w:rPr>
        <w:t>)</w:t>
      </w:r>
      <w:r w:rsidR="00722FD6">
        <w:rPr>
          <w:lang w:val="en-GB"/>
        </w:rPr>
        <w:t xml:space="preserve"> </w:t>
      </w:r>
    </w:p>
    <w:p w14:paraId="5C644600" w14:textId="4C71856C" w:rsidR="00AC1520" w:rsidRDefault="00722FD6" w:rsidP="00AC1520">
      <w:pPr>
        <w:rPr>
          <w:lang w:val="en-GB"/>
        </w:rPr>
      </w:pPr>
      <w:r>
        <w:rPr>
          <w:lang w:val="en-GB"/>
        </w:rPr>
        <w:t xml:space="preserve">the need for </w:t>
      </w:r>
      <w:r w:rsidR="00AC1520">
        <w:rPr>
          <w:lang w:val="en-GB"/>
        </w:rPr>
        <w:t>a holistic view</w:t>
      </w:r>
    </w:p>
    <w:p w14:paraId="25A6234F" w14:textId="2C4F6D40" w:rsidR="00AC1520" w:rsidRDefault="00AC1520" w:rsidP="00AC1520">
      <w:pPr>
        <w:pStyle w:val="ListParagraph"/>
        <w:numPr>
          <w:ilvl w:val="0"/>
          <w:numId w:val="5"/>
        </w:numPr>
        <w:rPr>
          <w:lang w:val="en-GB"/>
        </w:rPr>
      </w:pPr>
      <w:r>
        <w:rPr>
          <w:lang w:val="en-GB"/>
        </w:rPr>
        <w:t>studies use one or the other but not both</w:t>
      </w:r>
    </w:p>
    <w:p w14:paraId="7E1EFA47" w14:textId="26903BD5" w:rsidR="00AC1520" w:rsidRDefault="00AC1520" w:rsidP="00AC1520">
      <w:pPr>
        <w:pStyle w:val="ListParagraph"/>
        <w:numPr>
          <w:ilvl w:val="0"/>
          <w:numId w:val="5"/>
        </w:numPr>
        <w:rPr>
          <w:lang w:val="en-GB"/>
        </w:rPr>
      </w:pPr>
      <w:r>
        <w:rPr>
          <w:lang w:val="en-GB"/>
        </w:rPr>
        <w:t>both are required</w:t>
      </w:r>
    </w:p>
    <w:p w14:paraId="06542B15" w14:textId="31CBEA02" w:rsidR="00722FD6" w:rsidRDefault="00722FD6" w:rsidP="00AC1520">
      <w:pPr>
        <w:pStyle w:val="ListParagraph"/>
        <w:numPr>
          <w:ilvl w:val="0"/>
          <w:numId w:val="5"/>
        </w:numPr>
        <w:rPr>
          <w:lang w:val="en-GB"/>
        </w:rPr>
      </w:pPr>
      <w:r>
        <w:rPr>
          <w:lang w:val="en-GB"/>
        </w:rPr>
        <w:t>what have studies so far done?</w:t>
      </w:r>
    </w:p>
    <w:p w14:paraId="7F6EDE7D" w14:textId="6116B21B" w:rsidR="00AC1520" w:rsidRDefault="00722FD6" w:rsidP="00AC1520">
      <w:pPr>
        <w:pStyle w:val="ListParagraph"/>
        <w:numPr>
          <w:ilvl w:val="0"/>
          <w:numId w:val="5"/>
        </w:numPr>
        <w:rPr>
          <w:lang w:val="en-GB"/>
        </w:rPr>
      </w:pPr>
      <w:r>
        <w:rPr>
          <w:lang w:val="en-GB"/>
        </w:rPr>
        <w:t>Available methods are lacking and challenges for such methods</w:t>
      </w:r>
    </w:p>
    <w:p w14:paraId="1B63F2F4" w14:textId="5CD79DD1" w:rsidR="00AC1520" w:rsidRDefault="00722FD6" w:rsidP="00AC1520">
      <w:pPr>
        <w:pStyle w:val="ListParagraph"/>
        <w:numPr>
          <w:ilvl w:val="0"/>
          <w:numId w:val="5"/>
        </w:numPr>
        <w:rPr>
          <w:lang w:val="en-GB"/>
        </w:rPr>
      </w:pPr>
      <w:r>
        <w:rPr>
          <w:lang w:val="en-GB"/>
        </w:rPr>
        <w:lastRenderedPageBreak/>
        <w:t>benefit a new study could bring</w:t>
      </w:r>
    </w:p>
    <w:p w14:paraId="601C5BEA" w14:textId="6B8C6F25" w:rsidR="00AC1520" w:rsidRDefault="00722FD6" w:rsidP="00AC1520">
      <w:pPr>
        <w:rPr>
          <w:lang w:val="en-GB"/>
        </w:rPr>
      </w:pPr>
      <w:r>
        <w:rPr>
          <w:lang w:val="en-GB"/>
        </w:rPr>
        <w:t xml:space="preserve">Towards a holistic view </w:t>
      </w:r>
    </w:p>
    <w:p w14:paraId="1171EC45" w14:textId="0F8C0ACA" w:rsidR="00AC1520" w:rsidRDefault="00AC1520" w:rsidP="00AC1520">
      <w:pPr>
        <w:pStyle w:val="ListParagraph"/>
        <w:numPr>
          <w:ilvl w:val="0"/>
          <w:numId w:val="5"/>
        </w:numPr>
        <w:rPr>
          <w:lang w:val="en-GB"/>
        </w:rPr>
      </w:pPr>
      <w:r>
        <w:rPr>
          <w:lang w:val="en-GB"/>
        </w:rPr>
        <w:t>what we aim to do?</w:t>
      </w:r>
    </w:p>
    <w:p w14:paraId="0A86A2F4" w14:textId="39A52126" w:rsidR="00722FD6" w:rsidRDefault="00722FD6" w:rsidP="00722FD6">
      <w:pPr>
        <w:pStyle w:val="ListParagraph"/>
        <w:numPr>
          <w:ilvl w:val="1"/>
          <w:numId w:val="5"/>
        </w:numPr>
        <w:rPr>
          <w:lang w:val="en-GB"/>
        </w:rPr>
      </w:pPr>
      <w:r>
        <w:rPr>
          <w:lang w:val="en-GB"/>
        </w:rPr>
        <w:t>What question are we answering?</w:t>
      </w:r>
    </w:p>
    <w:p w14:paraId="1BE49C9B" w14:textId="25D99C94" w:rsidR="00AC1520" w:rsidRDefault="00AC1520" w:rsidP="00AC1520">
      <w:pPr>
        <w:pStyle w:val="ListParagraph"/>
        <w:numPr>
          <w:ilvl w:val="0"/>
          <w:numId w:val="5"/>
        </w:numPr>
        <w:rPr>
          <w:lang w:val="en-GB"/>
        </w:rPr>
      </w:pPr>
      <w:r>
        <w:rPr>
          <w:lang w:val="en-GB"/>
        </w:rPr>
        <w:t>How do we aim to do it?</w:t>
      </w:r>
    </w:p>
    <w:p w14:paraId="489E72DC" w14:textId="77777777" w:rsidR="00AC1520" w:rsidRPr="00AC1520" w:rsidRDefault="00AC1520" w:rsidP="00AC1520">
      <w:pPr>
        <w:rPr>
          <w:lang w:val="en-GB"/>
        </w:rPr>
      </w:pPr>
    </w:p>
    <w:p w14:paraId="5D26B0B5" w14:textId="7C172114" w:rsidR="008E5FB0" w:rsidRDefault="00B77A75" w:rsidP="00901744">
      <w:r>
        <w:t xml:space="preserve">Cancer is one of the leading causes of death and is responsible for millions of deaths every year. The </w:t>
      </w:r>
      <w:proofErr w:type="spellStart"/>
      <w:r w:rsidR="008E5FB0">
        <w:t>aet</w:t>
      </w:r>
      <w:r>
        <w:t>iology</w:t>
      </w:r>
      <w:proofErr w:type="spellEnd"/>
      <w:r w:rsidR="008E5FB0">
        <w:t>, morphology and progression of different cancers depends on a complex interplay of various biological and environmental factors.</w:t>
      </w:r>
      <w:r w:rsidR="007F5CCF">
        <w:t xml:space="preserve"> </w:t>
      </w:r>
      <w:r w:rsidR="008E5FB0">
        <w:t xml:space="preserve">Recently, it is becoming increasingly easy to investigate this complex interplay thanks to the development </w:t>
      </w:r>
      <w:r w:rsidR="00D24283">
        <w:t>of more modern sequencing technologies and availability of biological data.</w:t>
      </w:r>
      <w:r w:rsidR="001719F7">
        <w:t xml:space="preserve"> This data availability has made it more accessible for researchers to use various omics data to perform various tasks related to cancer diagnostics. This relates to the analysis and integration of both host and microbial omics data.</w:t>
      </w:r>
    </w:p>
    <w:p w14:paraId="467B39DC" w14:textId="1DD2E7D5" w:rsidR="00B326AC" w:rsidRPr="001719F7" w:rsidRDefault="00B326AC" w:rsidP="001719F7">
      <w:pPr>
        <w:pStyle w:val="Heading2"/>
      </w:pPr>
      <w:r w:rsidRPr="001719F7">
        <w:t xml:space="preserve">Host </w:t>
      </w:r>
      <w:r w:rsidR="00D633A6">
        <w:t>m</w:t>
      </w:r>
      <w:r w:rsidRPr="001719F7">
        <w:t>ulti-</w:t>
      </w:r>
      <w:r w:rsidR="00D633A6">
        <w:t>o</w:t>
      </w:r>
      <w:r w:rsidRPr="001719F7">
        <w:t xml:space="preserve">mics </w:t>
      </w:r>
      <w:r w:rsidR="00D633A6">
        <w:t>i</w:t>
      </w:r>
      <w:r w:rsidRPr="001719F7">
        <w:t>ntegratio</w:t>
      </w:r>
      <w:r w:rsidR="001719F7" w:rsidRPr="001719F7">
        <w:t>n</w:t>
      </w:r>
    </w:p>
    <w:p w14:paraId="39ADE12D" w14:textId="77777777" w:rsidR="007276F0" w:rsidRDefault="001719F7" w:rsidP="00901744">
      <w:r>
        <w:t>T</w:t>
      </w:r>
      <w:r w:rsidR="00FC5BFF">
        <w:t xml:space="preserve">he availability of </w:t>
      </w:r>
      <w:r w:rsidR="007276F0">
        <w:t xml:space="preserve">host </w:t>
      </w:r>
      <w:r w:rsidR="00FC5BFF">
        <w:t xml:space="preserve">omics data </w:t>
      </w:r>
      <w:r w:rsidR="007276F0">
        <w:t xml:space="preserve">of various data layers, such as gene expression, and DNA methylation or copy number variation has enabled researchers to derive useful insights on the </w:t>
      </w:r>
      <w:proofErr w:type="spellStart"/>
      <w:r w:rsidR="007276F0">
        <w:t>aetiology</w:t>
      </w:r>
      <w:proofErr w:type="spellEnd"/>
      <w:r w:rsidR="007276F0">
        <w:t xml:space="preserve"> and morphology of different cancers. While there are many such data sources that have been made available, one of the most impactful sources has been The Cancer Genome Atlas (TCGA), a repository of genomic profiles of over 30 types of cancer that can be used for cancer diagnostics </w:t>
      </w:r>
      <w:r w:rsidR="007276F0">
        <w:fldChar w:fldCharType="begin"/>
      </w:r>
      <w:r w:rsidR="007276F0">
        <w:instrText xml:space="preserve"> ADDIN ZOTERO_ITEM CSL_CITATION {"citationID":"RLFGUW6A","properties":{"formattedCitation":"\\super 1\\nosupersub{}","plainCitation":"1","noteIndex":0},"citationItems":[{"id":224,"uris":["http://zotero.org/users/local/0zqklVfX/items/TRY3NKG4"],"itemData":{"id":224,"type":"article-journal","abstract":"The Cancer Genome Atlas (TCGA) is a public funded project that aims to catalogue and discover major cancer-causing genomic alterations to create a comprehensive “atlas” of cancer genomic profiles. So far, TCGA researchers have analysed large cohorts of over 30 human tumours through large-scale...","container-title":"Contemporary Oncology/Współczesna Onkologia","DOI":"10.5114/wo.2014.47136","ISSN":"1428-2526, 1897-4309","issue":"1","journalAbbreviation":"Contemp Oncol (Pozn)","language":"english","note":"publisher: Termedia","page":"68-77","source":"www.termedia.pl","title":"Review&lt;br&gt;The Cancer Genome Atlas (TCGA): an immeasurable source of knowledge","title-short":"Review&lt;br&gt;The Cancer Genome Atlas (TCGA)","volume":"2015","author":[{"family":"Tomczak","given":"Katarzyna"},{"family":"Czerwińska","given":"Patrycja"},{"family":"Wiznerowicz","given":"Maciej"}],"issued":{"date-parts":[["2015"]]}}}],"schema":"https://github.com/citation-style-language/schema/raw/master/csl-citation.json"} </w:instrText>
      </w:r>
      <w:r w:rsidR="007276F0">
        <w:fldChar w:fldCharType="separate"/>
      </w:r>
      <w:r w:rsidR="007276F0" w:rsidRPr="007276F0">
        <w:rPr>
          <w:rFonts w:ascii="Calibri" w:hAnsi="Calibri" w:cs="Calibri"/>
          <w:szCs w:val="24"/>
          <w:vertAlign w:val="superscript"/>
        </w:rPr>
        <w:t>1</w:t>
      </w:r>
      <w:r w:rsidR="007276F0">
        <w:fldChar w:fldCharType="end"/>
      </w:r>
      <w:r w:rsidR="007276F0">
        <w:t xml:space="preserve">.  </w:t>
      </w:r>
    </w:p>
    <w:p w14:paraId="2495317E" w14:textId="7E09A763" w:rsidR="00901744" w:rsidRPr="00B66641" w:rsidRDefault="007276F0" w:rsidP="00901744">
      <w:r>
        <w:t xml:space="preserve">While using individual </w:t>
      </w:r>
      <w:proofErr w:type="spellStart"/>
      <w:r>
        <w:t>omic</w:t>
      </w:r>
      <w:proofErr w:type="spellEnd"/>
      <w:r>
        <w:t xml:space="preserve"> types</w:t>
      </w:r>
      <w:r w:rsidRPr="007276F0">
        <w:t xml:space="preserve"> </w:t>
      </w:r>
      <w:r>
        <w:t>can derive useful insights, an important development has been the usage of so-called multi-omics analyses methods,</w:t>
      </w:r>
      <w:r w:rsidR="00B66641">
        <w:t xml:space="preserve"> where data from multiple omics layers are integrated to </w:t>
      </w:r>
      <w:r>
        <w:t>deliver additional insights over single omics methods for cancer diagnostics.</w:t>
      </w:r>
      <w:r w:rsidR="00B66641">
        <w:t xml:space="preserve"> While more powerful, these methods </w:t>
      </w:r>
      <w:r w:rsidR="00D24283">
        <w:t xml:space="preserve">deal with additional challenges </w:t>
      </w:r>
      <w:r w:rsidR="00901744">
        <w:rPr>
          <w:lang w:val="en-GB"/>
        </w:rPr>
        <w:t>owing to the heterogeneity of the data, noise, high dimensionality and sparsity</w:t>
      </w:r>
      <w:r w:rsidR="00B66641">
        <w:rPr>
          <w:lang w:val="en-GB"/>
        </w:rPr>
        <w:t xml:space="preserve"> of the multi-omics data</w:t>
      </w:r>
      <w:r w:rsidR="00901744">
        <w:rPr>
          <w:lang w:val="en-GB"/>
        </w:rPr>
        <w:t xml:space="preserve"> </w:t>
      </w:r>
      <w:r w:rsidR="00901744">
        <w:rPr>
          <w:lang w:val="en-GB"/>
        </w:rPr>
        <w:fldChar w:fldCharType="begin"/>
      </w:r>
      <w:r>
        <w:rPr>
          <w:lang w:val="en-GB"/>
        </w:rPr>
        <w:instrText xml:space="preserve"> ADDIN ZOTERO_ITEM CSL_CITATION {"citationID":"wyZZjU2k","properties":{"formattedCitation":"\\super 2\\nosupersub{}","plainCitation":"2","noteIndex":0},"citationItems":[{"id":150,"uris":["http://zotero.org/users/local/0zqklVfX/items/RNUMUTTD"],"itemData":{"id":150,"type":"article-journal","language":"en","page":"7","source":"Zotero","title":"Multi-omics factorization illustrates the added value of deep learning approaches","author":[{"family":"Machiraju","given":"Gautam"},{"family":"Amar","given":"David"},{"family":"Ashley","given":"Euan"}]}}],"schema":"https://github.com/citation-style-language/schema/raw/master/csl-citation.json"} </w:instrText>
      </w:r>
      <w:r w:rsidR="00901744">
        <w:rPr>
          <w:lang w:val="en-GB"/>
        </w:rPr>
        <w:fldChar w:fldCharType="separate"/>
      </w:r>
      <w:r w:rsidRPr="007276F0">
        <w:rPr>
          <w:rFonts w:ascii="Calibri" w:hAnsi="Calibri" w:cs="Calibri"/>
          <w:szCs w:val="24"/>
          <w:vertAlign w:val="superscript"/>
        </w:rPr>
        <w:t>2</w:t>
      </w:r>
      <w:r w:rsidR="00901744">
        <w:rPr>
          <w:lang w:val="en-GB"/>
        </w:rPr>
        <w:fldChar w:fldCharType="end"/>
      </w:r>
      <w:r w:rsidR="00901744">
        <w:rPr>
          <w:lang w:val="en-GB"/>
        </w:rPr>
        <w:t>.</w:t>
      </w:r>
    </w:p>
    <w:p w14:paraId="30B46B10" w14:textId="232F3063" w:rsidR="00B326AC" w:rsidRDefault="00B326AC" w:rsidP="001719F7">
      <w:pPr>
        <w:pStyle w:val="Heading2"/>
        <w:rPr>
          <w:lang w:val="en-GB"/>
        </w:rPr>
      </w:pPr>
      <w:r>
        <w:rPr>
          <w:lang w:val="en-GB"/>
        </w:rPr>
        <w:t xml:space="preserve">Microbiome </w:t>
      </w:r>
      <w:r w:rsidR="00D633A6">
        <w:rPr>
          <w:lang w:val="en-GB"/>
        </w:rPr>
        <w:t>m</w:t>
      </w:r>
      <w:r>
        <w:rPr>
          <w:lang w:val="en-GB"/>
        </w:rPr>
        <w:t>ulti-</w:t>
      </w:r>
      <w:r w:rsidR="00D633A6">
        <w:rPr>
          <w:lang w:val="en-GB"/>
        </w:rPr>
        <w:t>o</w:t>
      </w:r>
      <w:r>
        <w:rPr>
          <w:lang w:val="en-GB"/>
        </w:rPr>
        <w:t xml:space="preserve">mics </w:t>
      </w:r>
      <w:r w:rsidR="00012BDF">
        <w:rPr>
          <w:lang w:val="en-GB"/>
        </w:rPr>
        <w:t>i</w:t>
      </w:r>
      <w:r>
        <w:rPr>
          <w:lang w:val="en-GB"/>
        </w:rPr>
        <w:t>ntegration</w:t>
      </w:r>
    </w:p>
    <w:p w14:paraId="0A98640D" w14:textId="3D230B53" w:rsidR="00901744" w:rsidRDefault="00D24283" w:rsidP="00901744">
      <w:pPr>
        <w:rPr>
          <w:lang w:val="en-GB"/>
        </w:rPr>
      </w:pPr>
      <w:r>
        <w:rPr>
          <w:lang w:val="en-GB"/>
        </w:rPr>
        <w:t>Next to host</w:t>
      </w:r>
      <w:r w:rsidR="00C75B30">
        <w:rPr>
          <w:lang w:val="en-GB"/>
        </w:rPr>
        <w:t xml:space="preserve"> omics </w:t>
      </w:r>
      <w:r>
        <w:rPr>
          <w:lang w:val="en-GB"/>
        </w:rPr>
        <w:t>data,</w:t>
      </w:r>
      <w:r w:rsidR="00C75B30">
        <w:rPr>
          <w:lang w:val="en-GB"/>
        </w:rPr>
        <w:t xml:space="preserve"> a promising field of research relates to the analysis of microbial omics data. </w:t>
      </w:r>
      <w:r w:rsidR="00901744">
        <w:rPr>
          <w:lang w:val="en-GB"/>
        </w:rPr>
        <w:t xml:space="preserve">There are many microorganisms which live in communities on different human tissues, called the human microbiota. Namely, an ecosystem of 10 to 100 trillion microorganisms encompassing </w:t>
      </w:r>
      <w:r w:rsidR="00EC4225">
        <w:rPr>
          <w:lang w:val="en-GB"/>
        </w:rPr>
        <w:t xml:space="preserve">500 to 1000 unique species for each individual </w:t>
      </w:r>
      <w:r w:rsidR="00EC4225">
        <w:rPr>
          <w:lang w:val="en-GB"/>
        </w:rPr>
        <w:fldChar w:fldCharType="begin"/>
      </w:r>
      <w:r w:rsidR="007276F0">
        <w:rPr>
          <w:lang w:val="en-GB"/>
        </w:rPr>
        <w:instrText xml:space="preserve"> ADDIN ZOTERO_ITEM CSL_CITATION {"citationID":"9ZeKPVUH","properties":{"formattedCitation":"\\super 3\\nosupersub{}","plainCitation":"3","noteIndex":0},"citationItems":[{"id":185,"uris":["http://zotero.org/users/local/0zqklVfX/items/6YDSX49Y"],"itemData":{"id":185,"type":"article-journal","abstract":"Studying the microbial composition of internal organs and their associations with disease remains challenging due to the difficulty of acquiring clinical biopsies. We designed a statistical model to analyze the prevalence of species across sample types from The Cancer Genome Atlas (TCGA), revealing that species equiprevalent across sample types are predominantly contaminants, bearing unique signatures from each TCGA-designated sequencing center. Removing such species mitigated batch effects and isolated the tissue-resident microbiome, which was validated by original matched TCGA samples. Gene copies and nucleotide variants can further distinguish mixed-evidence species. We, thus, present The Cancer Microbiome Atlas (TCMA), a collection of curated, decontaminated microbial compositions of oropharyngeal, esophageal, gastrointestinal, and colorectal tissues. This led to the discovery of prognostic species and blood signatures of mucosal barrier injuries and enabled systematic matched microbe-host multi-omic analyses, which will help guide future studies of the microbiome’s role in human health and disease.","container-title":"Cell Host &amp; Microbe","DOI":"10.1016/j.chom.2020.12.001","ISSN":"1931-3128","issue":"2","journalAbbreviation":"Cell Host &amp; Microbe","language":"en","page":"281-298.e5","source":"ScienceDirect","title":"The cancer microbiome atlas: a pan-cancer comparative analysis to distinguish tissue-resident microbiota from contaminants","title-short":"The cancer microbiome atlas","volume":"29","author":[{"family":"Dohlman","given":"Anders B."},{"family":"Arguijo Mendoza","given":"Diana"},{"family":"Ding","given":"Shengli"},{"family":"Gao","given":"Michael"},{"family":"Dressman","given":"Holly"},{"family":"Iliev","given":"Iliyan D."},{"family":"Lipkin","given":"Steven M."},{"family":"Shen","given":"Xiling"}],"issued":{"date-parts":[["2021",2,10]]}}}],"schema":"https://github.com/citation-style-language/schema/raw/master/csl-citation.json"} </w:instrText>
      </w:r>
      <w:r w:rsidR="00EC4225">
        <w:rPr>
          <w:lang w:val="en-GB"/>
        </w:rPr>
        <w:fldChar w:fldCharType="separate"/>
      </w:r>
      <w:r w:rsidR="007276F0" w:rsidRPr="007276F0">
        <w:rPr>
          <w:rFonts w:ascii="Calibri" w:hAnsi="Calibri" w:cs="Calibri"/>
          <w:szCs w:val="24"/>
          <w:vertAlign w:val="superscript"/>
        </w:rPr>
        <w:t>3</w:t>
      </w:r>
      <w:r w:rsidR="00EC4225">
        <w:rPr>
          <w:lang w:val="en-GB"/>
        </w:rPr>
        <w:fldChar w:fldCharType="end"/>
      </w:r>
      <w:r w:rsidR="00EC4225">
        <w:rPr>
          <w:lang w:val="en-GB"/>
        </w:rPr>
        <w:t>.</w:t>
      </w:r>
      <w:r w:rsidR="00901744">
        <w:rPr>
          <w:lang w:val="en-GB"/>
        </w:rPr>
        <w:t xml:space="preserve"> </w:t>
      </w:r>
      <w:r w:rsidR="00AD6999">
        <w:rPr>
          <w:lang w:val="en-GB"/>
        </w:rPr>
        <w:t>Due to the aforementioned advances in sequencing technology, it is becoming increasingly easy</w:t>
      </w:r>
      <w:r w:rsidR="00901744">
        <w:rPr>
          <w:lang w:val="en-GB"/>
        </w:rPr>
        <w:t xml:space="preserve"> to measure the identity, metabolic potential and expression of this microbiota. </w:t>
      </w:r>
      <w:r w:rsidR="00AD6999">
        <w:rPr>
          <w:lang w:val="en-GB"/>
        </w:rPr>
        <w:t>This is leading to various data sets on the human microbiota which can be exploited.</w:t>
      </w:r>
    </w:p>
    <w:p w14:paraId="3677260B" w14:textId="64659144" w:rsidR="007A2AA9" w:rsidRDefault="00B66641" w:rsidP="00901744">
      <w:pPr>
        <w:rPr>
          <w:lang w:val="en-GB"/>
        </w:rPr>
      </w:pPr>
      <w:r>
        <w:rPr>
          <w:lang w:val="en-GB"/>
        </w:rPr>
        <w:t xml:space="preserve">Some popular data sets include </w:t>
      </w:r>
      <w:proofErr w:type="spellStart"/>
      <w:r>
        <w:rPr>
          <w:lang w:val="en-GB"/>
        </w:rPr>
        <w:t>MetaHIT</w:t>
      </w:r>
      <w:proofErr w:type="spellEnd"/>
      <w:r>
        <w:rPr>
          <w:lang w:val="en-GB"/>
        </w:rPr>
        <w:t>, the human microbiome project, and</w:t>
      </w:r>
      <w:r w:rsidR="00F44673">
        <w:rPr>
          <w:lang w:val="en-GB"/>
        </w:rPr>
        <w:t xml:space="preserve"> TCMA, a</w:t>
      </w:r>
      <w:r>
        <w:rPr>
          <w:lang w:val="en-GB"/>
        </w:rPr>
        <w:t xml:space="preserve"> microbial data set derived from TCGA.</w:t>
      </w:r>
      <w:r w:rsidR="00D07096">
        <w:rPr>
          <w:lang w:val="en-GB"/>
        </w:rPr>
        <w:t xml:space="preserve"> The</w:t>
      </w:r>
      <w:r w:rsidR="00D07096" w:rsidRPr="00D07096">
        <w:t xml:space="preserve"> </w:t>
      </w:r>
      <w:r w:rsidR="00D07096" w:rsidRPr="00D07096">
        <w:rPr>
          <w:lang w:val="en-GB"/>
        </w:rPr>
        <w:t>Metagenomics of the Human Intestinal Tract</w:t>
      </w:r>
      <w:r>
        <w:rPr>
          <w:lang w:val="en-GB"/>
        </w:rPr>
        <w:t xml:space="preserve"> </w:t>
      </w:r>
      <w:r w:rsidR="00D07096">
        <w:rPr>
          <w:lang w:val="en-GB"/>
        </w:rPr>
        <w:t>(</w:t>
      </w:r>
      <w:proofErr w:type="spellStart"/>
      <w:r w:rsidR="007A2AA9">
        <w:rPr>
          <w:lang w:val="en-GB"/>
        </w:rPr>
        <w:t>MetaHIT</w:t>
      </w:r>
      <w:proofErr w:type="spellEnd"/>
      <w:r w:rsidR="00D07096">
        <w:rPr>
          <w:lang w:val="en-GB"/>
        </w:rPr>
        <w:t xml:space="preserve">) data set contains sequenced intestinal and stool microbial data from healthy patients and those with certain noncancer diseases </w:t>
      </w:r>
      <w:r w:rsidR="00D07096">
        <w:rPr>
          <w:lang w:val="en-GB"/>
        </w:rPr>
        <w:fldChar w:fldCharType="begin"/>
      </w:r>
      <w:r w:rsidR="00D07096">
        <w:rPr>
          <w:lang w:val="en-GB"/>
        </w:rPr>
        <w:instrText xml:space="preserve"> ADDIN ZOTERO_ITEM CSL_CITATION {"citationID":"nVVl33UH","properties":{"formattedCitation":"\\super 4\\nosupersub{}","plainCitation":"4","noteIndex":0},"citationItems":[{"id":226,"uris":["http://zotero.org/users/local/0zqklVfX/items/IR9VPSGF"],"itemData":{"id":226,"type":"chapter","abstract":"MetaHIT (http://www.metahit.eu) has as a first objective the creation of a catalog of the microbial genes from our intestinal tract, thus laying foundations for characterization of the gut microbial communities. Next, it aims to explore associations between microbial genes and human phenotypes. For that, it develops, on the one hand, molecular tools for profiling of the intestinal microbial genes that are harbored by any individual, and on the other, a bio-informatics resource to organize and interpret heterogeneous information, including sequencing data and clinical metadata. Moreover, MetaHIT develops approaches to detect and analyze functional interactions of microbes and the human host, focusing on the role of target genes in the microbial cell and the effect of gene products on the human host. MetaHIT targets two pathologies, obesity and inflammatory bowel diseases (Crohn’s disease and ulcerative colitis). The studies involve (i) cross-sectional comparisons of healthy and sick individuals; (ii) longitudinal follow-up of patients in clinical remission; (iii) nutritional intervention related to the stability of gut microbial community; and (iv) comparison of patients responding or not to a drug treatment.","container-title":"Metagenomics of the Human Body","event-place":"New York, NY","ISBN":"978-1-4419-7089-3","language":"en","note":"DOI: 10.1007/978-1-4419-7089-3_15","page":"307-316","publisher":"Springer","publisher-place":"New York, NY","source":"Springer Link","title":"MetaHIT: The European Union Project on Metagenomics of the Human Intestinal Tract","title-short":"MetaHIT","URL":"https://doi.org/10.1007/978-1-4419-7089-3_15","author":[{"family":"Ehrlich","given":"S. Dusko"}],"editor":[{"family":"Nelson","given":"Karen E."}],"accessed":{"date-parts":[["2023",1,22]]},"issued":{"date-parts":[["2011"]]}}}],"schema":"https://github.com/citation-style-language/schema/raw/master/csl-citation.json"} </w:instrText>
      </w:r>
      <w:r w:rsidR="00D07096">
        <w:rPr>
          <w:lang w:val="en-GB"/>
        </w:rPr>
        <w:fldChar w:fldCharType="separate"/>
      </w:r>
      <w:r w:rsidR="00D07096" w:rsidRPr="00D07096">
        <w:rPr>
          <w:rFonts w:ascii="Calibri" w:hAnsi="Calibri" w:cs="Calibri"/>
          <w:szCs w:val="24"/>
          <w:vertAlign w:val="superscript"/>
        </w:rPr>
        <w:t>4</w:t>
      </w:r>
      <w:r w:rsidR="00D07096">
        <w:rPr>
          <w:lang w:val="en-GB"/>
        </w:rPr>
        <w:fldChar w:fldCharType="end"/>
      </w:r>
      <w:r w:rsidR="00D07096">
        <w:rPr>
          <w:lang w:val="en-GB"/>
        </w:rPr>
        <w:t>.</w:t>
      </w:r>
      <w:r w:rsidR="007A2AA9">
        <w:rPr>
          <w:lang w:val="en-GB"/>
        </w:rPr>
        <w:t xml:space="preserve"> The integrative human microbiome project </w:t>
      </w:r>
      <w:r w:rsidR="00522598">
        <w:rPr>
          <w:lang w:val="en-GB"/>
        </w:rPr>
        <w:t>(</w:t>
      </w:r>
      <w:proofErr w:type="spellStart"/>
      <w:r w:rsidR="00522598">
        <w:rPr>
          <w:lang w:val="en-GB"/>
        </w:rPr>
        <w:t>iHMP</w:t>
      </w:r>
      <w:proofErr w:type="spellEnd"/>
      <w:r w:rsidR="00522598">
        <w:rPr>
          <w:lang w:val="en-GB"/>
        </w:rPr>
        <w:t xml:space="preserve">) </w:t>
      </w:r>
      <w:r w:rsidR="007A2AA9">
        <w:rPr>
          <w:lang w:val="en-GB"/>
        </w:rPr>
        <w:t>is the second stage of the human microbiome project and contains data on both host and microbial omics layers</w:t>
      </w:r>
      <w:r w:rsidR="00522598">
        <w:rPr>
          <w:lang w:val="en-GB"/>
        </w:rPr>
        <w:t xml:space="preserve"> and establishes a baseline omics composition across varying populations, and across a population with specific (mostly non cancer-related) disease states </w:t>
      </w:r>
      <w:r w:rsidR="00522598">
        <w:rPr>
          <w:lang w:val="en-GB"/>
        </w:rPr>
        <w:fldChar w:fldCharType="begin"/>
      </w:r>
      <w:r w:rsidR="00D07096">
        <w:rPr>
          <w:lang w:val="en-GB"/>
        </w:rPr>
        <w:instrText xml:space="preserve"> ADDIN ZOTERO_ITEM CSL_CITATION {"citationID":"uUs3tU4A","properties":{"formattedCitation":"\\super 5\\nosupersub{}","plainCitation":"5","noteIndex":0},"citationItems":[{"id":195,"uris":["http://zotero.org/users/local/0zqklVfX/items/MY2ALASF"],"itemData":{"id":195,"type":"article-journal","abstract":"The NIH Human Microbiome Project (HMP) has been carried out over ten years and two phases to provide resources, methods, and discoveries that link interactions between humans and their microbiomes to health-related outcomes. The recently completed second phase, the Integrative Human Microbiome Project, comprised studies of dynamic changes in the microbiome and host under three conditions: pregnancy and preterm birth; inflammatory bowel diseases; and stressors that affect individuals with prediabetes. The associated research begins to elucidate mechanisms of host–microbiome interactions under these conditions, provides unique data resources (at the HMP Data Coordination Center), and represents a paradigm for future multi-omic studies of the human microbiome.","container-title":"Nature","DOI":"10.1038/s41586-019-1238-8","ISSN":"1476-4687","issue":"7758","language":"en","license":"2019 The Author(s)","note":"number: 7758\npublisher: Nature Publishing Group","page":"641-648","source":"www.nature.com","title":"The Integrative Human Microbiome Project","volume":"569","author":[{"family":"Proctor","given":"Lita M."},{"family":"Creasy","given":"Heather H."},{"family":"Fettweis","given":"Jennifer M."},{"family":"Lloyd-Price","given":"Jason"},{"family":"Mahurkar","given":"Anup"},{"family":"Zhou","given":"Wenyu"},{"family":"Buck","given":"Gregory A."},{"family":"Snyder","given":"Michael P."},{"family":"Strauss","given":"Jerome F."},{"family":"Weinstock","given":"George M."},{"family":"White","given":"Owen"},{"family":"Huttenhower","given":"Curtis"},{"literal":"The Integrative HMP (iHMP) Research Network Consortium"}],"issued":{"date-parts":[["2019",5]]}}}],"schema":"https://github.com/citation-style-language/schema/raw/master/csl-citation.json"} </w:instrText>
      </w:r>
      <w:r w:rsidR="00522598">
        <w:rPr>
          <w:lang w:val="en-GB"/>
        </w:rPr>
        <w:fldChar w:fldCharType="separate"/>
      </w:r>
      <w:r w:rsidR="00D07096" w:rsidRPr="00D07096">
        <w:rPr>
          <w:rFonts w:ascii="Calibri" w:hAnsi="Calibri" w:cs="Calibri"/>
          <w:szCs w:val="24"/>
          <w:vertAlign w:val="superscript"/>
        </w:rPr>
        <w:t>5</w:t>
      </w:r>
      <w:r w:rsidR="00522598">
        <w:rPr>
          <w:lang w:val="en-GB"/>
        </w:rPr>
        <w:fldChar w:fldCharType="end"/>
      </w:r>
      <w:r w:rsidR="007A2AA9">
        <w:rPr>
          <w:lang w:val="en-GB"/>
        </w:rPr>
        <w:t>.</w:t>
      </w:r>
    </w:p>
    <w:p w14:paraId="601DFC90" w14:textId="1812E7BF" w:rsidR="00F67099" w:rsidRDefault="00D07096" w:rsidP="00901744">
      <w:pPr>
        <w:rPr>
          <w:lang w:val="en-GB"/>
        </w:rPr>
      </w:pPr>
      <w:r>
        <w:rPr>
          <w:lang w:val="en-GB"/>
        </w:rPr>
        <w:t xml:space="preserve">While the above mentioned data sets are crucial, they often contain data from tissue swabs and stool samples, which are not necessarily representative of the microbiome of internal organs </w:t>
      </w:r>
      <w:r>
        <w:rPr>
          <w:lang w:val="en-GB"/>
        </w:rPr>
        <w:fldChar w:fldCharType="begin"/>
      </w:r>
      <w:r>
        <w:rPr>
          <w:lang w:val="en-GB"/>
        </w:rPr>
        <w:instrText xml:space="preserve"> ADDIN ZOTERO_ITEM CSL_CITATION {"citationID":"QU9rINyP","properties":{"formattedCitation":"\\super 3\\nosupersub{}","plainCitation":"3","noteIndex":0},"citationItems":[{"id":185,"uris":["http://zotero.org/users/local/0zqklVfX/items/6YDSX49Y"],"itemData":{"id":185,"type":"article-journal","abstract":"Studying the microbial composition of internal organs and their associations with disease remains challenging due to the difficulty of acquiring clinical biopsies. We designed a statistical model to analyze the prevalence of species across sample types from The Cancer Genome Atlas (TCGA), revealing that species equiprevalent across sample types are predominantly contaminants, bearing unique signatures from each TCGA-designated sequencing center. Removing such species mitigated batch effects and isolated the tissue-resident microbiome, which was validated by original matched TCGA samples. Gene copies and nucleotide variants can further distinguish mixed-evidence species. We, thus, present The Cancer Microbiome Atlas (TCMA), a collection of curated, decontaminated microbial compositions of oropharyngeal, esophageal, gastrointestinal, and colorectal tissues. This led to the discovery of prognostic species and blood signatures of mucosal barrier injuries and enabled systematic matched microbe-host multi-omic analyses, which will help guide future studies of the microbiome’s role in human health and disease.","container-title":"Cell Host &amp; Microbe","DOI":"10.1016/j.chom.2020.12.001","ISSN":"1931-3128","issue":"2","journalAbbreviation":"Cell Host &amp; Microbe","language":"en","page":"281-298.e5","source":"ScienceDirect","title":"The cancer microbiome atlas: a pan-cancer comparative analysis to distinguish tissue-resident microbiota from contaminants","title-short":"The cancer microbiome atlas","volume":"29","author":[{"family":"Dohlman","given":"Anders B."},{"family":"Arguijo Mendoza","given":"Diana"},{"family":"Ding","given":"Shengli"},{"family":"Gao","given":"Michael"},{"family":"Dressman","given":"Holly"},{"family":"Iliev","given":"Iliyan D."},{"family":"Lipkin","given":"Steven M."},{"family":"Shen","given":"Xiling"}],"issued":{"date-parts":[["2021",2,10]]}}}],"schema":"https://github.com/citation-style-language/schema/raw/master/csl-citation.json"} </w:instrText>
      </w:r>
      <w:r>
        <w:rPr>
          <w:lang w:val="en-GB"/>
        </w:rPr>
        <w:fldChar w:fldCharType="separate"/>
      </w:r>
      <w:r w:rsidRPr="007276F0">
        <w:rPr>
          <w:rFonts w:ascii="Calibri" w:hAnsi="Calibri" w:cs="Calibri"/>
          <w:szCs w:val="24"/>
          <w:vertAlign w:val="superscript"/>
        </w:rPr>
        <w:t>3</w:t>
      </w:r>
      <w:r>
        <w:rPr>
          <w:lang w:val="en-GB"/>
        </w:rPr>
        <w:fldChar w:fldCharType="end"/>
      </w:r>
      <w:r>
        <w:rPr>
          <w:lang w:val="en-GB"/>
        </w:rPr>
        <w:t xml:space="preserve">. </w:t>
      </w:r>
      <w:r w:rsidR="00F67099">
        <w:rPr>
          <w:lang w:val="en-GB"/>
        </w:rPr>
        <w:t xml:space="preserve">Next-generation sequencing data sets, such as TCGA, contain, next to host sequencing data, microbial </w:t>
      </w:r>
      <w:r w:rsidR="00F67099">
        <w:rPr>
          <w:lang w:val="en-GB"/>
        </w:rPr>
        <w:lastRenderedPageBreak/>
        <w:t xml:space="preserve">sequencing data. This aspect of TCGA is mostly unexplored yet can be mined to obtain data on, for example, </w:t>
      </w:r>
      <w:proofErr w:type="spellStart"/>
      <w:r w:rsidR="00F67099">
        <w:rPr>
          <w:lang w:val="en-GB"/>
        </w:rPr>
        <w:t>viromes</w:t>
      </w:r>
      <w:proofErr w:type="spellEnd"/>
      <w:r w:rsidR="00F67099">
        <w:rPr>
          <w:lang w:val="en-GB"/>
        </w:rPr>
        <w:t xml:space="preserve"> and bacteriomes of different cancers using different tissues, such as blood, which is most likely to contain useful microbial contamination </w:t>
      </w:r>
      <w:r w:rsidR="00F67099">
        <w:rPr>
          <w:lang w:val="en-GB"/>
        </w:rPr>
        <w:fldChar w:fldCharType="begin"/>
      </w:r>
      <w:r>
        <w:rPr>
          <w:lang w:val="en-GB"/>
        </w:rPr>
        <w:instrText xml:space="preserve"> ADDIN ZOTERO_ITEM CSL_CITATION {"citationID":"LJNDzJGT","properties":{"formattedCitation":"\\super 6\\nosupersub{}","plainCitation":"6","noteIndex":0},"citationItems":[{"id":182,"uris":["http://zotero.org/users/local/0zqklVfX/items/3EG828JE"],"itemData":{"id":182,"type":"article-journal","abstract":"Systematic characterization of the cancer microbiome provides the opportunity to develop techniques that exploit non-human, microorganism-derived molecules in the diagnosis of a major human disease. Following recent demonstrations that some types of cancer show substantial microbial contributions1–10, we re-examined whole-genome and whole-transcriptome sequencing studies in The Cancer Genome Atlas11 (TCGA) of 33 types of cancer from treatment-naive patients (a total of 18,116 samples) for microbial reads, and found unique microbial signatures in tissue and blood within and between most major types of cancer. These TCGA blood signatures remained predictive when applied to patients with stage Ia–IIc cancer and cancers lacking any genomic alterations currently measured on two commercial-grade cell-free tumour DNA platforms, despite the use of very stringent decontamination analyses that discarded up to 92.3% of total sequence data. In addition, we could discriminate among samples from healthy, cancer-free individuals (n = 69) and those from patients with multiple types of cancer (prostate, lung, and melanoma; 100 samples in total) solely using plasma-derived, cell-free microbial nucleic acids. This potential microbiome-based oncology diagnostic tool warrants further exploration.","container-title":"Nature","DOI":"10.1038/s41586-020-2095-1","ISSN":"1476-4687","issue":"7800","language":"en","license":"2020 The Author(s), under exclusive licence to Springer Nature Limited","note":"number: 7800\npublisher: Nature Publishing Group","page":"567-574","source":"www.nature.com","title":"Microbiome analyses of blood and tissues suggest cancer diagnostic approach","volume":"579","author":[{"family":"Poore","given":"Gregory D."},{"family":"Kopylova","given":"Evguenia"},{"family":"Zhu","given":"Qiyun"},{"family":"Carpenter","given":"Carolina"},{"family":"Fraraccio","given":"Serena"},{"family":"Wandro","given":"Stephen"},{"family":"Kosciolek","given":"Tomasz"},{"family":"Janssen","given":"Stefan"},{"family":"Metcalf","given":"Jessica"},{"family":"Song","given":"Se Jin"},{"family":"Kanbar","given":"Jad"},{"family":"Miller-Montgomery","given":"Sandrine"},{"family":"Heaton","given":"Robert"},{"family":"Mckay","given":"Rana"},{"family":"Patel","given":"Sandip Pravin"},{"family":"Swafford","given":"Austin D."},{"family":"Knight","given":"Rob"}],"issued":{"date-parts":[["2020",3]]}}}],"schema":"https://github.com/citation-style-language/schema/raw/master/csl-citation.json"} </w:instrText>
      </w:r>
      <w:r w:rsidR="00F67099">
        <w:rPr>
          <w:lang w:val="en-GB"/>
        </w:rPr>
        <w:fldChar w:fldCharType="separate"/>
      </w:r>
      <w:r w:rsidRPr="00D07096">
        <w:rPr>
          <w:rFonts w:ascii="Calibri" w:hAnsi="Calibri" w:cs="Calibri"/>
          <w:szCs w:val="24"/>
          <w:vertAlign w:val="superscript"/>
        </w:rPr>
        <w:t>6</w:t>
      </w:r>
      <w:r w:rsidR="00F67099">
        <w:rPr>
          <w:lang w:val="en-GB"/>
        </w:rPr>
        <w:fldChar w:fldCharType="end"/>
      </w:r>
      <w:r w:rsidR="00F67099">
        <w:rPr>
          <w:lang w:val="en-GB"/>
        </w:rPr>
        <w:t xml:space="preserve">. However, the microbial reads in this data set are often a result of contamination </w:t>
      </w:r>
      <w:r w:rsidR="00F67099">
        <w:rPr>
          <w:lang w:val="en-GB"/>
        </w:rPr>
        <w:fldChar w:fldCharType="begin"/>
      </w:r>
      <w:r w:rsidR="007276F0">
        <w:rPr>
          <w:lang w:val="en-GB"/>
        </w:rPr>
        <w:instrText xml:space="preserve"> ADDIN ZOTERO_ITEM CSL_CITATION {"citationID":"wZtdHDrb","properties":{"formattedCitation":"\\super 3\\nosupersub{}","plainCitation":"3","noteIndex":0},"citationItems":[{"id":185,"uris":["http://zotero.org/users/local/0zqklVfX/items/6YDSX49Y"],"itemData":{"id":185,"type":"article-journal","abstract":"Studying the microbial composition of internal organs and their associations with disease remains challenging due to the difficulty of acquiring clinical biopsies. We designed a statistical model to analyze the prevalence of species across sample types from The Cancer Genome Atlas (TCGA), revealing that species equiprevalent across sample types are predominantly contaminants, bearing unique signatures from each TCGA-designated sequencing center. Removing such species mitigated batch effects and isolated the tissue-resident microbiome, which was validated by original matched TCGA samples. Gene copies and nucleotide variants can further distinguish mixed-evidence species. We, thus, present The Cancer Microbiome Atlas (TCMA), a collection of curated, decontaminated microbial compositions of oropharyngeal, esophageal, gastrointestinal, and colorectal tissues. This led to the discovery of prognostic species and blood signatures of mucosal barrier injuries and enabled systematic matched microbe-host multi-omic analyses, which will help guide future studies of the microbiome’s role in human health and disease.","container-title":"Cell Host &amp; Microbe","DOI":"10.1016/j.chom.2020.12.001","ISSN":"1931-3128","issue":"2","journalAbbreviation":"Cell Host &amp; Microbe","language":"en","page":"281-298.e5","source":"ScienceDirect","title":"The cancer microbiome atlas: a pan-cancer comparative analysis to distinguish tissue-resident microbiota from contaminants","title-short":"The cancer microbiome atlas","volume":"29","author":[{"family":"Dohlman","given":"Anders B."},{"family":"Arguijo Mendoza","given":"Diana"},{"family":"Ding","given":"Shengli"},{"family":"Gao","given":"Michael"},{"family":"Dressman","given":"Holly"},{"family":"Iliev","given":"Iliyan D."},{"family":"Lipkin","given":"Steven M."},{"family":"Shen","given":"Xiling"}],"issued":{"date-parts":[["2021",2,10]]}}}],"schema":"https://github.com/citation-style-language/schema/raw/master/csl-citation.json"} </w:instrText>
      </w:r>
      <w:r w:rsidR="00F67099">
        <w:rPr>
          <w:lang w:val="en-GB"/>
        </w:rPr>
        <w:fldChar w:fldCharType="separate"/>
      </w:r>
      <w:r w:rsidR="007276F0" w:rsidRPr="007276F0">
        <w:rPr>
          <w:rFonts w:ascii="Calibri" w:hAnsi="Calibri" w:cs="Calibri"/>
          <w:szCs w:val="24"/>
          <w:vertAlign w:val="superscript"/>
        </w:rPr>
        <w:t>3</w:t>
      </w:r>
      <w:r w:rsidR="00F67099">
        <w:rPr>
          <w:lang w:val="en-GB"/>
        </w:rPr>
        <w:fldChar w:fldCharType="end"/>
      </w:r>
      <w:r w:rsidR="00F67099">
        <w:rPr>
          <w:lang w:val="en-GB"/>
        </w:rPr>
        <w:t>.</w:t>
      </w:r>
      <w:r>
        <w:rPr>
          <w:lang w:val="en-GB"/>
        </w:rPr>
        <w:t xml:space="preserve"> One such data set which makes this data available, is the cancer microbiome Atlas (TCMA).</w:t>
      </w:r>
    </w:p>
    <w:p w14:paraId="5944CE07" w14:textId="43DB7E2E" w:rsidR="00AD6999" w:rsidRDefault="00AD6999" w:rsidP="00901744">
      <w:pPr>
        <w:rPr>
          <w:lang w:val="en-GB"/>
        </w:rPr>
      </w:pPr>
      <w:r>
        <w:rPr>
          <w:lang w:val="en-GB"/>
        </w:rPr>
        <w:t xml:space="preserve">Using this data, various aspects of the human microbiome are being investigated. </w:t>
      </w:r>
      <w:r w:rsidR="00FA06A6">
        <w:rPr>
          <w:lang w:val="en-GB"/>
        </w:rPr>
        <w:t>It has become clear that t</w:t>
      </w:r>
      <w:r>
        <w:rPr>
          <w:lang w:val="en-GB"/>
        </w:rPr>
        <w:t xml:space="preserve">he microbiome exhibits significant person-to-person variation </w:t>
      </w:r>
      <w:r>
        <w:rPr>
          <w:lang w:val="en-GB"/>
        </w:rPr>
        <w:fldChar w:fldCharType="begin"/>
      </w:r>
      <w:r w:rsidR="00D07096">
        <w:rPr>
          <w:lang w:val="en-GB"/>
        </w:rPr>
        <w:instrText xml:space="preserve"> ADDIN ZOTERO_ITEM CSL_CITATION {"citationID":"MjPxpHdh","properties":{"formattedCitation":"\\super 7\\nosupersub{}","plainCitation":"7","noteIndex":0},"citationItems":[{"id":179,"uris":["http://zotero.org/users/local/0zqklVfX/items/JIA2XHDB"],"itemData":{"id":179,"type":"article-journal","abstract":"Knowledge of the human microbiome, which is likely a critical factor in the initiation, progression, and prognosis of multiple forms of cancer, is rapidly expanding. In this review, we focus on recent investigations to discern putative, causative microbial species and the microbiome composition and structure currently associated with procarcinogenesis and tumorigenesis at select body sites. We specifically highlight forms of cancer, gastrointestinal and nongastrointestinal, that have significant bacterial associations and well-defined experimental evidence with the aim of generating directions for future experimental and translational investigations to develop a clearer understanding of the multifaceted mechanisms by which microbiota affect cancer formation.Emerging and, for some cancers, strong experimental and translational data support the contribution of the microbiome to cancer biology and disease progression. Disrupting microbiome features and pathways contributing to cancer may provide new approaches to improving cancer outcomes in patients.","container-title":"Cancer Discovery","DOI":"10.1158/2159-8290.CD-21-0324","ISSN":"2159-8274","issue":"10","journalAbbreviation":"Cancer Discovery","page":"2378-2395","source":"Silverchair","title":"The Cancer Microbiome: Recent Highlights and Knowledge Gaps","title-short":"The Cancer Microbiome","volume":"11","author":[{"family":"Knippel","given":"Reece J."},{"family":"Drewes","given":"Julia L."},{"family":"Sears","given":"Cynthia L."}],"issued":{"date-parts":[["2021",8,16]]}}}],"schema":"https://github.com/citation-style-language/schema/raw/master/csl-citation.json"} </w:instrText>
      </w:r>
      <w:r>
        <w:rPr>
          <w:lang w:val="en-GB"/>
        </w:rPr>
        <w:fldChar w:fldCharType="separate"/>
      </w:r>
      <w:r w:rsidR="00D07096" w:rsidRPr="00D07096">
        <w:rPr>
          <w:rFonts w:ascii="Calibri" w:hAnsi="Calibri" w:cs="Calibri"/>
          <w:szCs w:val="24"/>
          <w:vertAlign w:val="superscript"/>
        </w:rPr>
        <w:t>7</w:t>
      </w:r>
      <w:r>
        <w:rPr>
          <w:lang w:val="en-GB"/>
        </w:rPr>
        <w:fldChar w:fldCharType="end"/>
      </w:r>
      <w:r>
        <w:rPr>
          <w:lang w:val="en-GB"/>
        </w:rPr>
        <w:t xml:space="preserve"> and can be affected by many factors such as diet, environmental exposure and lifestyle choices </w:t>
      </w:r>
      <w:r>
        <w:rPr>
          <w:lang w:val="en-GB"/>
        </w:rPr>
        <w:fldChar w:fldCharType="begin"/>
      </w:r>
      <w:r w:rsidR="00D07096">
        <w:rPr>
          <w:lang w:val="en-GB"/>
        </w:rPr>
        <w:instrText xml:space="preserve"> ADDIN ZOTERO_ITEM CSL_CITATION {"citationID":"5PYtkPoz","properties":{"formattedCitation":"\\super 8\\nosupersub{}","plainCitation":"8","noteIndex":0},"citationItems":[{"id":175,"uris":["http://zotero.org/users/local/0zqklVfX/items/IYIUZBIJ"],"itemData":{"id":175,"type":"article-journal","abstract":"Microbiome data should be incorporated into the prevention, diagnosis, and treatment of colon cancer\n          , \n            The human microbiota is the collection of microorganisms—bacteria, archaea, viruses, fungi, protozoa, and helminths—that populate the human body. They are emerging as an important feature of human health and disease. Currently, access to the genomic data of human cells and of microbiota (microbiomes) is more affordable and accessible than ever before. A major challenge is to unravel how we integrate microbiome data into precision medicine approaches for the prevention, diagnosis, and treatment of diseases such as cancer. The gastrointestinal (GI) tract is densely populated with microorganisms. Colorectal cancer (CRC) is the third most prevalent cancer worldwide. It is increasing in individuals less than 50 years old and is associated with specific dietary factors and eating patterns that affect the gut microbiota. Therefore, CRC seems ripe for microbiome-based prevention, diagnostics, and therapeutics.","container-title":"Science","DOI":"10.1126/science.aaw2367","ISSN":"0036-8075, 1095-9203","issue":"6446","journalAbbreviation":"Science","language":"en","page":"1133-1135","source":"DOI.org (Crossref)","title":"The gut microbiota and colon cancer","volume":"364","author":[{"family":"Garrett","given":"Wendy S."}],"issued":{"date-parts":[["2019",6,21]]}}}],"schema":"https://github.com/citation-style-language/schema/raw/master/csl-citation.json"} </w:instrText>
      </w:r>
      <w:r>
        <w:rPr>
          <w:lang w:val="en-GB"/>
        </w:rPr>
        <w:fldChar w:fldCharType="separate"/>
      </w:r>
      <w:r w:rsidR="00D07096" w:rsidRPr="00D07096">
        <w:rPr>
          <w:rFonts w:ascii="Calibri" w:hAnsi="Calibri" w:cs="Calibri"/>
          <w:szCs w:val="24"/>
          <w:vertAlign w:val="superscript"/>
        </w:rPr>
        <w:t>8</w:t>
      </w:r>
      <w:r>
        <w:rPr>
          <w:lang w:val="en-GB"/>
        </w:rPr>
        <w:fldChar w:fldCharType="end"/>
      </w:r>
      <w:r>
        <w:rPr>
          <w:lang w:val="en-GB"/>
        </w:rPr>
        <w:t xml:space="preserve">. Additionally, microbial communities are unique to each cancer type </w:t>
      </w:r>
      <w:r>
        <w:rPr>
          <w:lang w:val="en-GB"/>
        </w:rPr>
        <w:fldChar w:fldCharType="begin"/>
      </w:r>
      <w:r w:rsidR="00DD56C8">
        <w:rPr>
          <w:lang w:val="en-GB"/>
        </w:rPr>
        <w:instrText xml:space="preserve"> ADDIN ZOTERO_ITEM CSL_CITATION {"citationID":"sQgBYnQa","properties":{"formattedCitation":"\\super 6,9\\nosupersub{}","plainCitation":"6,9","noteIndex":0},"citationItems":[{"id":182,"uris":["http://zotero.org/users/local/0zqklVfX/items/3EG828JE"],"itemData":{"id":182,"type":"article-journal","abstract":"Systematic characterization of the cancer microbiome provides the opportunity to develop techniques that exploit non-human, microorganism-derived molecules in the diagnosis of a major human disease. Following recent demonstrations that some types of cancer show substantial microbial contributions1–10, we re-examined whole-genome and whole-transcriptome sequencing studies in The Cancer Genome Atlas11 (TCGA) of 33 types of cancer from treatment-naive patients (a total of 18,116 samples) for microbial reads, and found unique microbial signatures in tissue and blood within and between most major types of cancer. These TCGA blood signatures remained predictive when applied to patients with stage Ia–IIc cancer and cancers lacking any genomic alterations currently measured on two commercial-grade cell-free tumour DNA platforms, despite the use of very stringent decontamination analyses that discarded up to 92.3% of total sequence data. In addition, we could discriminate among samples from healthy, cancer-free individuals (n = 69) and those from patients with multiple types of cancer (prostate, lung, and melanoma; 100 samples in total) solely using plasma-derived, cell-free microbial nucleic acids. This potential microbiome-based oncology diagnostic tool warrants further exploration.","container-title":"Nature","DOI":"10.1038/s41586-020-2095-1","ISSN":"1476-4687","issue":"7800","language":"en","license":"2020 The Author(s), under exclusive licence to Springer Nature Limited","note":"number: 7800\npublisher: Nature Publishing Group","page":"567-574","source":"www.nature.com","title":"Microbiome analyses of blood and tissues suggest cancer diagnostic approach","volume":"579","author":[{"family":"Poore","given":"Gregory D."},{"family":"Kopylova","given":"Evguenia"},{"family":"Zhu","given":"Qiyun"},{"family":"Carpenter","given":"Carolina"},{"family":"Fraraccio","given":"Serena"},{"family":"Wandro","given":"Stephen"},{"family":"Kosciolek","given":"Tomasz"},{"family":"Janssen","given":"Stefan"},{"family":"Metcalf","given":"Jessica"},{"family":"Song","given":"Se Jin"},{"family":"Kanbar","given":"Jad"},{"family":"Miller-Montgomery","given":"Sandrine"},{"family":"Heaton","given":"Robert"},{"family":"Mckay","given":"Rana"},{"family":"Patel","given":"Sandip Pravin"},{"family":"Swafford","given":"Austin D."},{"family":"Knight","given":"Rob"}],"issued":{"date-parts":[["2020",3]]}}},{"id":258,"uris":["http://zotero.org/users/local/0zqklVfX/items/L8PDXLBH"],"itemData":{"id":258,"type":"article-journal","abstract":"Bacteria were first detected in human tumors more than 100 years ago, but the characterization of the tumor microbiome has remained challenging because of its low biomass. We undertook a comprehensive analysis of the tumor microbiome, studying 1526 tumors and their adjacent normal tissues across seven cancer types, including breast, lung, ovary, pancreas, melanoma, bone, and brain tumors. We found that each tumor type has a distinct microbiome composition and that breast cancer has a particularly rich and diverse microbiome. The intratumor bacteria are mostly intracellular and are present in both cancer and immune cells. We also noted correlations between intratumor bacteria or their predicted functions with tumor types and subtypes, patients’ smoking status, and the response to immunotherapy.","container-title":"Science","DOI":"10.1126/science.aay9189","issue":"6494","note":"publisher: American Association for the Advancement of Science","page":"973-980","source":"science.org (Atypon)","title":"The human tumor microbiome is composed of tumor type–specific intracellular bacteria","volume":"368","author":[{"family":"Nejman","given":"Deborah"},{"family":"Livyatan","given":"Ilana"},{"family":"Fuks","given":"Garold"},{"family":"Gavert","given":"Nancy"},{"family":"Zwang","given":"Yaara"},{"family":"Geller","given":"Leore T."},{"family":"Rotter-Maskowitz","given":"Aviva"},{"family":"Weiser","given":"Roi"},{"family":"Mallel","given":"Giuseppe"},{"family":"Gigi","given":"Elinor"},{"family":"Meltser","given":"Arnon"},{"family":"Douglas","given":"Gavin M."},{"family":"Kamer","given":"Iris"},{"family":"Gopalakrishnan","given":"Vancheswaran"},{"family":"Dadosh","given":"Tali"},{"family":"Levin-Zaidman","given":"Smadar"},{"family":"Avnet","given":"Sofia"},{"family":"Atlan","given":"Tehila"},{"family":"Cooper","given":"Zachary A."},{"family":"Arora","given":"Reetakshi"},{"family":"Cogdill","given":"Alexandria P."},{"family":"Khan","given":"Md Abdul Wadud"},{"family":"Ologun","given":"Gabriel"},{"family":"Bussi","given":"Yuval"},{"family":"Weinberger","given":"Adina"},{"family":"Lotan-Pompan","given":"Maya"},{"family":"Golani","given":"Ofra"},{"family":"Perry","given":"Gili"},{"family":"Rokah","given":"Merav"},{"family":"Bahar-Shany","given":"Keren"},{"family":"Rozeman","given":"Elisa A."},{"family":"Blank","given":"Christian U."},{"family":"Ronai","given":"Anat"},{"family":"Shaoul","given":"Ron"},{"family":"Amit","given":"Amnon"},{"family":"Dorfman","given":"Tatiana"},{"family":"Kremer","given":"Ran"},{"family":"Cohen","given":"Zvi R."},{"family":"Harnof","given":"Sagi"},{"family":"Siegal","given":"Tali"},{"family":"Yehuda-Shnaidman","given":"Einav"},{"family":"Gal-Yam","given":"Einav Nili"},{"family":"Shapira","given":"Hagit"},{"family":"Baldini","given":"Nicola"},{"family":"Langille","given":"Morgan G. I."},{"family":"Ben-Nun","given":"Alon"},{"family":"Kaufman","given":"Bella"},{"family":"Nissan","given":"Aviram"},{"family":"Golan","given":"Talia"},{"family":"Dadiani","given":"Maya"},{"family":"Levanon","given":"Keren"},{"family":"Bar","given":"Jair"},{"family":"Yust-Katz","given":"Shlomit"},{"family":"Barshack","given":"Iris"},{"family":"Peeper","given":"Daniel S."},{"family":"Raz","given":"Dan J."},{"family":"Segal","given":"Eran"},{"family":"Wargo","given":"Jennifer A."},{"family":"Sandbank","given":"Judith"},{"family":"Shental","given":"Noam"},{"family":"Straussman","given":"Ravid"}],"issued":{"date-parts":[["2020",5,29]]}}}],"schema":"https://github.com/citation-style-language/schema/raw/master/csl-citation.json"} </w:instrText>
      </w:r>
      <w:r>
        <w:rPr>
          <w:lang w:val="en-GB"/>
        </w:rPr>
        <w:fldChar w:fldCharType="separate"/>
      </w:r>
      <w:r w:rsidR="00DD56C8" w:rsidRPr="00DD56C8">
        <w:rPr>
          <w:rFonts w:ascii="Calibri" w:hAnsi="Calibri" w:cs="Calibri"/>
          <w:szCs w:val="24"/>
          <w:vertAlign w:val="superscript"/>
        </w:rPr>
        <w:t>6,9</w:t>
      </w:r>
      <w:r>
        <w:rPr>
          <w:lang w:val="en-GB"/>
        </w:rPr>
        <w:fldChar w:fldCharType="end"/>
      </w:r>
      <w:r>
        <w:rPr>
          <w:lang w:val="en-GB"/>
        </w:rPr>
        <w:t>.</w:t>
      </w:r>
      <w:r w:rsidR="00FA06A6">
        <w:rPr>
          <w:lang w:val="en-GB"/>
        </w:rPr>
        <w:t xml:space="preserve"> This has provided a motivation for the analyses of the impact of microbial composition on disease phenotypes and progression.</w:t>
      </w:r>
    </w:p>
    <w:p w14:paraId="7EDE31F3" w14:textId="222D9ED9" w:rsidR="00C02E20" w:rsidRDefault="00BD56F6">
      <w:pPr>
        <w:rPr>
          <w:lang w:val="en-GB"/>
        </w:rPr>
      </w:pPr>
      <w:r>
        <w:rPr>
          <w:lang w:val="en-GB"/>
        </w:rPr>
        <w:t>In light of this, r</w:t>
      </w:r>
      <w:r w:rsidR="00FA06A6">
        <w:rPr>
          <w:lang w:val="en-GB"/>
        </w:rPr>
        <w:t xml:space="preserve">ecent </w:t>
      </w:r>
      <w:r w:rsidR="004B4560">
        <w:rPr>
          <w:lang w:val="en-GB"/>
        </w:rPr>
        <w:t xml:space="preserve">research </w:t>
      </w:r>
      <w:r>
        <w:rPr>
          <w:lang w:val="en-GB"/>
        </w:rPr>
        <w:t xml:space="preserve">has been </w:t>
      </w:r>
      <w:r w:rsidR="004B4560">
        <w:rPr>
          <w:lang w:val="en-GB"/>
        </w:rPr>
        <w:t xml:space="preserve">elucidating the effect that the microbiota can have on a host organism </w:t>
      </w:r>
      <w:r w:rsidR="004B4560">
        <w:rPr>
          <w:lang w:val="en-GB"/>
        </w:rPr>
        <w:fldChar w:fldCharType="begin"/>
      </w:r>
      <w:r w:rsidR="00DD56C8">
        <w:rPr>
          <w:lang w:val="en-GB"/>
        </w:rPr>
        <w:instrText xml:space="preserve"> ADDIN ZOTERO_ITEM CSL_CITATION {"citationID":"dyvWwq6F","properties":{"formattedCitation":"\\super 10\\nosupersub{}","plainCitation":"10","noteIndex":0},"citationItems":[{"id":153,"uris":["http://zotero.org/users/local/0zqklVfX/items/5QK7HUH2"],"itemData":{"id":153,"type":"article-journal","abstract":"From ontogenesis to homeostasis, the phenotypes of complex organisms are shaped by the bidirectional interactions between the host organisms and their associated microbiota. Current technology can reveal many such interactions by combining multi-omic data from both hosts and microbes. However, exploring the full extent of these interactions requires careful consideration of study design for the efficient generation and optimal integration of data derived from (meta)genomics, (meta)transcriptomics, (meta)proteomics, and (meta)metabolomics. In this perspective, we introduce the holo-omic approach that incorporates multi-omic data from both host and microbiota domains to untangle the interplay between the two. We revisit the recent literature on biomolecular host-microbe interactions and discuss the implementation and current limitations of the holo-omic approach. We anticipate that the application of this approach can contribute to opening new research avenues and discoveries in biomedicine, biotechnology, agricultural and aquacultural sciences, nature conservation, as well as basic ecological and evolutionary research.","container-title":"iScience","DOI":"10.1016/j.isci.2020.101414","ISSN":"2589-0042","issue":"8","journalAbbreviation":"iScience","language":"en","page":"101414","source":"ScienceDirect","title":"Holo-Omics: Integrated Host-Microbiota Multi-omics for Basic and Applied Biological Research","title-short":"Holo-Omics","volume":"23","author":[{"family":"Nyholm","given":"Lasse"},{"family":"Koziol","given":"Adam"},{"family":"Marcos","given":"Sofia"},{"family":"Botnen","given":"Amanda Bolt"},{"family":"Aizpurua","given":"Ostaizka"},{"family":"Gopalakrishnan","given":"Shyam"},{"family":"Limborg","given":"Morten T."},{"family":"Gilbert","given":"M. Thomas P."},{"family":"Alberdi","given":"Antton"}],"issued":{"date-parts":[["2020",8,21]]}}}],"schema":"https://github.com/citation-style-language/schema/raw/master/csl-citation.json"} </w:instrText>
      </w:r>
      <w:r w:rsidR="004B4560">
        <w:rPr>
          <w:lang w:val="en-GB"/>
        </w:rPr>
        <w:fldChar w:fldCharType="separate"/>
      </w:r>
      <w:r w:rsidR="00DD56C8" w:rsidRPr="00DD56C8">
        <w:rPr>
          <w:rFonts w:ascii="Calibri" w:hAnsi="Calibri" w:cs="Calibri"/>
          <w:szCs w:val="24"/>
          <w:vertAlign w:val="superscript"/>
        </w:rPr>
        <w:t>10</w:t>
      </w:r>
      <w:r w:rsidR="004B4560">
        <w:rPr>
          <w:lang w:val="en-GB"/>
        </w:rPr>
        <w:fldChar w:fldCharType="end"/>
      </w:r>
      <w:r w:rsidR="004B4560">
        <w:rPr>
          <w:lang w:val="en-GB"/>
        </w:rPr>
        <w:t>.</w:t>
      </w:r>
      <w:r w:rsidR="001F5B0B">
        <w:rPr>
          <w:lang w:val="en-GB"/>
        </w:rPr>
        <w:t xml:space="preserve"> </w:t>
      </w:r>
      <w:r w:rsidR="00E7779D">
        <w:rPr>
          <w:lang w:val="en-GB"/>
        </w:rPr>
        <w:t xml:space="preserve">It </w:t>
      </w:r>
      <w:r>
        <w:rPr>
          <w:lang w:val="en-GB"/>
        </w:rPr>
        <w:t>has become</w:t>
      </w:r>
      <w:r w:rsidR="00E7779D">
        <w:rPr>
          <w:lang w:val="en-GB"/>
        </w:rPr>
        <w:t xml:space="preserve"> clear that the</w:t>
      </w:r>
      <w:r w:rsidR="007660F8">
        <w:rPr>
          <w:lang w:val="en-GB"/>
        </w:rPr>
        <w:t xml:space="preserve"> microbiota can have a clear effect on the phenotype of humans. Many microorganisms are enriched in certain cancers or differentially expressed among healthy and unhealthy individuals </w:t>
      </w:r>
      <w:r w:rsidR="007660F8">
        <w:rPr>
          <w:lang w:val="en-GB"/>
        </w:rPr>
        <w:fldChar w:fldCharType="begin"/>
      </w:r>
      <w:r w:rsidR="00DD56C8">
        <w:rPr>
          <w:lang w:val="en-GB"/>
        </w:rPr>
        <w:instrText xml:space="preserve"> ADDIN ZOTERO_ITEM CSL_CITATION {"citationID":"gaocdCW2","properties":{"formattedCitation":"\\super 11\\nosupersub{}","plainCitation":"11","noteIndex":0},"citationItems":[{"id":159,"uris":["http://zotero.org/users/local/0zqklVfX/items/6X3AE5A2"],"itemData":{"id":159,"type":"article-journal","abstract":"Recent studies have reported the potential role of microbiomes in cervical disease. However, little is known about the microbiome composition and function in cervical carcinogenesis. We aimed to identify the compositional and functional alterations of cervical microbiomes in cases of cervical carcinogenesis of Korean women using shotgun metagenomic sequencing. In this study, using shotgun sequencing, we sequenced the cervical metagenomes of cervical intraneoplasia 2/3 (n = 17), cervical cancer (n = 12), and normal controls (n = 18) to identify the microbial abundances and enriched metabolic functions in cervical metagenomes. At the genus level, the microbiota of cervical cancer were differentially enriched with genera Alkaliphilus, Pseudothermotoga, and Wolbachia. Cervical intraepithelial neoplasia (CIN) 2/3 were enriched with Lactobacillus, Staphylococcus, and Candidatus Endolissoclinum. The normal group was enriched with Pseudoalteromonas and Psychrobacter. Further characterization of the functionalities of the metagenomes may suggest that six Kyoto Encyclopedia of Genes and Genomes (KEGG) orthologies (KOs) that are involved in 10 pathways are associated with an increased risk of CIN2/3 and cervical cancer. Specifically, cervical metagenomes were enriched in the course of peptidoglycan synthesis and depleted by dioxin degradation and 4-oxalocrotonate tautomerase. The Cluster of Orthologous Groups (COG) category ‘Defense mechanisms’ was depleted in cervical cancer patients. Our findings based on shotgun metagenomic sequencing suggest that cervical microbiome community compositions and their metagenomics profiles differed between cervical lesions and normal subjects. Future studies should have larger sample sizes and/or aggregate their results to have sufficient power to detect reproducible and significant associations.","container-title":"Cancers","DOI":"10.3390/cancers11030309","ISSN":"2072-6694","issue":"3","journalAbbreviation":"Cancers (Basel)","note":"PMID: 30841606\nPMCID: PMC6468638","page":"309","source":"PubMed Central","title":"Compositional and Functional Differences between Microbiota and Cervical Carcinogenesis as Identified by Shotgun Metagenomic Sequencing","volume":"11","author":[{"family":"Kwon","given":"Minji"},{"family":"Seo","given":"Sang-Soo"},{"family":"Kim","given":"Mi Kyung"},{"family":"Lee","given":"Dong Ock"},{"family":"Lim","given":"Myoung Cheol"}],"issued":{"date-parts":[["2019",3,5]]}}}],"schema":"https://github.com/citation-style-language/schema/raw/master/csl-citation.json"} </w:instrText>
      </w:r>
      <w:r w:rsidR="007660F8">
        <w:rPr>
          <w:lang w:val="en-GB"/>
        </w:rPr>
        <w:fldChar w:fldCharType="separate"/>
      </w:r>
      <w:r w:rsidR="00DD56C8" w:rsidRPr="00DD56C8">
        <w:rPr>
          <w:rFonts w:ascii="Calibri" w:hAnsi="Calibri" w:cs="Calibri"/>
          <w:szCs w:val="24"/>
          <w:vertAlign w:val="superscript"/>
        </w:rPr>
        <w:t>11</w:t>
      </w:r>
      <w:r w:rsidR="007660F8">
        <w:rPr>
          <w:lang w:val="en-GB"/>
        </w:rPr>
        <w:fldChar w:fldCharType="end"/>
      </w:r>
      <w:r w:rsidR="004A78E6">
        <w:rPr>
          <w:lang w:val="en-GB"/>
        </w:rPr>
        <w:t xml:space="preserve"> and between </w:t>
      </w:r>
      <w:proofErr w:type="spellStart"/>
      <w:r w:rsidR="004A78E6">
        <w:rPr>
          <w:lang w:val="en-GB"/>
        </w:rPr>
        <w:t>tumor</w:t>
      </w:r>
      <w:proofErr w:type="spellEnd"/>
      <w:r w:rsidR="004A78E6">
        <w:rPr>
          <w:lang w:val="en-GB"/>
        </w:rPr>
        <w:t xml:space="preserve"> versus normal samples </w:t>
      </w:r>
      <w:r w:rsidR="004A78E6">
        <w:rPr>
          <w:lang w:val="en-GB"/>
        </w:rPr>
        <w:fldChar w:fldCharType="begin"/>
      </w:r>
      <w:r w:rsidR="00DD56C8">
        <w:rPr>
          <w:lang w:val="en-GB"/>
        </w:rPr>
        <w:instrText xml:space="preserve"> ADDIN ZOTERO_ITEM CSL_CITATION {"citationID":"WDGy3PVC","properties":{"formattedCitation":"\\super 12\\nosupersub{}","plainCitation":"12","noteIndex":0},"citationItems":[{"id":238,"uris":["http://zotero.org/users/local/0zqklVfX/items/WA65UHG6"],"itemData":{"id":238,"type":"article-journal","abstract":"While the intratumor microbiome has become increasingly implicated in cancer development, the microbial landscape of papillary thyroid carcinoma (PTC) is essentially uninvestigated. PTC is characterized by varied prognosis between gender and cancer subtype, but the cause for gender and subtype-based dissimilarities is unclear. Women are more frequently diagnosed with PTC, while men suffer more advanced-staged PTC. In addition, tall cell variants are more aggressive than classical and follicular variants of PTC. We hypothesized that intratumor microbiome composition distinctly alters the immune landscape and predicts clinical outcome between PTC subtypes and between patient genders. Raw whole-transcriptome RNA-sequencing, Level 3 normalized mRNA expression read counts, and DNA methylation 450 k sequencing data for untreated, nonirradiated tumor, and adjacent normal tissue were downloaded from the Genomic Data Commons (GDC) legacy archive for 563 thyroid carcinoma patients. Microbe counts were extracted using Pathoscope 2.0 software. We correlated microbe abundance to clinical variables and immune-associated gene expression. Gene-set enrichment, mutation, and methylation analyses were conducted to correlate microbe abundance to characterize microbes’ roles. Overall, PTC tumor tissue significantly lacked microbes that are populated in adjacent normal tissue, which suggests presence of microbes may be critical in controlling immune cell expression and regulating immune and cancer pathways to mitigate cancer growth. In contrast, we also found that microbes distinctly abundant in tall cell and male patient cohorts were also correlated with higher mutation expression and methylation of tumor suppressors. Microbe dysbiosis in specific PTC types may explain observable differences in PTC progression and pathogenesis. These microbesprovide a basis for developing specialized prebiotic and probiotic treatments for varied PTC tumors.","container-title":"Computational and Structural Biotechnology Journal","DOI":"10.1016/j.csbj.2021.03.032","ISSN":"2001-0370","journalAbbreviation":"Computational and Structural Biotechnology Journal","language":"en","page":"1986-1997","source":"ScienceDirect","title":"The intratumor microbiome predicts prognosis across gender and subtypes in papillary thyroid carcinoma","volume":"19","author":[{"family":"Gnanasekar","given":"Aditi"},{"family":"Castaneda","given":"Grant"},{"family":"Iyangar","given":"Anjali"},{"family":"Magesh","given":"Shruti"},{"family":"Perez","given":"Daisy"},{"family":"Chakladar","given":"Jaideep"},{"family":"Li","given":"Wei Tse"},{"family":"Bouvet","given":"Michael"},{"family":"Chang","given":"Eric Y."},{"family":"Ongkeko","given":"Weg M."}],"issued":{"date-parts":[["2021",1,1]]}}}],"schema":"https://github.com/citation-style-language/schema/raw/master/csl-citation.json"} </w:instrText>
      </w:r>
      <w:r w:rsidR="004A78E6">
        <w:rPr>
          <w:lang w:val="en-GB"/>
        </w:rPr>
        <w:fldChar w:fldCharType="separate"/>
      </w:r>
      <w:r w:rsidR="00DD56C8" w:rsidRPr="00DD56C8">
        <w:rPr>
          <w:rFonts w:ascii="Calibri" w:hAnsi="Calibri" w:cs="Calibri"/>
          <w:szCs w:val="24"/>
          <w:vertAlign w:val="superscript"/>
        </w:rPr>
        <w:t>12</w:t>
      </w:r>
      <w:r w:rsidR="004A78E6">
        <w:rPr>
          <w:lang w:val="en-GB"/>
        </w:rPr>
        <w:fldChar w:fldCharType="end"/>
      </w:r>
      <w:r w:rsidR="007660F8">
        <w:rPr>
          <w:lang w:val="en-GB"/>
        </w:rPr>
        <w:t>.</w:t>
      </w:r>
      <w:r w:rsidR="00E7779D">
        <w:rPr>
          <w:lang w:val="en-GB"/>
        </w:rPr>
        <w:t xml:space="preserve"> Even further</w:t>
      </w:r>
      <w:r w:rsidR="007660F8">
        <w:rPr>
          <w:lang w:val="en-GB"/>
        </w:rPr>
        <w:t>,</w:t>
      </w:r>
      <w:r w:rsidR="00E7779D">
        <w:rPr>
          <w:lang w:val="en-GB"/>
        </w:rPr>
        <w:t xml:space="preserve"> t</w:t>
      </w:r>
      <w:r w:rsidR="007660F8">
        <w:rPr>
          <w:lang w:val="en-GB"/>
        </w:rPr>
        <w:t>here are indications that composition and changes in the microbiota has a direct influence on oncogenesis</w:t>
      </w:r>
      <w:r w:rsidR="00E7779D">
        <w:rPr>
          <w:lang w:val="en-GB"/>
        </w:rPr>
        <w:t xml:space="preserve"> </w:t>
      </w:r>
      <w:r w:rsidR="007660F8">
        <w:rPr>
          <w:lang w:val="en-GB"/>
        </w:rPr>
        <w:fldChar w:fldCharType="begin"/>
      </w:r>
      <w:r w:rsidR="00DD56C8">
        <w:rPr>
          <w:lang w:val="en-GB"/>
        </w:rPr>
        <w:instrText xml:space="preserve"> ADDIN ZOTERO_ITEM CSL_CITATION {"citationID":"f1ViFMad","properties":{"formattedCitation":"\\super 13\\uc0\\u8211{}15\\nosupersub{}","plainCitation":"13–15","noteIndex":0},"citationItems":[{"id":162,"uris":["http://zotero.org/users/local/0zqklVfX/items/G6PCRBUL"],"itemData":{"id":162,"type":"article-journal","abstract":"Collectively known as the microbiota, the commensal bacteria and other microorganisms that colonize the epithelial surfaces of our body have been shown to produce small molecules and metabolites that have both local and systemic effects on cancer onset, progression and therapy response. To date, most studies focusing on the microbiome have used traditional preclinical mouse models and identified correlative relationships between m icrobial species and cancer phenotypes. Now, the profound influence of the microbiota on the efficacy of cancer treatments, such as im m unotherapies, has begun to be extensively characterized in humans. Paramount to the development of microbiota-based therapeutics, the next challenge in m icrobiom e research will be to identify individual microbial species that causally affect cancer phenotypes and unravel the underlying mechanisms. In this Viewpoint article, we asked four scientists working on the cancer microbiome for their opinions on the current state of the field, where the research is heading and how we can advance our understanding to rationally design microbial-based therapeutics to transform treatment strategies for patients with cancer.","container-title":"Nature reviews. Cancer","DOI":"10.1038/s41568-019-0155-3","ISSN":"1474-175X","issue":"7","journalAbbreviation":"Nat Rev Cancer","note":"PMID: 31186547\nPMCID: PMC6700740","page":"371-376","source":"PubMed Central","title":"The cancer microbiome","volume":"19","author":[{"family":"Elinav","given":"Eran"},{"family":"Garrett","given":"Wendy S."},{"family":"Trinchieri","given":"Giorgio"},{"family":"Wargo","given":"Jennifer"}],"issued":{"date-parts":[["2019",7]]}}},{"id":254,"uris":["http://zotero.org/users/local/0zqklVfX/items/9H2E3RPI"],"itemData":{"id":254,"type":"article-journal","abstract":"T cell infiltration of solid tumors is associated with favorable patient outcomes, yet the mechanisms underlying variable immune responses between individuals are not well understood. One possible modulator could be the intestinal microbiota. We compared melanoma growth in mice harboring distinct commensal microbiota and observed differences in spontaneous antitumor immunity, which were eliminated upon cohousing or after fecal transfer. Sequencing of the 16S ribosomal RNA identified Bifidobacterium as associated with the antitumor effects. Oral administration of Bifidobacterium alone improved tumor control to the same degree as programmed cell death protein 1 ligand 1 (PD-L1)–specific antibody therapy (checkpoint blockade), and combination treatment nearly abolished tumor outgrowth. Augmented dendritic cell function leading to enhanced CD8+ T cell priming and accumulation in the tumor microenvironment mediated the effect. Our data suggest that manipulating the microbiota may modulate cancer immunotherapy.","container-title":"Science","DOI":"10.1126/science.aac4255","issue":"6264","note":"publisher: American Association for the Advancement of Science","page":"1084-1089","source":"science.org (Atypon)","title":"Commensal Bifidobacterium promotes antitumor immunity and facilitates anti–PD-L1 efficacy","volume":"350","author":[{"family":"Sivan","given":"Ayelet"},{"family":"Corrales","given":"Leticia"},{"family":"Hubert","given":"Nathaniel"},{"family":"Williams","given":"Jason B."},{"family":"Aquino-Michaels","given":"Keston"},{"family":"Earley","given":"Zachary M."},{"family":"Benyamin","given":"Franco W."},{"family":"Man Lei","given":"Yuk"},{"family":"Jabri","given":"Bana"},{"family":"Alegre","given":"Maria-Luisa"},{"family":"Chang","given":"Eugene B."},{"family":"Gajewski","given":"Thomas F."}],"issued":{"date-parts":[["2015",11,27]]}}},{"id":256,"uris":["http://zotero.org/users/local/0zqklVfX/items/DDHJUS98"],"itemData":{"id":256,"type":"article-journal","abstract":"Preclinical mouse models suggest that the gut microbiome modulates tumor response to checkpoint blockade immunotherapy; however, this has not been well-characterized in human cancer patients. Here we examined the oral and gut microbiome of melanoma patients undergoing anti–programmed cell death 1 protein (PD-1) immunotherapy (n = 112). Significant differences were observed in the diversity and composition of the patient gut microbiome of responders versus nonresponders. Analysis of patient fecal microbiome samples (n = 43, 30 responders, 13 nonresponders) showed significantly higher alpha diversity (P &lt; 0.01) and relative abundance of bacteria of the Ruminococcaceae family (P &lt; 0.01) in responding patients. Metagenomic studies revealed functional differences in gut bacteria in responders, including enrichment of anabolic pathways. Immune profiling suggested enhanced systemic and antitumor immunity in responding patients with a favorable gut microbiome as well as in germ-free mice receiving fecal transplants from responding patients. Together, these data have important implications for the treatment of melanoma patients with immune checkpoint inhibitors.","container-title":"Science","DOI":"10.1126/science.aan4236","issue":"6371","note":"publisher: American Association for the Advancement of Science","page":"97-103","source":"science.org (Atypon)","title":"Gut microbiome modulates response to anti–PD-1 immunotherapy in melanoma patients","volume":"359","author":[{"family":"Gopalakrishnan","given":"V."},{"family":"Spencer","given":"C. N."},{"family":"Nezi","given":"L."},{"family":"Reuben","given":"A."},{"family":"Andrews","given":"M. C."},{"family":"Karpinets","given":"T. V."},{"family":"Prieto","given":"P. A."},{"family":"Vicente","given":"D."},{"family":"Hoffman","given":"K."},{"family":"Wei","given":"S. C."},{"family":"Cogdill","given":"A. P."},{"family":"Zhao","given":"L."},{"family":"Hudgens","given":"C. W."},{"family":"Hutchinson","given":"D. S."},{"family":"Manzo","given":"T."},{"family":"Petaccia de Macedo","given":"M."},{"family":"Cotechini","given":"T."},{"family":"Kumar","given":"T."},{"family":"Chen","given":"W. S."},{"family":"Reddy","given":"S. M."},{"family":"Szczepaniak Sloane","given":"R."},{"family":"Galloway-Pena","given":"J."},{"family":"Jiang","given":"H."},{"family":"Chen","given":"P. L."},{"family":"Shpall","given":"E. J."},{"family":"Rezvani","given":"K."},{"family":"Alousi","given":"A. M."},{"family":"Chemaly","given":"R. F."},{"family":"Shelburne","given":"S."},{"family":"Vence","given":"L. M."},{"family":"Okhuysen","given":"P. C."},{"family":"Jensen","given":"V. B."},{"family":"Swennes","given":"A. G."},{"family":"McAllister","given":"F."},{"family":"Marcelo Riquelme Sanchez","given":"E."},{"family":"Zhang","given":"Y."},{"family":"Le Chatelier","given":"E."},{"family":"Zitvogel","given":"L."},{"family":"Pons","given":"N."},{"family":"Austin-Breneman","given":"J. L."},{"family":"Haydu","given":"L. E."},{"family":"Burton","given":"E. M."},{"family":"Gardner","given":"J. M."},{"family":"Sirmans","given":"E."},{"family":"Hu","given":"J."},{"family":"Lazar","given":"A. J."},{"family":"Tsujikawa","given":"T."},{"family":"Diab","given":"A."},{"family":"Tawbi","given":"H."},{"family":"Glitza","given":"I. C."},{"family":"Hwu","given":"W. J."},{"family":"Patel","given":"S. P."},{"family":"Woodman","given":"S. E."},{"family":"Amaria","given":"R. N."},{"family":"Davies","given":"M. A."},{"family":"Gershenwald","given":"J. E."},{"family":"Hwu","given":"P."},{"family":"Lee","given":"J. E."},{"family":"Zhang","given":"J."},{"family":"Coussens","given":"L. M."},{"family":"Cooper","given":"Z. A."},{"family":"Futreal","given":"P. A."},{"family":"Daniel","given":"C. R."},{"family":"Ajami","given":"N. J."},{"family":"Petrosino","given":"J. F."},{"family":"Tetzlaff","given":"M. T."},{"family":"Sharma","given":"P."},{"family":"Allison","given":"J. P."},{"family":"Jenq","given":"R. R."},{"family":"Wargo","given":"J. A."}],"issued":{"date-parts":[["2018",1,5]]}}}],"schema":"https://github.com/citation-style-language/schema/raw/master/csl-citation.json"} </w:instrText>
      </w:r>
      <w:r w:rsidR="007660F8">
        <w:rPr>
          <w:lang w:val="en-GB"/>
        </w:rPr>
        <w:fldChar w:fldCharType="separate"/>
      </w:r>
      <w:r w:rsidR="00DD56C8" w:rsidRPr="00DD56C8">
        <w:rPr>
          <w:rFonts w:ascii="Calibri" w:hAnsi="Calibri" w:cs="Calibri"/>
          <w:szCs w:val="24"/>
          <w:vertAlign w:val="superscript"/>
        </w:rPr>
        <w:t>13–15</w:t>
      </w:r>
      <w:r w:rsidR="007660F8">
        <w:rPr>
          <w:lang w:val="en-GB"/>
        </w:rPr>
        <w:fldChar w:fldCharType="end"/>
      </w:r>
      <w:r w:rsidR="009E65AA">
        <w:rPr>
          <w:lang w:val="en-GB"/>
        </w:rPr>
        <w:t xml:space="preserve"> and </w:t>
      </w:r>
      <w:proofErr w:type="spellStart"/>
      <w:r w:rsidR="00781DD1">
        <w:rPr>
          <w:lang w:val="en-GB"/>
        </w:rPr>
        <w:t>tumor</w:t>
      </w:r>
      <w:proofErr w:type="spellEnd"/>
      <w:r w:rsidR="00781DD1">
        <w:rPr>
          <w:lang w:val="en-GB"/>
        </w:rPr>
        <w:t xml:space="preserve"> </w:t>
      </w:r>
      <w:r w:rsidR="009E65AA">
        <w:rPr>
          <w:lang w:val="en-GB"/>
        </w:rPr>
        <w:t xml:space="preserve">immunotherapy response </w:t>
      </w:r>
      <w:r w:rsidR="009E65AA">
        <w:rPr>
          <w:lang w:val="en-GB"/>
        </w:rPr>
        <w:fldChar w:fldCharType="begin"/>
      </w:r>
      <w:r w:rsidR="00DD56C8">
        <w:rPr>
          <w:lang w:val="en-GB"/>
        </w:rPr>
        <w:instrText xml:space="preserve"> ADDIN ZOTERO_ITEM CSL_CITATION {"citationID":"f7amKxQ4","properties":{"formattedCitation":"\\super 14,15\\nosupersub{}","plainCitation":"14,15","noteIndex":0},"citationItems":[{"id":254,"uris":["http://zotero.org/users/local/0zqklVfX/items/9H2E3RPI"],"itemData":{"id":254,"type":"article-journal","abstract":"T cell infiltration of solid tumors is associated with favorable patient outcomes, yet the mechanisms underlying variable immune responses between individuals are not well understood. One possible modulator could be the intestinal microbiota. We compared melanoma growth in mice harboring distinct commensal microbiota and observed differences in spontaneous antitumor immunity, which were eliminated upon cohousing or after fecal transfer. Sequencing of the 16S ribosomal RNA identified Bifidobacterium as associated with the antitumor effects. Oral administration of Bifidobacterium alone improved tumor control to the same degree as programmed cell death protein 1 ligand 1 (PD-L1)–specific antibody therapy (checkpoint blockade), and combination treatment nearly abolished tumor outgrowth. Augmented dendritic cell function leading to enhanced CD8+ T cell priming and accumulation in the tumor microenvironment mediated the effect. Our data suggest that manipulating the microbiota may modulate cancer immunotherapy.","container-title":"Science","DOI":"10.1126/science.aac4255","issue":"6264","note":"publisher: American Association for the Advancement of Science","page":"1084-1089","source":"science.org (Atypon)","title":"Commensal Bifidobacterium promotes antitumor immunity and facilitates anti–PD-L1 efficacy","volume":"350","author":[{"family":"Sivan","given":"Ayelet"},{"family":"Corrales","given":"Leticia"},{"family":"Hubert","given":"Nathaniel"},{"family":"Williams","given":"Jason B."},{"family":"Aquino-Michaels","given":"Keston"},{"family":"Earley","given":"Zachary M."},{"family":"Benyamin","given":"Franco W."},{"family":"Man Lei","given":"Yuk"},{"family":"Jabri","given":"Bana"},{"family":"Alegre","given":"Maria-Luisa"},{"family":"Chang","given":"Eugene B."},{"family":"Gajewski","given":"Thomas F."}],"issued":{"date-parts":[["2015",11,27]]}}},{"id":256,"uris":["http://zotero.org/users/local/0zqklVfX/items/DDHJUS98"],"itemData":{"id":256,"type":"article-journal","abstract":"Preclinical mouse models suggest that the gut microbiome modulates tumor response to checkpoint blockade immunotherapy; however, this has not been well-characterized in human cancer patients. Here we examined the oral and gut microbiome of melanoma patients undergoing anti–programmed cell death 1 protein (PD-1) immunotherapy (n = 112). Significant differences were observed in the diversity and composition of the patient gut microbiome of responders versus nonresponders. Analysis of patient fecal microbiome samples (n = 43, 30 responders, 13 nonresponders) showed significantly higher alpha diversity (P &lt; 0.01) and relative abundance of bacteria of the Ruminococcaceae family (P &lt; 0.01) in responding patients. Metagenomic studies revealed functional differences in gut bacteria in responders, including enrichment of anabolic pathways. Immune profiling suggested enhanced systemic and antitumor immunity in responding patients with a favorable gut microbiome as well as in germ-free mice receiving fecal transplants from responding patients. Together, these data have important implications for the treatment of melanoma patients with immune checkpoint inhibitors.","container-title":"Science","DOI":"10.1126/science.aan4236","issue":"6371","note":"publisher: American Association for the Advancement of Science","page":"97-103","source":"science.org (Atypon)","title":"Gut microbiome modulates response to anti–PD-1 immunotherapy in melanoma patients","volume":"359","author":[{"family":"Gopalakrishnan","given":"V."},{"family":"Spencer","given":"C. N."},{"family":"Nezi","given":"L."},{"family":"Reuben","given":"A."},{"family":"Andrews","given":"M. C."},{"family":"Karpinets","given":"T. V."},{"family":"Prieto","given":"P. A."},{"family":"Vicente","given":"D."},{"family":"Hoffman","given":"K."},{"family":"Wei","given":"S. C."},{"family":"Cogdill","given":"A. P."},{"family":"Zhao","given":"L."},{"family":"Hudgens","given":"C. W."},{"family":"Hutchinson","given":"D. S."},{"family":"Manzo","given":"T."},{"family":"Petaccia de Macedo","given":"M."},{"family":"Cotechini","given":"T."},{"family":"Kumar","given":"T."},{"family":"Chen","given":"W. S."},{"family":"Reddy","given":"S. M."},{"family":"Szczepaniak Sloane","given":"R."},{"family":"Galloway-Pena","given":"J."},{"family":"Jiang","given":"H."},{"family":"Chen","given":"P. L."},{"family":"Shpall","given":"E. J."},{"family":"Rezvani","given":"K."},{"family":"Alousi","given":"A. M."},{"family":"Chemaly","given":"R. F."},{"family":"Shelburne","given":"S."},{"family":"Vence","given":"L. M."},{"family":"Okhuysen","given":"P. C."},{"family":"Jensen","given":"V. B."},{"family":"Swennes","given":"A. G."},{"family":"McAllister","given":"F."},{"family":"Marcelo Riquelme Sanchez","given":"E."},{"family":"Zhang","given":"Y."},{"family":"Le Chatelier","given":"E."},{"family":"Zitvogel","given":"L."},{"family":"Pons","given":"N."},{"family":"Austin-Breneman","given":"J. L."},{"family":"Haydu","given":"L. E."},{"family":"Burton","given":"E. M."},{"family":"Gardner","given":"J. M."},{"family":"Sirmans","given":"E."},{"family":"Hu","given":"J."},{"family":"Lazar","given":"A. J."},{"family":"Tsujikawa","given":"T."},{"family":"Diab","given":"A."},{"family":"Tawbi","given":"H."},{"family":"Glitza","given":"I. C."},{"family":"Hwu","given":"W. J."},{"family":"Patel","given":"S. P."},{"family":"Woodman","given":"S. E."},{"family":"Amaria","given":"R. N."},{"family":"Davies","given":"M. A."},{"family":"Gershenwald","given":"J. E."},{"family":"Hwu","given":"P."},{"family":"Lee","given":"J. E."},{"family":"Zhang","given":"J."},{"family":"Coussens","given":"L. M."},{"family":"Cooper","given":"Z. A."},{"family":"Futreal","given":"P. A."},{"family":"Daniel","given":"C. R."},{"family":"Ajami","given":"N. J."},{"family":"Petrosino","given":"J. F."},{"family":"Tetzlaff","given":"M. T."},{"family":"Sharma","given":"P."},{"family":"Allison","given":"J. P."},{"family":"Jenq","given":"R. R."},{"family":"Wargo","given":"J. A."}],"issued":{"date-parts":[["2018",1,5]]}}}],"schema":"https://github.com/citation-style-language/schema/raw/master/csl-citation.json"} </w:instrText>
      </w:r>
      <w:r w:rsidR="009E65AA">
        <w:rPr>
          <w:lang w:val="en-GB"/>
        </w:rPr>
        <w:fldChar w:fldCharType="separate"/>
      </w:r>
      <w:r w:rsidR="00DD56C8" w:rsidRPr="00DD56C8">
        <w:rPr>
          <w:rFonts w:ascii="Calibri" w:hAnsi="Calibri" w:cs="Calibri"/>
          <w:szCs w:val="24"/>
          <w:vertAlign w:val="superscript"/>
        </w:rPr>
        <w:t>14,15</w:t>
      </w:r>
      <w:r w:rsidR="009E65AA">
        <w:rPr>
          <w:lang w:val="en-GB"/>
        </w:rPr>
        <w:fldChar w:fldCharType="end"/>
      </w:r>
      <w:r w:rsidR="007660F8">
        <w:rPr>
          <w:lang w:val="en-GB"/>
        </w:rPr>
        <w:t>. As an example, patients with Parkinson’s have a relatively lower incidence of multiple cancers, possibly through mechanisms involving the microbiota</w:t>
      </w:r>
      <w:r w:rsidR="00627653">
        <w:rPr>
          <w:lang w:val="en-GB"/>
        </w:rPr>
        <w:t xml:space="preserve"> </w:t>
      </w:r>
      <w:r w:rsidR="007660F8">
        <w:rPr>
          <w:lang w:val="en-GB"/>
        </w:rPr>
        <w:fldChar w:fldCharType="begin"/>
      </w:r>
      <w:r w:rsidR="00DD56C8">
        <w:rPr>
          <w:lang w:val="en-GB"/>
        </w:rPr>
        <w:instrText xml:space="preserve"> ADDIN ZOTERO_ITEM CSL_CITATION {"citationID":"ooNy6a6N","properties":{"formattedCitation":"\\super 16\\nosupersub{}","plainCitation":"16","noteIndex":0},"citationItems":[{"id":168,"uris":["http://zotero.org/users/local/0zqklVfX/items/SHGW2IGR"],"itemData":{"id":168,"type":"article-journal","abstract":"Recent theory on the “gut-brain axis” suggests a close relationship between the dysfunction of the gut and the disorders of the brain.","container-title":"BMC Geriatrics","DOI":"10.1186/s12877-021-02497-z","ISSN":"1471-2318","issue":"1","journalAbbreviation":"BMC Geriatrics","page":"564","source":"BioMed Central","title":"Patients with Parkinson’s disease predict a lower incidence of colorectal cancer","volume":"21","author":[{"family":"Fang","given":"Hongsheng"},{"family":"Du","given":"Yunlan"},{"family":"Pan","given":"Shuting"},{"family":"Zhong","given":"Ming"},{"family":"Tang","given":"Jiayin"}],"issued":{"date-parts":[["2021",10,18]]}}}],"schema":"https://github.com/citation-style-language/schema/raw/master/csl-citation.json"} </w:instrText>
      </w:r>
      <w:r w:rsidR="007660F8">
        <w:rPr>
          <w:lang w:val="en-GB"/>
        </w:rPr>
        <w:fldChar w:fldCharType="separate"/>
      </w:r>
      <w:r w:rsidR="00DD56C8" w:rsidRPr="00DD56C8">
        <w:rPr>
          <w:rFonts w:ascii="Calibri" w:hAnsi="Calibri" w:cs="Calibri"/>
          <w:szCs w:val="24"/>
          <w:vertAlign w:val="superscript"/>
        </w:rPr>
        <w:t>16</w:t>
      </w:r>
      <w:r w:rsidR="007660F8">
        <w:rPr>
          <w:lang w:val="en-GB"/>
        </w:rPr>
        <w:fldChar w:fldCharType="end"/>
      </w:r>
      <w:r w:rsidR="007660F8">
        <w:rPr>
          <w:lang w:val="en-GB"/>
        </w:rPr>
        <w:t>.</w:t>
      </w:r>
      <w:r w:rsidR="00E7779D">
        <w:rPr>
          <w:lang w:val="en-GB"/>
        </w:rPr>
        <w:t xml:space="preserve"> </w:t>
      </w:r>
      <w:r w:rsidR="00FE2325">
        <w:rPr>
          <w:lang w:val="en-GB"/>
        </w:rPr>
        <w:t>It has</w:t>
      </w:r>
      <w:r w:rsidR="00FA4AF9">
        <w:rPr>
          <w:lang w:val="en-GB"/>
        </w:rPr>
        <w:t xml:space="preserve"> also</w:t>
      </w:r>
      <w:r w:rsidR="00FE2325">
        <w:rPr>
          <w:lang w:val="en-GB"/>
        </w:rPr>
        <w:t xml:space="preserve"> been revealed that there are significantly different abundances of microbes</w:t>
      </w:r>
      <w:r w:rsidR="00FA06A6">
        <w:rPr>
          <w:lang w:val="en-GB"/>
        </w:rPr>
        <w:t>, which are also associated with different functional categories,</w:t>
      </w:r>
      <w:r w:rsidR="00FE2325">
        <w:rPr>
          <w:lang w:val="en-GB"/>
        </w:rPr>
        <w:t xml:space="preserve"> among different disease groups for cervical cancer, even when controlling for multiple other clinical variables </w:t>
      </w:r>
      <w:r w:rsidR="00FE2325">
        <w:rPr>
          <w:lang w:val="en-GB"/>
        </w:rPr>
        <w:fldChar w:fldCharType="begin"/>
      </w:r>
      <w:r w:rsidR="00DD56C8">
        <w:rPr>
          <w:lang w:val="en-GB"/>
        </w:rPr>
        <w:instrText xml:space="preserve"> ADDIN ZOTERO_ITEM CSL_CITATION {"citationID":"SR55nf4p","properties":{"formattedCitation":"\\super 11\\nosupersub{}","plainCitation":"11","noteIndex":0},"citationItems":[{"id":159,"uris":["http://zotero.org/users/local/0zqklVfX/items/6X3AE5A2"],"itemData":{"id":159,"type":"article-journal","abstract":"Recent studies have reported the potential role of microbiomes in cervical disease. However, little is known about the microbiome composition and function in cervical carcinogenesis. We aimed to identify the compositional and functional alterations of cervical microbiomes in cases of cervical carcinogenesis of Korean women using shotgun metagenomic sequencing. In this study, using shotgun sequencing, we sequenced the cervical metagenomes of cervical intraneoplasia 2/3 (n = 17), cervical cancer (n = 12), and normal controls (n = 18) to identify the microbial abundances and enriched metabolic functions in cervical metagenomes. At the genus level, the microbiota of cervical cancer were differentially enriched with genera Alkaliphilus, Pseudothermotoga, and Wolbachia. Cervical intraepithelial neoplasia (CIN) 2/3 were enriched with Lactobacillus, Staphylococcus, and Candidatus Endolissoclinum. The normal group was enriched with Pseudoalteromonas and Psychrobacter. Further characterization of the functionalities of the metagenomes may suggest that six Kyoto Encyclopedia of Genes and Genomes (KEGG) orthologies (KOs) that are involved in 10 pathways are associated with an increased risk of CIN2/3 and cervical cancer. Specifically, cervical metagenomes were enriched in the course of peptidoglycan synthesis and depleted by dioxin degradation and 4-oxalocrotonate tautomerase. The Cluster of Orthologous Groups (COG) category ‘Defense mechanisms’ was depleted in cervical cancer patients. Our findings based on shotgun metagenomic sequencing suggest that cervical microbiome community compositions and their metagenomics profiles differed between cervical lesions and normal subjects. Future studies should have larger sample sizes and/or aggregate their results to have sufficient power to detect reproducible and significant associations.","container-title":"Cancers","DOI":"10.3390/cancers11030309","ISSN":"2072-6694","issue":"3","journalAbbreviation":"Cancers (Basel)","note":"PMID: 30841606\nPMCID: PMC6468638","page":"309","source":"PubMed Central","title":"Compositional and Functional Differences between Microbiota and Cervical Carcinogenesis as Identified by Shotgun Metagenomic Sequencing","volume":"11","author":[{"family":"Kwon","given":"Minji"},{"family":"Seo","given":"Sang-Soo"},{"family":"Kim","given":"Mi Kyung"},{"family":"Lee","given":"Dong Ock"},{"family":"Lim","given":"Myoung Cheol"}],"issued":{"date-parts":[["2019",3,5]]}}}],"schema":"https://github.com/citation-style-language/schema/raw/master/csl-citation.json"} </w:instrText>
      </w:r>
      <w:r w:rsidR="00FE2325">
        <w:rPr>
          <w:lang w:val="en-GB"/>
        </w:rPr>
        <w:fldChar w:fldCharType="separate"/>
      </w:r>
      <w:r w:rsidR="00DD56C8" w:rsidRPr="00DD56C8">
        <w:rPr>
          <w:rFonts w:ascii="Calibri" w:hAnsi="Calibri" w:cs="Calibri"/>
          <w:szCs w:val="24"/>
          <w:vertAlign w:val="superscript"/>
        </w:rPr>
        <w:t>11</w:t>
      </w:r>
      <w:r w:rsidR="00FE2325">
        <w:rPr>
          <w:lang w:val="en-GB"/>
        </w:rPr>
        <w:fldChar w:fldCharType="end"/>
      </w:r>
      <w:r w:rsidR="00FE2325">
        <w:rPr>
          <w:lang w:val="en-GB"/>
        </w:rPr>
        <w:t xml:space="preserve">. </w:t>
      </w:r>
      <w:r w:rsidR="00FA06A6">
        <w:rPr>
          <w:lang w:val="en-GB"/>
        </w:rPr>
        <w:t>As an example of a mechanism through which the microbiome can affect a patient, it has been discovered that</w:t>
      </w:r>
      <w:r w:rsidR="00E7779D">
        <w:rPr>
          <w:lang w:val="en-GB"/>
        </w:rPr>
        <w:t xml:space="preserve"> </w:t>
      </w:r>
      <w:r w:rsidR="004B4560">
        <w:rPr>
          <w:lang w:val="en-GB"/>
        </w:rPr>
        <w:t>certain bacteri</w:t>
      </w:r>
      <w:r w:rsidR="00FA06A6">
        <w:rPr>
          <w:lang w:val="en-GB"/>
        </w:rPr>
        <w:t>a can</w:t>
      </w:r>
      <w:r w:rsidR="004B4560">
        <w:rPr>
          <w:lang w:val="en-GB"/>
        </w:rPr>
        <w:t xml:space="preserve"> bind to and alter the function of immune system cells which infiltrate </w:t>
      </w:r>
      <w:proofErr w:type="spellStart"/>
      <w:r w:rsidR="004B4560">
        <w:rPr>
          <w:lang w:val="en-GB"/>
        </w:rPr>
        <w:t>tumors</w:t>
      </w:r>
      <w:proofErr w:type="spellEnd"/>
      <w:r w:rsidR="004B4560">
        <w:rPr>
          <w:lang w:val="en-GB"/>
        </w:rPr>
        <w:t xml:space="preserve">, thereby affecting carcinogenesis and resistance to chemotherapy </w:t>
      </w:r>
      <w:r w:rsidR="004B4560">
        <w:rPr>
          <w:lang w:val="en-GB"/>
        </w:rPr>
        <w:fldChar w:fldCharType="begin"/>
      </w:r>
      <w:r w:rsidR="00D07096">
        <w:rPr>
          <w:lang w:val="en-GB"/>
        </w:rPr>
        <w:instrText xml:space="preserve"> ADDIN ZOTERO_ITEM CSL_CITATION {"citationID":"42DUHHyn","properties":{"formattedCitation":"\\super 8\\nosupersub{}","plainCitation":"8","noteIndex":0},"citationItems":[{"id":175,"uris":["http://zotero.org/users/local/0zqklVfX/items/IYIUZBIJ"],"itemData":{"id":175,"type":"article-journal","abstract":"Microbiome data should be incorporated into the prevention, diagnosis, and treatment of colon cancer\n          , \n            The human microbiota is the collection of microorganisms—bacteria, archaea, viruses, fungi, protozoa, and helminths—that populate the human body. They are emerging as an important feature of human health and disease. Currently, access to the genomic data of human cells and of microbiota (microbiomes) is more affordable and accessible than ever before. A major challenge is to unravel how we integrate microbiome data into precision medicine approaches for the prevention, diagnosis, and treatment of diseases such as cancer. The gastrointestinal (GI) tract is densely populated with microorganisms. Colorectal cancer (CRC) is the third most prevalent cancer worldwide. It is increasing in individuals less than 50 years old and is associated with specific dietary factors and eating patterns that affect the gut microbiota. Therefore, CRC seems ripe for microbiome-based prevention, diagnostics, and therapeutics.","container-title":"Science","DOI":"10.1126/science.aaw2367","ISSN":"0036-8075, 1095-9203","issue":"6446","journalAbbreviation":"Science","language":"en","page":"1133-1135","source":"DOI.org (Crossref)","title":"The gut microbiota and colon cancer","volume":"364","author":[{"family":"Garrett","given":"Wendy S."}],"issued":{"date-parts":[["2019",6,21]]}}}],"schema":"https://github.com/citation-style-language/schema/raw/master/csl-citation.json"} </w:instrText>
      </w:r>
      <w:r w:rsidR="004B4560">
        <w:rPr>
          <w:lang w:val="en-GB"/>
        </w:rPr>
        <w:fldChar w:fldCharType="separate"/>
      </w:r>
      <w:r w:rsidR="00D07096" w:rsidRPr="00D07096">
        <w:rPr>
          <w:rFonts w:ascii="Calibri" w:hAnsi="Calibri" w:cs="Calibri"/>
          <w:szCs w:val="24"/>
          <w:vertAlign w:val="superscript"/>
        </w:rPr>
        <w:t>8</w:t>
      </w:r>
      <w:r w:rsidR="004B4560">
        <w:rPr>
          <w:lang w:val="en-GB"/>
        </w:rPr>
        <w:fldChar w:fldCharType="end"/>
      </w:r>
      <w:r w:rsidR="004B4560">
        <w:rPr>
          <w:lang w:val="en-GB"/>
        </w:rPr>
        <w:t xml:space="preserve">. </w:t>
      </w:r>
      <w:r w:rsidR="00FA06A6">
        <w:rPr>
          <w:lang w:val="en-GB"/>
        </w:rPr>
        <w:t xml:space="preserve">However, </w:t>
      </w:r>
      <w:r>
        <w:rPr>
          <w:lang w:val="en-GB"/>
        </w:rPr>
        <w:t xml:space="preserve">they can also positively affect patient health, for example, by positively influencing </w:t>
      </w:r>
      <w:r w:rsidR="004B4560">
        <w:rPr>
          <w:lang w:val="en-GB"/>
        </w:rPr>
        <w:t xml:space="preserve">immune system cells to promote antitumor immunity. </w:t>
      </w:r>
    </w:p>
    <w:p w14:paraId="794935C2" w14:textId="07B762FB" w:rsidR="00013F94" w:rsidRDefault="00013F94">
      <w:pPr>
        <w:rPr>
          <w:lang w:val="en-GB"/>
        </w:rPr>
      </w:pPr>
      <w:r>
        <w:rPr>
          <w:lang w:val="en-GB"/>
        </w:rPr>
        <w:t xml:space="preserve">After obtaining the data, analysis of microbial data is often done through taxonomic analysis, which can use 16S rRNA sequencing data to </w:t>
      </w:r>
      <w:proofErr w:type="spellStart"/>
      <w:r>
        <w:rPr>
          <w:lang w:val="en-GB"/>
        </w:rPr>
        <w:t>analyze</w:t>
      </w:r>
      <w:proofErr w:type="spellEnd"/>
      <w:r>
        <w:rPr>
          <w:lang w:val="en-GB"/>
        </w:rPr>
        <w:t xml:space="preserve"> the types of microbes present in a tissue, or functional analysis, which studies the function of present microbes by identifying and characterizing exons or </w:t>
      </w:r>
      <w:proofErr w:type="spellStart"/>
      <w:r>
        <w:rPr>
          <w:lang w:val="en-GB"/>
        </w:rPr>
        <w:t>analyzing</w:t>
      </w:r>
      <w:proofErr w:type="spellEnd"/>
      <w:r>
        <w:rPr>
          <w:lang w:val="en-GB"/>
        </w:rPr>
        <w:t xml:space="preserve"> metabolites. Here as well, analyses has to deal with multiple challenges, one of the biggest being batch effects, as the same tools can give different results. </w:t>
      </w:r>
    </w:p>
    <w:p w14:paraId="41E8E03D" w14:textId="30334216" w:rsidR="00013F94" w:rsidRDefault="00013F94">
      <w:pPr>
        <w:rPr>
          <w:lang w:val="en-GB"/>
        </w:rPr>
      </w:pPr>
      <w:r>
        <w:rPr>
          <w:lang w:val="en-GB"/>
        </w:rPr>
        <w:t xml:space="preserve">Taxonomical analysis often investigates whether certain taxa or species of bacteria are overexpressed in different cancer or healthy samples using hypotheses tests </w:t>
      </w:r>
      <w:r>
        <w:rPr>
          <w:lang w:val="en-GB"/>
        </w:rPr>
        <w:fldChar w:fldCharType="begin"/>
      </w:r>
      <w:r w:rsidR="00DD56C8">
        <w:rPr>
          <w:lang w:val="en-GB"/>
        </w:rPr>
        <w:instrText xml:space="preserve"> ADDIN ZOTERO_ITEM CSL_CITATION {"citationID":"waU1Lj0V","properties":{"formattedCitation":"\\super 3,6,17,18\\nosupersub{}","plainCitation":"3,6,17,18","noteIndex":0},"citationItems":[{"id":182,"uris":["http://zotero.org/users/local/0zqklVfX/items/3EG828JE"],"itemData":{"id":182,"type":"article-journal","abstract":"Systematic characterization of the cancer microbiome provides the opportunity to develop techniques that exploit non-human, microorganism-derived molecules in the diagnosis of a major human disease. Following recent demonstrations that some types of cancer show substantial microbial contributions1–10, we re-examined whole-genome and whole-transcriptome sequencing studies in The Cancer Genome Atlas11 (TCGA) of 33 types of cancer from treatment-naive patients (a total of 18,116 samples) for microbial reads, and found unique microbial signatures in tissue and blood within and between most major types of cancer. These TCGA blood signatures remained predictive when applied to patients with stage Ia–IIc cancer and cancers lacking any genomic alterations currently measured on two commercial-grade cell-free tumour DNA platforms, despite the use of very stringent decontamination analyses that discarded up to 92.3% of total sequence data. In addition, we could discriminate among samples from healthy, cancer-free individuals (n = 69) and those from patients with multiple types of cancer (prostate, lung, and melanoma; 100 samples in total) solely using plasma-derived, cell-free microbial nucleic acids. This potential microbiome-based oncology diagnostic tool warrants further exploration.","container-title":"Nature","DOI":"10.1038/s41586-020-2095-1","ISSN":"1476-4687","issue":"7800","language":"en","license":"2020 The Author(s), under exclusive licence to Springer Nature Limited","note":"number: 7800\npublisher: Nature Publishing Group","page":"567-574","source":"www.nature.com","title":"Microbiome analyses of blood and tissues suggest cancer diagnostic approach","volume":"579","author":[{"family":"Poore","given":"Gregory D."},{"family":"Kopylova","given":"Evguenia"},{"family":"Zhu","given":"Qiyun"},{"family":"Carpenter","given":"Carolina"},{"family":"Fraraccio","given":"Serena"},{"family":"Wandro","given":"Stephen"},{"family":"Kosciolek","given":"Tomasz"},{"family":"Janssen","given":"Stefan"},{"family":"Metcalf","given":"Jessica"},{"family":"Song","given":"Se Jin"},{"family":"Kanbar","given":"Jad"},{"family":"Miller-Montgomery","given":"Sandrine"},{"family":"Heaton","given":"Robert"},{"family":"Mckay","given":"Rana"},{"family":"Patel","given":"Sandip Pravin"},{"family":"Swafford","given":"Austin D."},{"family":"Knight","given":"Rob"}],"issued":{"date-parts":[["2020",3]]}}},{"id":185,"uris":["http://zotero.org/users/local/0zqklVfX/items/6YDSX49Y"],"itemData":{"id":185,"type":"article-journal","abstract":"Studying the microbial composition of internal organs and their associations with disease remains challenging due to the difficulty of acquiring clinical biopsies. We designed a statistical model to analyze the prevalence of species across sample types from The Cancer Genome Atlas (TCGA), revealing that species equiprevalent across sample types are predominantly contaminants, bearing unique signatures from each TCGA-designated sequencing center. Removing such species mitigated batch effects and isolated the tissue-resident microbiome, which was validated by original matched TCGA samples. Gene copies and nucleotide variants can further distinguish mixed-evidence species. We, thus, present The Cancer Microbiome Atlas (TCMA), a collection of curated, decontaminated microbial compositions of oropharyngeal, esophageal, gastrointestinal, and colorectal tissues. This led to the discovery of prognostic species and blood signatures of mucosal barrier injuries and enabled systematic matched microbe-host multi-omic analyses, which will help guide future studies of the microbiome’s role in human health and disease.","container-title":"Cell Host &amp; Microbe","DOI":"10.1016/j.chom.2020.12.001","ISSN":"1931-3128","issue":"2","journalAbbreviation":"Cell Host &amp; Microbe","language":"en","page":"281-298.e5","source":"ScienceDirect","title":"The cancer microbiome atlas: a pan-cancer comparative analysis to distinguish tissue-resident microbiota from contaminants","title-short":"The cancer microbiome atlas","volume":"29","author":[{"family":"Dohlman","given":"Anders B."},{"family":"Arguijo Mendoza","given":"Diana"},{"family":"Ding","given":"Shengli"},{"family":"Gao","given":"Michael"},{"family":"Dressman","given":"Holly"},{"family":"Iliev","given":"Iliyan D."},{"family":"Lipkin","given":"Steven M."},{"family":"Shen","given":"Xiling"}],"issued":{"date-parts":[["2021",2,10]]}}},{"id":193,"uris":["http://zotero.org/users/local/0zqklVfX/items/ZCQK7EXQ"],"itemData":{"id":193,"type":"article-journal","abstract":"Lung cancer is the leading cancer diagnosis worldwide and the number one cause of cancer deaths. Exposure to cigarette smoke, the primary risk factor in lung cancer, reduces epithelial barrier integrity and increases susceptibility to infections. Herein, we hypothesize that somatic mutations together with cigarette smoke generate a dysbiotic microbiota that is associated with lung carcinogenesis. Using lung tissue from 33 controls and 143 cancer cases, we conduct 16S ribosomal RNA (rRNA) bacterial gene sequencing, with RNA-sequencing data from lung cancer cases in The Cancer Genome Atlas serving as the validation cohort.","container-title":"Genome Biology","DOI":"10.1186/s13059-018-1501-6","ISSN":"1474-760X","issue":"1","journalAbbreviation":"Genome Biol","language":"en","page":"123","source":"Springer Link","title":"Interaction between the microbiome and TP53 in human lung cancer","volume":"19","author":[{"family":"Greathouse","given":"K. Leigh"},{"family":"White","given":"James R."},{"family":"Vargas","given":"Ashely J."},{"family":"Bliskovsky","given":"Valery V."},{"family":"Beck","given":"Jessica A."},{"family":"Muhlinen","given":"Natalia","non-dropping-particle":"von"},{"family":"Polley","given":"Eric C."},{"family":"Bowman","given":"Elise D."},{"family":"Khan","given":"Mohammed A."},{"family":"Robles","given":"Ana I."},{"family":"Cooks","given":"Tomer"},{"family":"Ryan","given":"Bríd M."},{"family":"Padgett","given":"Noah"},{"family":"Dzutsev","given":"Amiran H."},{"family":"Trinchieri","given":"Giorgio"},{"family":"Pineda","given":"Marbin A."},{"family":"Bilke","given":"Sven"},{"family":"Meltzer","given":"Paul S."},{"family":"Hokenstad","given":"Alexis N."},{"family":"Stickrod","given":"Tricia M."},{"family":"Walther-Antonio","given":"Marina R."},{"family":"Earl","given":"Joshua P."},{"family":"Mell","given":"Joshua C."},{"family":"Krol","given":"Jaroslaw E."},{"family":"Balashov","given":"Sergey V."},{"family":"Bhat","given":"Archana S."},{"family":"Ehrlich","given":"Garth D."},{"family":"Valm","given":"Alex"},{"family":"Deming","given":"Clayton"},{"family":"Conlan","given":"Sean"},{"family":"Oh","given":"Julia"},{"family":"Segre","given":"Julie A."},{"family":"Harris","given":"Curtis C."}],"issued":{"date-parts":[["2018",8,24]]}}},{"id":188,"uris":["http://zotero.org/users/local/0zqklVfX/items/QB42SQ6H"],"itemData":{"id":188,"type":"article-journal","abstract":"Human microbiome has been considered as the second genome of our body. The intratissue/intratumor microbiome analysis is a relatively new field and deserves more attention. In this study, we conducted a comprehensive analysis of microbiome signatures of head and neck squamous cell carcinoma (HNSC).","container-title":"European Archives of Oto-Rhino-Laryngology","DOI":"10.1007/s00405-022-07284-z","ISSN":"1434-4726","journalAbbreviation":"Eur Arch Otorhinolaryngol","language":"en","source":"Springer Link","title":"A comprehensive analysis of intratumor microbiome in head and neck squamous cell carcinoma","URL":"https://doi.org/10.1007/s00405-022-07284-z","author":[{"family":"Wang","given":"Yangyang"},{"family":"Wang","given":"Yi"},{"family":"Wang","given":"Jihan"}],"accessed":{"date-parts":[["2022",3,15]]},"issued":{"date-parts":[["2022",2,5]]}}}],"schema":"https://github.com/citation-style-language/schema/raw/master/csl-citation.json"} </w:instrText>
      </w:r>
      <w:r>
        <w:rPr>
          <w:lang w:val="en-GB"/>
        </w:rPr>
        <w:fldChar w:fldCharType="separate"/>
      </w:r>
      <w:r w:rsidR="00DD56C8" w:rsidRPr="00DD56C8">
        <w:rPr>
          <w:rFonts w:ascii="Calibri" w:hAnsi="Calibri" w:cs="Calibri"/>
          <w:szCs w:val="24"/>
          <w:vertAlign w:val="superscript"/>
        </w:rPr>
        <w:t>3,6,17,18</w:t>
      </w:r>
      <w:r>
        <w:rPr>
          <w:lang w:val="en-GB"/>
        </w:rPr>
        <w:fldChar w:fldCharType="end"/>
      </w:r>
      <w:r>
        <w:rPr>
          <w:lang w:val="en-GB"/>
        </w:rPr>
        <w:t xml:space="preserve">, possibly also by using predictor models (e.g. regression) </w:t>
      </w:r>
      <w:r>
        <w:rPr>
          <w:lang w:val="en-GB"/>
        </w:rPr>
        <w:fldChar w:fldCharType="begin"/>
      </w:r>
      <w:r w:rsidR="00DD56C8">
        <w:rPr>
          <w:lang w:val="en-GB"/>
        </w:rPr>
        <w:instrText xml:space="preserve"> ADDIN ZOTERO_ITEM CSL_CITATION {"citationID":"LCYuXsdT","properties":{"formattedCitation":"\\super 6,18\\nosupersub{}","plainCitation":"6,18","noteIndex":0},"citationItems":[{"id":182,"uris":["http://zotero.org/users/local/0zqklVfX/items/3EG828JE"],"itemData":{"id":182,"type":"article-journal","abstract":"Systematic characterization of the cancer microbiome provides the opportunity to develop techniques that exploit non-human, microorganism-derived molecules in the diagnosis of a major human disease. Following recent demonstrations that some types of cancer show substantial microbial contributions1–10, we re-examined whole-genome and whole-transcriptome sequencing studies in The Cancer Genome Atlas11 (TCGA) of 33 types of cancer from treatment-naive patients (a total of 18,116 samples) for microbial reads, and found unique microbial signatures in tissue and blood within and between most major types of cancer. These TCGA blood signatures remained predictive when applied to patients with stage Ia–IIc cancer and cancers lacking any genomic alterations currently measured on two commercial-grade cell-free tumour DNA platforms, despite the use of very stringent decontamination analyses that discarded up to 92.3% of total sequence data. In addition, we could discriminate among samples from healthy, cancer-free individuals (n = 69) and those from patients with multiple types of cancer (prostate, lung, and melanoma; 100 samples in total) solely using plasma-derived, cell-free microbial nucleic acids. This potential microbiome-based oncology diagnostic tool warrants further exploration.","container-title":"Nature","DOI":"10.1038/s41586-020-2095-1","ISSN":"1476-4687","issue":"7800","language":"en","license":"2020 The Author(s), under exclusive licence to Springer Nature Limited","note":"number: 7800\npublisher: Nature Publishing Group","page":"567-574","source":"www.nature.com","title":"Microbiome analyses of blood and tissues suggest cancer diagnostic approach","volume":"579","author":[{"family":"Poore","given":"Gregory D."},{"family":"Kopylova","given":"Evguenia"},{"family":"Zhu","given":"Qiyun"},{"family":"Carpenter","given":"Carolina"},{"family":"Fraraccio","given":"Serena"},{"family":"Wandro","given":"Stephen"},{"family":"Kosciolek","given":"Tomasz"},{"family":"Janssen","given":"Stefan"},{"family":"Metcalf","given":"Jessica"},{"family":"Song","given":"Se Jin"},{"family":"Kanbar","given":"Jad"},{"family":"Miller-Montgomery","given":"Sandrine"},{"family":"Heaton","given":"Robert"},{"family":"Mckay","given":"Rana"},{"family":"Patel","given":"Sandip Pravin"},{"family":"Swafford","given":"Austin D."},{"family":"Knight","given":"Rob"}],"issued":{"date-parts":[["2020",3]]}}},{"id":188,"uris":["http://zotero.org/users/local/0zqklVfX/items/QB42SQ6H"],"itemData":{"id":188,"type":"article-journal","abstract":"Human microbiome has been considered as the second genome of our body. The intratissue/intratumor microbiome analysis is a relatively new field and deserves more attention. In this study, we conducted a comprehensive analysis of microbiome signatures of head and neck squamous cell carcinoma (HNSC).","container-title":"European Archives of Oto-Rhino-Laryngology","DOI":"10.1007/s00405-022-07284-z","ISSN":"1434-4726","journalAbbreviation":"Eur Arch Otorhinolaryngol","language":"en","source":"Springer Link","title":"A comprehensive analysis of intratumor microbiome in head and neck squamous cell carcinoma","URL":"https://doi.org/10.1007/s00405-022-07284-z","author":[{"family":"Wang","given":"Yangyang"},{"family":"Wang","given":"Yi"},{"family":"Wang","given":"Jihan"}],"accessed":{"date-parts":[["2022",3,15]]},"issued":{"date-parts":[["2022",2,5]]}}}],"schema":"https://github.com/citation-style-language/schema/raw/master/csl-citation.json"} </w:instrText>
      </w:r>
      <w:r>
        <w:rPr>
          <w:lang w:val="en-GB"/>
        </w:rPr>
        <w:fldChar w:fldCharType="separate"/>
      </w:r>
      <w:r w:rsidR="00DD56C8" w:rsidRPr="00DD56C8">
        <w:rPr>
          <w:rFonts w:ascii="Calibri" w:hAnsi="Calibri" w:cs="Calibri"/>
          <w:szCs w:val="24"/>
          <w:vertAlign w:val="superscript"/>
        </w:rPr>
        <w:t>6,18</w:t>
      </w:r>
      <w:r>
        <w:rPr>
          <w:lang w:val="en-GB"/>
        </w:rPr>
        <w:fldChar w:fldCharType="end"/>
      </w:r>
      <w:r>
        <w:rPr>
          <w:lang w:val="en-GB"/>
        </w:rPr>
        <w:t xml:space="preserve">. It is also possible to </w:t>
      </w:r>
      <w:proofErr w:type="spellStart"/>
      <w:r>
        <w:rPr>
          <w:lang w:val="en-GB"/>
        </w:rPr>
        <w:t>analyze</w:t>
      </w:r>
      <w:proofErr w:type="spellEnd"/>
      <w:r>
        <w:rPr>
          <w:lang w:val="en-GB"/>
        </w:rPr>
        <w:t xml:space="preserve"> whether certain subgroups of microbiota are more likely to be found together in one tissue versus another or </w:t>
      </w:r>
      <w:proofErr w:type="spellStart"/>
      <w:r>
        <w:rPr>
          <w:lang w:val="en-GB"/>
        </w:rPr>
        <w:t>analyze</w:t>
      </w:r>
      <w:proofErr w:type="spellEnd"/>
      <w:r>
        <w:rPr>
          <w:lang w:val="en-GB"/>
        </w:rPr>
        <w:t xml:space="preserve"> if they are associated with certain symptoms of a certain cancer </w:t>
      </w:r>
      <w:r>
        <w:rPr>
          <w:lang w:val="en-GB"/>
        </w:rPr>
        <w:fldChar w:fldCharType="begin"/>
      </w:r>
      <w:r>
        <w:rPr>
          <w:lang w:val="en-GB"/>
        </w:rPr>
        <w:instrText xml:space="preserve"> ADDIN ZOTERO_ITEM CSL_CITATION {"citationID":"mufciugP","properties":{"formattedCitation":"\\super 3\\nosupersub{}","plainCitation":"3","noteIndex":0},"citationItems":[{"id":185,"uris":["http://zotero.org/users/local/0zqklVfX/items/6YDSX49Y"],"itemData":{"id":185,"type":"article-journal","abstract":"Studying the microbial composition of internal organs and their associations with disease remains challenging due to the difficulty of acquiring clinical biopsies. We designed a statistical model to analyze the prevalence of species across sample types from The Cancer Genome Atlas (TCGA), revealing that species equiprevalent across sample types are predominantly contaminants, bearing unique signatures from each TCGA-designated sequencing center. Removing such species mitigated batch effects and isolated the tissue-resident microbiome, which was validated by original matched TCGA samples. Gene copies and nucleotide variants can further distinguish mixed-evidence species. We, thus, present The Cancer Microbiome Atlas (TCMA), a collection of curated, decontaminated microbial compositions of oropharyngeal, esophageal, gastrointestinal, and colorectal tissues. This led to the discovery of prognostic species and blood signatures of mucosal barrier injuries and enabled systematic matched microbe-host multi-omic analyses, which will help guide future studies of the microbiome’s role in human health and disease.","container-title":"Cell Host &amp; Microbe","DOI":"10.1016/j.chom.2020.12.001","ISSN":"1931-3128","issue":"2","journalAbbreviation":"Cell Host &amp; Microbe","language":"en","page":"281-298.e5","source":"ScienceDirect","title":"The cancer microbiome atlas: a pan-cancer comparative analysis to distinguish tissue-resident microbiota from contaminants","title-short":"The cancer microbiome atlas","volume":"29","author":[{"family":"Dohlman","given":"Anders B."},{"family":"Arguijo Mendoza","given":"Diana"},{"family":"Ding","given":"Shengli"},{"family":"Gao","given":"Michael"},{"family":"Dressman","given":"Holly"},{"family":"Iliev","given":"Iliyan D."},{"family":"Lipkin","given":"Steven M."},{"family":"Shen","given":"Xiling"}],"issued":{"date-parts":[["2021",2,10]]}}}],"schema":"https://github.com/citation-style-language/schema/raw/master/csl-citation.json"} </w:instrText>
      </w:r>
      <w:r>
        <w:rPr>
          <w:lang w:val="en-GB"/>
        </w:rPr>
        <w:fldChar w:fldCharType="separate"/>
      </w:r>
      <w:r w:rsidRPr="007276F0">
        <w:rPr>
          <w:rFonts w:ascii="Calibri" w:hAnsi="Calibri" w:cs="Calibri"/>
          <w:szCs w:val="24"/>
          <w:vertAlign w:val="superscript"/>
        </w:rPr>
        <w:t>3</w:t>
      </w:r>
      <w:r>
        <w:rPr>
          <w:lang w:val="en-GB"/>
        </w:rPr>
        <w:fldChar w:fldCharType="end"/>
      </w:r>
      <w:r>
        <w:rPr>
          <w:lang w:val="en-GB"/>
        </w:rPr>
        <w:t xml:space="preserve">. Additionally, hypothesis tests can be used to see if microbial abundance is predictive of overall survival </w:t>
      </w:r>
      <w:r>
        <w:rPr>
          <w:lang w:val="en-GB"/>
        </w:rPr>
        <w:fldChar w:fldCharType="begin"/>
      </w:r>
      <w:r w:rsidR="00DD56C8">
        <w:rPr>
          <w:lang w:val="en-GB"/>
        </w:rPr>
        <w:instrText xml:space="preserve"> ADDIN ZOTERO_ITEM CSL_CITATION {"citationID":"qoXwSdog","properties":{"formattedCitation":"\\super 3,19\\nosupersub{}","plainCitation":"3,19","noteIndex":0},"citationItems":[{"id":185,"uris":["http://zotero.org/users/local/0zqklVfX/items/6YDSX49Y"],"itemData":{"id":185,"type":"article-journal","abstract":"Studying the microbial composition of internal organs and their associations with disease remains challenging due to the difficulty of acquiring clinical biopsies. We designed a statistical model to analyze the prevalence of species across sample types from The Cancer Genome Atlas (TCGA), revealing that species equiprevalent across sample types are predominantly contaminants, bearing unique signatures from each TCGA-designated sequencing center. Removing such species mitigated batch effects and isolated the tissue-resident microbiome, which was validated by original matched TCGA samples. Gene copies and nucleotide variants can further distinguish mixed-evidence species. We, thus, present The Cancer Microbiome Atlas (TCMA), a collection of curated, decontaminated microbial compositions of oropharyngeal, esophageal, gastrointestinal, and colorectal tissues. This led to the discovery of prognostic species and blood signatures of mucosal barrier injuries and enabled systematic matched microbe-host multi-omic analyses, which will help guide future studies of the microbiome’s role in human health and disease.","container-title":"Cell Host &amp; Microbe","DOI":"10.1016/j.chom.2020.12.001","ISSN":"1931-3128","issue":"2","journalAbbreviation":"Cell Host &amp; Microbe","language":"en","page":"281-298.e5","source":"ScienceDirect","title":"The cancer microbiome atlas: a pan-cancer comparative analysis to distinguish tissue-resident microbiota from contaminants","title-short":"The cancer microbiome atlas","volume":"29","author":[{"family":"Dohlman","given":"Anders B."},{"family":"Arguijo Mendoza","given":"Diana"},{"family":"Ding","given":"Shengli"},{"family":"Gao","given":"Michael"},{"family":"Dressman","given":"Holly"},{"family":"Iliev","given":"Iliyan D."},{"family":"Lipkin","given":"Steven M."},{"family":"Shen","given":"Xiling"}],"issued":{"date-parts":[["2021",2,10]]}}},{"id":190,"uris":["http://zotero.org/users/local/0zqklVfX/items/7HAV3FLN"],"itemData":{"id":190,"type":"article-journal","abstract":"An intra-pancreatic microbiota was recently discovered in several prominent studies. Since pancreatic adenocarcinoma (PAAD) is one of the most lethal cancers worldwide, and the intratumor microbiome was found to be a significant contributor to carcinogenesis in other cancers, this study aims to characterize the PAAD microbiome and elucidate how it may be associated with PAAD prognosis. We further explored the association between the intra-pancreatic microbiome and smoking and gender, which are both risk factors for PAAD. RNA-sequencing data from The Cancer Genome Atlas (TCGA) were used to infer microbial abundance, which was correlated to clinical variables and to cancer and immune-associated gene expression, to determine how microbes may contribute to cancer progression. We discovered that the presence of several bacteria species within PAAD tumors is linked to metastasis and immune suppression. This is the first large-scale study to report microbiome-immune correlations in human pancreatic cancer samples. Furthermore, we found that the increased prevalence and poorer prognosis of PAAD in males and smokers are linked to the presence of potentially cancer-promoting or immune-inhibiting microbes. Further study into the roles of these microbes in PAAD is imperative for understanding how a pro-tumor microenvironment may be treated to limit cancer progression.","container-title":"Cancers","DOI":"10.3390/cancers12092672","ISSN":"2072-6694","issue":"9","language":"en","license":"http://creativecommons.org/licenses/by/3.0/","note":"number: 9\npublisher: Multidisciplinary Digital Publishing Institute","page":"2672","source":"www.mdpi.com","title":"The Pancreatic Microbiome is Associated with Carcinogenesis and Worse Prognosis in Males and Smokers","volume":"12","author":[{"family":"Chakladar","given":"Jaideep"},{"family":"Kuo","given":"Selena Z."},{"family":"Castaneda","given":"Grant"},{"family":"Li","given":"Wei Tse"},{"family":"Gnanasekar","given":"Aditi"},{"family":"Yu","given":"Michael Andrew"},{"family":"Chang","given":"Eric Y."},{"family":"Wang","given":"Xiao Qi"},{"family":"Ongkeko","given":"Weg M."}],"issued":{"date-parts":[["2020",9]]}}}],"schema":"https://github.com/citation-style-language/schema/raw/master/csl-citation.json"} </w:instrText>
      </w:r>
      <w:r>
        <w:rPr>
          <w:lang w:val="en-GB"/>
        </w:rPr>
        <w:fldChar w:fldCharType="separate"/>
      </w:r>
      <w:r w:rsidR="00DD56C8" w:rsidRPr="00DD56C8">
        <w:rPr>
          <w:rFonts w:ascii="Calibri" w:hAnsi="Calibri" w:cs="Calibri"/>
          <w:szCs w:val="24"/>
          <w:vertAlign w:val="superscript"/>
        </w:rPr>
        <w:t>3,19</w:t>
      </w:r>
      <w:r>
        <w:rPr>
          <w:lang w:val="en-GB"/>
        </w:rPr>
        <w:fldChar w:fldCharType="end"/>
      </w:r>
      <w:r>
        <w:rPr>
          <w:lang w:val="en-GB"/>
        </w:rPr>
        <w:t xml:space="preserve"> or progression </w:t>
      </w:r>
      <w:r>
        <w:rPr>
          <w:lang w:val="en-GB"/>
        </w:rPr>
        <w:fldChar w:fldCharType="begin"/>
      </w:r>
      <w:r w:rsidR="00DD56C8">
        <w:rPr>
          <w:lang w:val="en-GB"/>
        </w:rPr>
        <w:instrText xml:space="preserve"> ADDIN ZOTERO_ITEM CSL_CITATION {"citationID":"fp6a5jqS","properties":{"formattedCitation":"\\super 19\\nosupersub{}","plainCitation":"19","noteIndex":0},"citationItems":[{"id":190,"uris":["http://zotero.org/users/local/0zqklVfX/items/7HAV3FLN"],"itemData":{"id":190,"type":"article-journal","abstract":"An intra-pancreatic microbiota was recently discovered in several prominent studies. Since pancreatic adenocarcinoma (PAAD) is one of the most lethal cancers worldwide, and the intratumor microbiome was found to be a significant contributor to carcinogenesis in other cancers, this study aims to characterize the PAAD microbiome and elucidate how it may be associated with PAAD prognosis. We further explored the association between the intra-pancreatic microbiome and smoking and gender, which are both risk factors for PAAD. RNA-sequencing data from The Cancer Genome Atlas (TCGA) were used to infer microbial abundance, which was correlated to clinical variables and to cancer and immune-associated gene expression, to determine how microbes may contribute to cancer progression. We discovered that the presence of several bacteria species within PAAD tumors is linked to metastasis and immune suppression. This is the first large-scale study to report microbiome-immune correlations in human pancreatic cancer samples. Furthermore, we found that the increased prevalence and poorer prognosis of PAAD in males and smokers are linked to the presence of potentially cancer-promoting or immune-inhibiting microbes. Further study into the roles of these microbes in PAAD is imperative for understanding how a pro-tumor microenvironment may be treated to limit cancer progression.","container-title":"Cancers","DOI":"10.3390/cancers12092672","ISSN":"2072-6694","issue":"9","language":"en","license":"http://creativecommons.org/licenses/by/3.0/","note":"number: 9\npublisher: Multidisciplinary Digital Publishing Institute","page":"2672","source":"www.mdpi.com","title":"The Pancreatic Microbiome is Associated with Carcinogenesis and Worse Prognosis in Males and Smokers","volume":"12","author":[{"family":"Chakladar","given":"Jaideep"},{"family":"Kuo","given":"Selena Z."},{"family":"Castaneda","given":"Grant"},{"family":"Li","given":"Wei Tse"},{"family":"Gnanasekar","given":"Aditi"},{"family":"Yu","given":"Michael Andrew"},{"family":"Chang","given":"Eric Y."},{"family":"Wang","given":"Xiao Qi"},{"family":"Ongkeko","given":"Weg M."}],"issued":{"date-parts":[["2020",9]]}}}],"schema":"https://github.com/citation-style-language/schema/raw/master/csl-citation.json"} </w:instrText>
      </w:r>
      <w:r>
        <w:rPr>
          <w:lang w:val="en-GB"/>
        </w:rPr>
        <w:fldChar w:fldCharType="separate"/>
      </w:r>
      <w:r w:rsidR="00DD56C8" w:rsidRPr="00DD56C8">
        <w:rPr>
          <w:rFonts w:ascii="Calibri" w:hAnsi="Calibri" w:cs="Calibri"/>
          <w:szCs w:val="24"/>
          <w:vertAlign w:val="superscript"/>
        </w:rPr>
        <w:t>19</w:t>
      </w:r>
      <w:r>
        <w:rPr>
          <w:lang w:val="en-GB"/>
        </w:rPr>
        <w:fldChar w:fldCharType="end"/>
      </w:r>
      <w:r>
        <w:rPr>
          <w:lang w:val="en-GB"/>
        </w:rPr>
        <w:t xml:space="preserve">. Studies often also investigate the relation with clinical factors such as gender or age </w:t>
      </w:r>
      <w:r>
        <w:rPr>
          <w:lang w:val="en-GB"/>
        </w:rPr>
        <w:fldChar w:fldCharType="begin"/>
      </w:r>
      <w:r w:rsidR="00DD56C8">
        <w:rPr>
          <w:lang w:val="en-GB"/>
        </w:rPr>
        <w:instrText xml:space="preserve"> ADDIN ZOTERO_ITEM CSL_CITATION {"citationID":"dmzO6MeG","properties":{"formattedCitation":"\\super 17\\uc0\\u8211{}19\\nosupersub{}","plainCitation":"17–19","noteIndex":0},"citationItems":[{"id":193,"uris":["http://zotero.org/users/local/0zqklVfX/items/ZCQK7EXQ"],"itemData":{"id":193,"type":"article-journal","abstract":"Lung cancer is the leading cancer diagnosis worldwide and the number one cause of cancer deaths. Exposure to cigarette smoke, the primary risk factor in lung cancer, reduces epithelial barrier integrity and increases susceptibility to infections. Herein, we hypothesize that somatic mutations together with cigarette smoke generate a dysbiotic microbiota that is associated with lung carcinogenesis. Using lung tissue from 33 controls and 143 cancer cases, we conduct 16S ribosomal RNA (rRNA) bacterial gene sequencing, with RNA-sequencing data from lung cancer cases in The Cancer Genome Atlas serving as the validation cohort.","container-title":"Genome Biology","DOI":"10.1186/s13059-018-1501-6","ISSN":"1474-760X","issue":"1","journalAbbreviation":"Genome Biol","language":"en","page":"123","source":"Springer Link","title":"Interaction between the microbiome and TP53 in human lung cancer","volume":"19","author":[{"family":"Greathouse","given":"K. Leigh"},{"family":"White","given":"James R."},{"family":"Vargas","given":"Ashely J."},{"family":"Bliskovsky","given":"Valery V."},{"family":"Beck","given":"Jessica A."},{"family":"Muhlinen","given":"Natalia","non-dropping-particle":"von"},{"family":"Polley","given":"Eric C."},{"family":"Bowman","given":"Elise D."},{"family":"Khan","given":"Mohammed A."},{"family":"Robles","given":"Ana I."},{"family":"Cooks","given":"Tomer"},{"family":"Ryan","given":"Bríd M."},{"family":"Padgett","given":"Noah"},{"family":"Dzutsev","given":"Amiran H."},{"family":"Trinchieri","given":"Giorgio"},{"family":"Pineda","given":"Marbin A."},{"family":"Bilke","given":"Sven"},{"family":"Meltzer","given":"Paul S."},{"family":"Hokenstad","given":"Alexis N."},{"family":"Stickrod","given":"Tricia M."},{"family":"Walther-Antonio","given":"Marina R."},{"family":"Earl","given":"Joshua P."},{"family":"Mell","given":"Joshua C."},{"family":"Krol","given":"Jaroslaw E."},{"family":"Balashov","given":"Sergey V."},{"family":"Bhat","given":"Archana S."},{"family":"Ehrlich","given":"Garth D."},{"family":"Valm","given":"Alex"},{"family":"Deming","given":"Clayton"},{"family":"Conlan","given":"Sean"},{"family":"Oh","given":"Julia"},{"family":"Segre","given":"Julie A."},{"family":"Harris","given":"Curtis C."}],"issued":{"date-parts":[["2018",8,24]]}},"locator":"2"},{"id":188,"uris":["http://zotero.org/users/local/0zqklVfX/items/QB42SQ6H"],"itemData":{"id":188,"type":"article-journal","abstract":"Human microbiome has been considered as the second genome of our body. The intratissue/intratumor microbiome analysis is a relatively new field and deserves more attention. In this study, we conducted a comprehensive analysis of microbiome signatures of head and neck squamous cell carcinoma (HNSC).","container-title":"European Archives of Oto-Rhino-Laryngology","DOI":"10.1007/s00405-022-07284-z","ISSN":"1434-4726","journalAbbreviation":"Eur Arch Otorhinolaryngol","language":"en","source":"Springer Link","title":"A comprehensive analysis of intratumor microbiome in head and neck squamous cell carcinoma","URL":"https://doi.org/10.1007/s00405-022-07284-z","author":[{"family":"Wang","given":"Yangyang"},{"family":"Wang","given":"Yi"},{"family":"Wang","given":"Jihan"}],"accessed":{"date-parts":[["2022",3,15]]},"issued":{"date-parts":[["2022",2,5]]}}},{"id":190,"uris":["http://zotero.org/users/local/0zqklVfX/items/7HAV3FLN"],"itemData":{"id":190,"type":"article-journal","abstract":"An intra-pancreatic microbiota was recently discovered in several prominent studies. Since pancreatic adenocarcinoma (PAAD) is one of the most lethal cancers worldwide, and the intratumor microbiome was found to be a significant contributor to carcinogenesis in other cancers, this study aims to characterize the PAAD microbiome and elucidate how it may be associated with PAAD prognosis. We further explored the association between the intra-pancreatic microbiome and smoking and gender, which are both risk factors for PAAD. RNA-sequencing data from The Cancer Genome Atlas (TCGA) were used to infer microbial abundance, which was correlated to clinical variables and to cancer and immune-associated gene expression, to determine how microbes may contribute to cancer progression. We discovered that the presence of several bacteria species within PAAD tumors is linked to metastasis and immune suppression. This is the first large-scale study to report microbiome-immune correlations in human pancreatic cancer samples. Furthermore, we found that the increased prevalence and poorer prognosis of PAAD in males and smokers are linked to the presence of potentially cancer-promoting or immune-inhibiting microbes. Further study into the roles of these microbes in PAAD is imperative for understanding how a pro-tumor microenvironment may be treated to limit cancer progression.","container-title":"Cancers","DOI":"10.3390/cancers12092672","ISSN":"2072-6694","issue":"9","language":"en","license":"http://creativecommons.org/licenses/by/3.0/","note":"number: 9\npublisher: Multidisciplinary Digital Publishing Institute","page":"2672","source":"www.mdpi.com","title":"The Pancreatic Microbiome is Associated with Carcinogenesis and Worse Prognosis in Males and Smokers","volume":"12","author":[{"family":"Chakladar","given":"Jaideep"},{"family":"Kuo","given":"Selena Z."},{"family":"Castaneda","given":"Grant"},{"family":"Li","given":"Wei Tse"},{"family":"Gnanasekar","given":"Aditi"},{"family":"Yu","given":"Michael Andrew"},{"family":"Chang","given":"Eric Y."},{"family":"Wang","given":"Xiao Qi"},{"family":"Ongkeko","given":"Weg M."}],"issued":{"date-parts":[["2020",9]]}}}],"schema":"https://github.com/citation-style-language/schema/raw/master/csl-citation.json"} </w:instrText>
      </w:r>
      <w:r>
        <w:rPr>
          <w:lang w:val="en-GB"/>
        </w:rPr>
        <w:fldChar w:fldCharType="separate"/>
      </w:r>
      <w:r w:rsidR="00DD56C8" w:rsidRPr="00DD56C8">
        <w:rPr>
          <w:rFonts w:ascii="Calibri" w:hAnsi="Calibri" w:cs="Calibri"/>
          <w:szCs w:val="24"/>
          <w:vertAlign w:val="superscript"/>
        </w:rPr>
        <w:t>17–19</w:t>
      </w:r>
      <w:r>
        <w:rPr>
          <w:lang w:val="en-GB"/>
        </w:rPr>
        <w:fldChar w:fldCharType="end"/>
      </w:r>
      <w:r>
        <w:rPr>
          <w:lang w:val="en-GB"/>
        </w:rPr>
        <w:t xml:space="preserve">, which can often be confounders. This can be done by using predictor models which use these clinical factors as features </w:t>
      </w:r>
      <w:r>
        <w:rPr>
          <w:lang w:val="en-GB"/>
        </w:rPr>
        <w:fldChar w:fldCharType="begin"/>
      </w:r>
      <w:r w:rsidR="00DD56C8">
        <w:rPr>
          <w:lang w:val="en-GB"/>
        </w:rPr>
        <w:instrText xml:space="preserve"> ADDIN ZOTERO_ITEM CSL_CITATION {"citationID":"B9LYKvue","properties":{"formattedCitation":"\\super 18\\nosupersub{}","plainCitation":"18","noteIndex":0},"citationItems":[{"id":188,"uris":["http://zotero.org/users/local/0zqklVfX/items/QB42SQ6H"],"itemData":{"id":188,"type":"article-journal","abstract":"Human microbiome has been considered as the second genome of our body. The intratissue/intratumor microbiome analysis is a relatively new field and deserves more attention. In this study, we conducted a comprehensive analysis of microbiome signatures of head and neck squamous cell carcinoma (HNSC).","container-title":"European Archives of Oto-Rhino-Laryngology","DOI":"10.1007/s00405-022-07284-z","ISSN":"1434-4726","journalAbbreviation":"Eur Arch Otorhinolaryngol","language":"en","source":"Springer Link","title":"A comprehensive analysis of intratumor microbiome in head and neck squamous cell carcinoma","URL":"https://doi.org/10.1007/s00405-022-07284-z","author":[{"family":"Wang","given":"Yangyang"},{"family":"Wang","given":"Yi"},{"family":"Wang","given":"Jihan"}],"accessed":{"date-parts":[["2022",3,15]]},"issued":{"date-parts":[["2022",2,5]]}}}],"schema":"https://github.com/citation-style-language/schema/raw/master/csl-citation.json"} </w:instrText>
      </w:r>
      <w:r>
        <w:rPr>
          <w:lang w:val="en-GB"/>
        </w:rPr>
        <w:fldChar w:fldCharType="separate"/>
      </w:r>
      <w:r w:rsidR="00DD56C8" w:rsidRPr="00DD56C8">
        <w:rPr>
          <w:rFonts w:ascii="Calibri" w:hAnsi="Calibri" w:cs="Calibri"/>
          <w:szCs w:val="24"/>
          <w:vertAlign w:val="superscript"/>
        </w:rPr>
        <w:t>18</w:t>
      </w:r>
      <w:r>
        <w:rPr>
          <w:lang w:val="en-GB"/>
        </w:rPr>
        <w:fldChar w:fldCharType="end"/>
      </w:r>
      <w:r>
        <w:rPr>
          <w:lang w:val="en-GB"/>
        </w:rPr>
        <w:t xml:space="preserve">. Finally, it is also possible to combine </w:t>
      </w:r>
      <w:proofErr w:type="spellStart"/>
      <w:r>
        <w:rPr>
          <w:lang w:val="en-GB"/>
        </w:rPr>
        <w:t>metaproteomics</w:t>
      </w:r>
      <w:proofErr w:type="spellEnd"/>
      <w:r>
        <w:rPr>
          <w:lang w:val="en-GB"/>
        </w:rPr>
        <w:t xml:space="preserve"> with metagenomics to investigate functional, as well as taxonomical differences of microbes between healthy and diseased samples </w:t>
      </w:r>
      <w:r>
        <w:rPr>
          <w:lang w:val="en-GB"/>
        </w:rPr>
        <w:fldChar w:fldCharType="begin"/>
      </w:r>
      <w:r w:rsidR="00DD56C8">
        <w:rPr>
          <w:lang w:val="en-GB"/>
        </w:rPr>
        <w:instrText xml:space="preserve"> ADDIN ZOTERO_ITEM CSL_CITATION {"citationID":"t0yt7p65","properties":{"formattedCitation":"\\super 20\\nosupersub{}","plainCitation":"20","noteIndex":0},"citationItems":[{"id":171,"uris":["http://zotero.org/users/local/0zqklVfX/items/CM8J7TEF"],"itemData":{"id":171,"type":"article-journal","abstract":"Crohn's disease (CD) is an inflammatory bowel disease of complex etiology, although dysbiosis of the gut microbiota has been implicated in chronic immune-mediated inflammation associated with CD. Here we combined shotgun metagenomic and metaproteomic approaches to identify potential functional signatures of CD in stool samples from six twin pairs that were either healthy, or that had CD in the ileum (ICD) or colon (CCD). Integration of these omics approaches revealed several genes, proteins, and pathways that primarily differentiated ICD from healthy subjects, including depletion of many proteins in ICD. In addition, the ICD phenotype was associated with alterations in bacterial carbohydrate metabolism, bacterial-host interactions, as well as human host-secreted enzymes. This eco-systems biology approach underscores the link between the gut microbiota and functional alterations in the pathophysiology of Crohn's disease and aids in identification of novel diagnostic targets and disease specific biomarkers.","container-title":"PLoS ONE","DOI":"10.1371/journal.pone.0049138","ISSN":"1932-6203","issue":"11","journalAbbreviation":"PLoS One","note":"PMID: 23209564\nPMCID: PMC3509130","page":"e49138","source":"PubMed Central","title":"Integrated Metagenomics/Metaproteomics Reveals Human Host-Microbiota Signatures of Crohn's Disease","volume":"7","author":[{"family":"Erickson","given":"Alison R."},{"family":"Cantarel","given":"Brandi L."},{"family":"Lamendella","given":"Regina"},{"family":"Darzi","given":"Youssef"},{"family":"Mongodin","given":"Emmanuel F."},{"family":"Pan","given":"Chongle"},{"family":"Shah","given":"Manesh"},{"family":"Halfvarson","given":"Jonas"},{"family":"Tysk","given":"Curt"},{"family":"Henrissat","given":"Bernard"},{"family":"Raes","given":"Jeroen"},{"family":"Verberkmoes","given":"Nathan C."},{"family":"Fraser","given":"Claire M."},{"family":"Hettich","given":"Robert L."},{"family":"Jansson","given":"Janet K."}],"issued":{"date-parts":[["2012",11,28]]}}}],"schema":"https://github.com/citation-style-language/schema/raw/master/csl-citation.json"} </w:instrText>
      </w:r>
      <w:r>
        <w:rPr>
          <w:lang w:val="en-GB"/>
        </w:rPr>
        <w:fldChar w:fldCharType="separate"/>
      </w:r>
      <w:r w:rsidR="00DD56C8" w:rsidRPr="00DD56C8">
        <w:rPr>
          <w:rFonts w:ascii="Calibri" w:hAnsi="Calibri" w:cs="Calibri"/>
          <w:szCs w:val="24"/>
          <w:vertAlign w:val="superscript"/>
        </w:rPr>
        <w:t>20</w:t>
      </w:r>
      <w:r>
        <w:rPr>
          <w:lang w:val="en-GB"/>
        </w:rPr>
        <w:fldChar w:fldCharType="end"/>
      </w:r>
      <w:r>
        <w:rPr>
          <w:lang w:val="en-GB"/>
        </w:rPr>
        <w:t>.</w:t>
      </w:r>
    </w:p>
    <w:p w14:paraId="122DAFA7" w14:textId="743EF8D3" w:rsidR="00CF4AD8" w:rsidRDefault="00583DA1" w:rsidP="007D168F">
      <w:pPr>
        <w:pStyle w:val="Heading2"/>
        <w:rPr>
          <w:lang w:val="en-GB"/>
        </w:rPr>
      </w:pPr>
      <w:r>
        <w:rPr>
          <w:lang w:val="en-GB"/>
        </w:rPr>
        <w:t>The need for a ho</w:t>
      </w:r>
      <w:r w:rsidR="00D633A6">
        <w:rPr>
          <w:lang w:val="en-GB"/>
        </w:rPr>
        <w:t>listic view</w:t>
      </w:r>
      <w:r>
        <w:rPr>
          <w:lang w:val="en-GB"/>
        </w:rPr>
        <w:t xml:space="preserve"> </w:t>
      </w:r>
    </w:p>
    <w:p w14:paraId="18D52155" w14:textId="034D9C77" w:rsidR="007660F8" w:rsidRDefault="00E03E9C" w:rsidP="00AB19BA">
      <w:pPr>
        <w:rPr>
          <w:lang w:val="en-GB"/>
        </w:rPr>
      </w:pPr>
      <w:r>
        <w:rPr>
          <w:lang w:val="en-GB"/>
        </w:rPr>
        <w:t xml:space="preserve">It is clear that both host omics and </w:t>
      </w:r>
      <w:r w:rsidR="00FE2325">
        <w:rPr>
          <w:lang w:val="en-GB"/>
        </w:rPr>
        <w:t xml:space="preserve">microbial </w:t>
      </w:r>
      <w:r>
        <w:rPr>
          <w:lang w:val="en-GB"/>
        </w:rPr>
        <w:t>omics data can be used to obtain useful biological insights into the aetiology of different cancers.</w:t>
      </w:r>
      <w:r w:rsidR="00583DA1">
        <w:rPr>
          <w:lang w:val="en-GB"/>
        </w:rPr>
        <w:t xml:space="preserve"> As shown, m</w:t>
      </w:r>
      <w:r w:rsidR="00797EBF">
        <w:rPr>
          <w:lang w:val="en-GB"/>
        </w:rPr>
        <w:t xml:space="preserve">any studies use one or the other to understand different biological processes without considering their interplay </w:t>
      </w:r>
      <w:r w:rsidR="00797EBF">
        <w:rPr>
          <w:lang w:val="en-GB"/>
        </w:rPr>
        <w:fldChar w:fldCharType="begin"/>
      </w:r>
      <w:r w:rsidR="00DD56C8">
        <w:rPr>
          <w:lang w:val="en-GB"/>
        </w:rPr>
        <w:instrText xml:space="preserve"> ADDIN ZOTERO_ITEM CSL_CITATION {"citationID":"VGuPzKR7","properties":{"formattedCitation":"\\super 10\\nosupersub{}","plainCitation":"10","noteIndex":0},"citationItems":[{"id":153,"uris":["http://zotero.org/users/local/0zqklVfX/items/5QK7HUH2"],"itemData":{"id":153,"type":"article-journal","abstract":"From ontogenesis to homeostasis, the phenotypes of complex organisms are shaped by the bidirectional interactions between the host organisms and their associated microbiota. Current technology can reveal many such interactions by combining multi-omic data from both hosts and microbes. However, exploring the full extent of these interactions requires careful consideration of study design for the efficient generation and optimal integration of data derived from (meta)genomics, (meta)transcriptomics, (meta)proteomics, and (meta)metabolomics. In this perspective, we introduce the holo-omic approach that incorporates multi-omic data from both host and microbiota domains to untangle the interplay between the two. We revisit the recent literature on biomolecular host-microbe interactions and discuss the implementation and current limitations of the holo-omic approach. We anticipate that the application of this approach can contribute to opening new research avenues and discoveries in biomedicine, biotechnology, agricultural and aquacultural sciences, nature conservation, as well as basic ecological and evolutionary research.","container-title":"iScience","DOI":"10.1016/j.isci.2020.101414","ISSN":"2589-0042","issue":"8","journalAbbreviation":"iScience","language":"en","page":"101414","source":"ScienceDirect","title":"Holo-Omics: Integrated Host-Microbiota Multi-omics for Basic and Applied Biological Research","title-short":"Holo-Omics","volume":"23","author":[{"family":"Nyholm","given":"Lasse"},{"family":"Koziol","given":"Adam"},{"family":"Marcos","given":"Sofia"},{"family":"Botnen","given":"Amanda Bolt"},{"family":"Aizpurua","given":"Ostaizka"},{"family":"Gopalakrishnan","given":"Shyam"},{"family":"Limborg","given":"Morten T."},{"family":"Gilbert","given":"M. Thomas P."},{"family":"Alberdi","given":"Antton"}],"issued":{"date-parts":[["2020",8,21]]}}}],"schema":"https://github.com/citation-style-language/schema/raw/master/csl-citation.json"} </w:instrText>
      </w:r>
      <w:r w:rsidR="00797EBF">
        <w:rPr>
          <w:lang w:val="en-GB"/>
        </w:rPr>
        <w:fldChar w:fldCharType="separate"/>
      </w:r>
      <w:r w:rsidR="00DD56C8" w:rsidRPr="00DD56C8">
        <w:rPr>
          <w:rFonts w:ascii="Calibri" w:hAnsi="Calibri" w:cs="Calibri"/>
          <w:szCs w:val="24"/>
          <w:vertAlign w:val="superscript"/>
        </w:rPr>
        <w:t>10</w:t>
      </w:r>
      <w:r w:rsidR="00797EBF">
        <w:rPr>
          <w:lang w:val="en-GB"/>
        </w:rPr>
        <w:fldChar w:fldCharType="end"/>
      </w:r>
      <w:r w:rsidR="00797EBF">
        <w:rPr>
          <w:lang w:val="en-GB"/>
        </w:rPr>
        <w:t>.</w:t>
      </w:r>
      <w:r w:rsidR="00B326AC">
        <w:rPr>
          <w:lang w:val="en-GB"/>
        </w:rPr>
        <w:t xml:space="preserve"> However, </w:t>
      </w:r>
      <w:r w:rsidR="00563AAF">
        <w:rPr>
          <w:lang w:val="en-GB"/>
        </w:rPr>
        <w:t xml:space="preserve">it has become clear that the host can alter the human microbiota and vice versa </w:t>
      </w:r>
      <w:r w:rsidR="00B67B05">
        <w:rPr>
          <w:lang w:val="en-GB"/>
        </w:rPr>
        <w:fldChar w:fldCharType="begin"/>
      </w:r>
      <w:r w:rsidR="00DD56C8">
        <w:rPr>
          <w:lang w:val="en-GB"/>
        </w:rPr>
        <w:instrText xml:space="preserve"> ADDIN ZOTERO_ITEM CSL_CITATION {"citationID":"q6kdDWTH","properties":{"formattedCitation":"\\super 21\\nosupersub{}","plainCitation":"21","noteIndex":0},"citationItems":[{"id":198,"uris":["http://zotero.org/users/local/0zqklVfX/items/77LDB32E"],"itemData":{"id":198,"type":"article-journal","abstract":"Research on animal–microbiota interactions has become a central topic in biological sciences because of its relevance to basic eco-evolutionary processes and applied questions in agriculture and health. However, animal hosts and their associated microbial communities are still seldom studied in a systemic fashion. Hologenomics, the integrated study of the genetic features of a eukaryotic host alongside that of its associated microbes, is becoming a feasible — yet still underexploited — approach that overcomes this limitation. Acknowledging the biological and genetic properties of both hosts and microbes, along with the advantages and disadvantages of implemented techniques, is essential for designing optimal studies that enable some of the major questions in biology to be addressed.","container-title":"Nature Reviews Genetics","DOI":"10.1038/s41576-021-00421-0","ISSN":"1471-0064","journalAbbreviation":"Nat Rev Genet","language":"en","license":"2021 Springer Nature Limited","note":"publisher: Nature Publishing Group","page":"1-17","source":"www.nature.com","title":"Disentangling host–microbiota complexity through hologenomics","author":[{"family":"Alberdi","given":"Antton"},{"family":"Andersen","given":"Sandra B."},{"family":"Limborg","given":"Morten T."},{"family":"Dunn","given":"Robert R."},{"family":"Gilbert","given":"M. Thomas P."}],"issued":{"date-parts":[["2021",10,21]]}}}],"schema":"https://github.com/citation-style-language/schema/raw/master/csl-citation.json"} </w:instrText>
      </w:r>
      <w:r w:rsidR="00B67B05">
        <w:rPr>
          <w:lang w:val="en-GB"/>
        </w:rPr>
        <w:fldChar w:fldCharType="separate"/>
      </w:r>
      <w:r w:rsidR="00DD56C8" w:rsidRPr="00DD56C8">
        <w:rPr>
          <w:rFonts w:ascii="Calibri" w:hAnsi="Calibri" w:cs="Calibri"/>
          <w:szCs w:val="24"/>
          <w:vertAlign w:val="superscript"/>
        </w:rPr>
        <w:t>21</w:t>
      </w:r>
      <w:r w:rsidR="00B67B05">
        <w:rPr>
          <w:lang w:val="en-GB"/>
        </w:rPr>
        <w:fldChar w:fldCharType="end"/>
      </w:r>
      <w:r w:rsidR="00B67B05">
        <w:rPr>
          <w:lang w:val="en-GB"/>
        </w:rPr>
        <w:t xml:space="preserve">. Thus, </w:t>
      </w:r>
      <w:r w:rsidR="00B326AC">
        <w:rPr>
          <w:lang w:val="en-GB"/>
        </w:rPr>
        <w:t>t</w:t>
      </w:r>
      <w:r w:rsidR="00AB19BA">
        <w:rPr>
          <w:lang w:val="en-GB"/>
        </w:rPr>
        <w:t xml:space="preserve">he integration of </w:t>
      </w:r>
      <w:r w:rsidR="00AB19BA">
        <w:rPr>
          <w:lang w:val="en-GB"/>
        </w:rPr>
        <w:lastRenderedPageBreak/>
        <w:t>host and microbiota omics data could help to better understand the</w:t>
      </w:r>
      <w:r w:rsidR="00B326AC">
        <w:rPr>
          <w:lang w:val="en-GB"/>
        </w:rPr>
        <w:t xml:space="preserve"> </w:t>
      </w:r>
      <w:r w:rsidR="00DF5C63">
        <w:rPr>
          <w:lang w:val="en-GB"/>
        </w:rPr>
        <w:t>aetiology</w:t>
      </w:r>
      <w:r w:rsidR="00AB19BA">
        <w:rPr>
          <w:lang w:val="en-GB"/>
        </w:rPr>
        <w:t xml:space="preserve"> and physiology of different cancers</w:t>
      </w:r>
      <w:r w:rsidR="00DF5C63">
        <w:rPr>
          <w:lang w:val="en-GB"/>
        </w:rPr>
        <w:t xml:space="preserve"> and provide new insights </w:t>
      </w:r>
      <w:r w:rsidR="00AB19BA">
        <w:rPr>
          <w:lang w:val="en-GB"/>
        </w:rPr>
        <w:fldChar w:fldCharType="begin"/>
      </w:r>
      <w:r w:rsidR="00DD56C8">
        <w:rPr>
          <w:lang w:val="en-GB"/>
        </w:rPr>
        <w:instrText xml:space="preserve"> ADDIN ZOTERO_ITEM CSL_CITATION {"citationID":"gsPyyLiC","properties":{"formattedCitation":"\\super 13\\nosupersub{}","plainCitation":"13","noteIndex":0},"citationItems":[{"id":162,"uris":["http://zotero.org/users/local/0zqklVfX/items/G6PCRBUL"],"itemData":{"id":162,"type":"article-journal","abstract":"Collectively known as the microbiota, the commensal bacteria and other microorganisms that colonize the epithelial surfaces of our body have been shown to produce small molecules and metabolites that have both local and systemic effects on cancer onset, progression and therapy response. To date, most studies focusing on the microbiome have used traditional preclinical mouse models and identified correlative relationships between m icrobial species and cancer phenotypes. Now, the profound influence of the microbiota on the efficacy of cancer treatments, such as im m unotherapies, has begun to be extensively characterized in humans. Paramount to the development of microbiota-based therapeutics, the next challenge in m icrobiom e research will be to identify individual microbial species that causally affect cancer phenotypes and unravel the underlying mechanisms. In this Viewpoint article, we asked four scientists working on the cancer microbiome for their opinions on the current state of the field, where the research is heading and how we can advance our understanding to rationally design microbial-based therapeutics to transform treatment strategies for patients with cancer.","container-title":"Nature reviews. Cancer","DOI":"10.1038/s41568-019-0155-3","ISSN":"1474-175X","issue":"7","journalAbbreviation":"Nat Rev Cancer","note":"PMID: 31186547\nPMCID: PMC6700740","page":"371-376","source":"PubMed Central","title":"The cancer microbiome","volume":"19","author":[{"family":"Elinav","given":"Eran"},{"family":"Garrett","given":"Wendy S."},{"family":"Trinchieri","given":"Giorgio"},{"family":"Wargo","given":"Jennifer"}],"issued":{"date-parts":[["2019",7]]}}}],"schema":"https://github.com/citation-style-language/schema/raw/master/csl-citation.json"} </w:instrText>
      </w:r>
      <w:r w:rsidR="00AB19BA">
        <w:rPr>
          <w:lang w:val="en-GB"/>
        </w:rPr>
        <w:fldChar w:fldCharType="separate"/>
      </w:r>
      <w:r w:rsidR="00DD56C8" w:rsidRPr="00DD56C8">
        <w:rPr>
          <w:rFonts w:ascii="Calibri" w:hAnsi="Calibri" w:cs="Calibri"/>
          <w:szCs w:val="24"/>
          <w:vertAlign w:val="superscript"/>
        </w:rPr>
        <w:t>13</w:t>
      </w:r>
      <w:r w:rsidR="00AB19BA">
        <w:rPr>
          <w:lang w:val="en-GB"/>
        </w:rPr>
        <w:fldChar w:fldCharType="end"/>
      </w:r>
      <w:r w:rsidR="00AB19BA">
        <w:rPr>
          <w:lang w:val="en-GB"/>
        </w:rPr>
        <w:t>.</w:t>
      </w:r>
      <w:r w:rsidR="00DF5C63">
        <w:rPr>
          <w:lang w:val="en-GB"/>
        </w:rPr>
        <w:t xml:space="preserve"> </w:t>
      </w:r>
      <w:r w:rsidR="00AB19BA">
        <w:rPr>
          <w:lang w:val="en-GB"/>
        </w:rPr>
        <w:t>This field</w:t>
      </w:r>
      <w:r w:rsidR="00DF5C63">
        <w:rPr>
          <w:lang w:val="en-GB"/>
        </w:rPr>
        <w:t>, where a holistic approach is taken to biological data,</w:t>
      </w:r>
      <w:r w:rsidR="00AB19BA">
        <w:rPr>
          <w:lang w:val="en-GB"/>
        </w:rPr>
        <w:t xml:space="preserve"> is known as </w:t>
      </w:r>
      <w:proofErr w:type="spellStart"/>
      <w:r w:rsidR="00AB19BA">
        <w:rPr>
          <w:lang w:val="en-GB"/>
        </w:rPr>
        <w:t>hologenomics</w:t>
      </w:r>
      <w:proofErr w:type="spellEnd"/>
      <w:r w:rsidR="00DF5C63">
        <w:rPr>
          <w:lang w:val="en-GB"/>
        </w:rPr>
        <w:t>. It</w:t>
      </w:r>
      <w:r w:rsidR="00AB19BA">
        <w:rPr>
          <w:lang w:val="en-GB"/>
        </w:rPr>
        <w:t xml:space="preserve"> is based on the assumption </w:t>
      </w:r>
      <w:r w:rsidR="00DF5C63">
        <w:rPr>
          <w:lang w:val="en-GB"/>
        </w:rPr>
        <w:t xml:space="preserve">underlying </w:t>
      </w:r>
      <w:r w:rsidR="00FE2325">
        <w:rPr>
          <w:lang w:val="en-GB"/>
        </w:rPr>
        <w:t xml:space="preserve">the </w:t>
      </w:r>
      <w:proofErr w:type="spellStart"/>
      <w:r w:rsidR="00AB19BA">
        <w:rPr>
          <w:lang w:val="en-GB"/>
        </w:rPr>
        <w:t>hologenome</w:t>
      </w:r>
      <w:proofErr w:type="spellEnd"/>
      <w:r w:rsidR="00AB19BA">
        <w:rPr>
          <w:lang w:val="en-GB"/>
        </w:rPr>
        <w:t xml:space="preserve"> theory</w:t>
      </w:r>
      <w:r w:rsidR="00DF5C63">
        <w:rPr>
          <w:lang w:val="en-GB"/>
        </w:rPr>
        <w:t>,</w:t>
      </w:r>
      <w:r w:rsidR="00AB19BA">
        <w:rPr>
          <w:lang w:val="en-GB"/>
        </w:rPr>
        <w:t xml:space="preserve"> which posits that the host and microbial genome are biologically dependent and must be </w:t>
      </w:r>
      <w:proofErr w:type="spellStart"/>
      <w:r w:rsidR="00AB19BA">
        <w:rPr>
          <w:lang w:val="en-GB"/>
        </w:rPr>
        <w:t>analyzed</w:t>
      </w:r>
      <w:proofErr w:type="spellEnd"/>
      <w:r w:rsidR="00AB19BA">
        <w:rPr>
          <w:lang w:val="en-GB"/>
        </w:rPr>
        <w:t xml:space="preserve"> together in order to investigate the phenotype of an organism </w:t>
      </w:r>
      <w:r w:rsidR="00AB19BA">
        <w:rPr>
          <w:lang w:val="en-GB"/>
        </w:rPr>
        <w:fldChar w:fldCharType="begin"/>
      </w:r>
      <w:r w:rsidR="00DD56C8">
        <w:rPr>
          <w:lang w:val="en-GB"/>
        </w:rPr>
        <w:instrText xml:space="preserve"> ADDIN ZOTERO_ITEM CSL_CITATION {"citationID":"ywcPfOMA","properties":{"formattedCitation":"\\super 22\\nosupersub{}","plainCitation":"22","noteIndex":0},"citationItems":[{"id":156,"uris":["http://zotero.org/users/local/0zqklVfX/items/ESYC7TRH"],"itemData":{"id":156,"type":"article-journal","abstract":"Aquaculture will play an essential role in feeding a growing human population, but several biological challenges impede sustainable growth of production. Emerging evidence across all areas of life has revealed the importance of the intimate biological interactions between animals and their associated gut microbiota. Based on challenges in aquaculture, we leverage current knowledge in molecular biology and host microbiota interactions to propose an applied holo-omic framework that integrates molecular data including genomes, transcriptomes, epigenomes, proteomes, and metabolomes for analyzing fish and their gut microbiota as interconnected and coregulated systems. With an eye towards aquaculture, we discuss the feasibility and potential of our holo-omic framework to improve growth, health, and sustainability in any area of food production, including livestock and agriculture.","container-title":"Trends in Biotechnology","DOI":"10.1016/j.tibtech.2017.12.006","ISSN":"0167-7799","issue":"3","journalAbbreviation":"Trends in Biotechnology","language":"en","page":"252-264","source":"ScienceDirect","title":"Applied Hologenomics: Feasibility and Potential in Aquaculture","title-short":"Applied Hologenomics","volume":"36","author":[{"family":"Limborg","given":"Morten T."},{"family":"Alberdi","given":"Antton"},{"family":"Kodama","given":"Miyako"},{"family":"Roggenbuck","given":"Michael"},{"family":"Kristiansen","given":"Karsten"},{"family":"Gilbert","given":"M. Thomas P."}],"issued":{"date-parts":[["2018",3,1]]}}}],"schema":"https://github.com/citation-style-language/schema/raw/master/csl-citation.json"} </w:instrText>
      </w:r>
      <w:r w:rsidR="00AB19BA">
        <w:rPr>
          <w:lang w:val="en-GB"/>
        </w:rPr>
        <w:fldChar w:fldCharType="separate"/>
      </w:r>
      <w:r w:rsidR="00DD56C8" w:rsidRPr="00DD56C8">
        <w:rPr>
          <w:rFonts w:ascii="Calibri" w:hAnsi="Calibri" w:cs="Calibri"/>
          <w:szCs w:val="24"/>
          <w:vertAlign w:val="superscript"/>
        </w:rPr>
        <w:t>22</w:t>
      </w:r>
      <w:r w:rsidR="00AB19BA">
        <w:rPr>
          <w:lang w:val="en-GB"/>
        </w:rPr>
        <w:fldChar w:fldCharType="end"/>
      </w:r>
      <w:r w:rsidR="00AB19BA">
        <w:rPr>
          <w:lang w:val="en-GB"/>
        </w:rPr>
        <w:t xml:space="preserve">. </w:t>
      </w:r>
    </w:p>
    <w:p w14:paraId="0E05C63F" w14:textId="21297AE6" w:rsidR="000960AB" w:rsidRDefault="000960AB" w:rsidP="000960AB">
      <w:pPr>
        <w:rPr>
          <w:lang w:val="en-GB"/>
        </w:rPr>
      </w:pPr>
      <w:r>
        <w:rPr>
          <w:lang w:val="en-GB"/>
        </w:rPr>
        <w:t xml:space="preserve">In terms of </w:t>
      </w:r>
      <w:proofErr w:type="spellStart"/>
      <w:r>
        <w:rPr>
          <w:lang w:val="en-GB"/>
        </w:rPr>
        <w:t>hologenomics</w:t>
      </w:r>
      <w:proofErr w:type="spellEnd"/>
      <w:r>
        <w:rPr>
          <w:lang w:val="en-GB"/>
        </w:rPr>
        <w:t xml:space="preserve">, previous studies have attempted to combine microbial and host omics data to investigate correlations between bacterial co-abundance groups and host gene expression patterns </w:t>
      </w:r>
      <w:r>
        <w:rPr>
          <w:lang w:val="en-GB"/>
        </w:rPr>
        <w:fldChar w:fldCharType="begin"/>
      </w:r>
      <w:r w:rsidR="00DD56C8">
        <w:rPr>
          <w:lang w:val="en-GB"/>
        </w:rPr>
        <w:instrText xml:space="preserve"> ADDIN ZOTERO_ITEM CSL_CITATION {"citationID":"7aAcQzrK","properties":{"formattedCitation":"\\super 3,19\\nosupersub{}","plainCitation":"3,19","noteIndex":0},"citationItems":[{"id":185,"uris":["http://zotero.org/users/local/0zqklVfX/items/6YDSX49Y"],"itemData":{"id":185,"type":"article-journal","abstract":"Studying the microbial composition of internal organs and their associations with disease remains challenging due to the difficulty of acquiring clinical biopsies. We designed a statistical model to analyze the prevalence of species across sample types from The Cancer Genome Atlas (TCGA), revealing that species equiprevalent across sample types are predominantly contaminants, bearing unique signatures from each TCGA-designated sequencing center. Removing such species mitigated batch effects and isolated the tissue-resident microbiome, which was validated by original matched TCGA samples. Gene copies and nucleotide variants can further distinguish mixed-evidence species. We, thus, present The Cancer Microbiome Atlas (TCMA), a collection of curated, decontaminated microbial compositions of oropharyngeal, esophageal, gastrointestinal, and colorectal tissues. This led to the discovery of prognostic species and blood signatures of mucosal barrier injuries and enabled systematic matched microbe-host multi-omic analyses, which will help guide future studies of the microbiome’s role in human health and disease.","container-title":"Cell Host &amp; Microbe","DOI":"10.1016/j.chom.2020.12.001","ISSN":"1931-3128","issue":"2","journalAbbreviation":"Cell Host &amp; Microbe","language":"en","page":"281-298.e5","source":"ScienceDirect","title":"The cancer microbiome atlas: a pan-cancer comparative analysis to distinguish tissue-resident microbiota from contaminants","title-short":"The cancer microbiome atlas","volume":"29","author":[{"family":"Dohlman","given":"Anders B."},{"family":"Arguijo Mendoza","given":"Diana"},{"family":"Ding","given":"Shengli"},{"family":"Gao","given":"Michael"},{"family":"Dressman","given":"Holly"},{"family":"Iliev","given":"Iliyan D."},{"family":"Lipkin","given":"Steven M."},{"family":"Shen","given":"Xiling"}],"issued":{"date-parts":[["2021",2,10]]}}},{"id":190,"uris":["http://zotero.org/users/local/0zqklVfX/items/7HAV3FLN"],"itemData":{"id":190,"type":"article-journal","abstract":"An intra-pancreatic microbiota was recently discovered in several prominent studies. Since pancreatic adenocarcinoma (PAAD) is one of the most lethal cancers worldwide, and the intratumor microbiome was found to be a significant contributor to carcinogenesis in other cancers, this study aims to characterize the PAAD microbiome and elucidate how it may be associated with PAAD prognosis. We further explored the association between the intra-pancreatic microbiome and smoking and gender, which are both risk factors for PAAD. RNA-sequencing data from The Cancer Genome Atlas (TCGA) were used to infer microbial abundance, which was correlated to clinical variables and to cancer and immune-associated gene expression, to determine how microbes may contribute to cancer progression. We discovered that the presence of several bacteria species within PAAD tumors is linked to metastasis and immune suppression. This is the first large-scale study to report microbiome-immune correlations in human pancreatic cancer samples. Furthermore, we found that the increased prevalence and poorer prognosis of PAAD in males and smokers are linked to the presence of potentially cancer-promoting or immune-inhibiting microbes. Further study into the roles of these microbes in PAAD is imperative for understanding how a pro-tumor microenvironment may be treated to limit cancer progression.","container-title":"Cancers","DOI":"10.3390/cancers12092672","ISSN":"2072-6694","issue":"9","language":"en","license":"http://creativecommons.org/licenses/by/3.0/","note":"number: 9\npublisher: Multidisciplinary Digital Publishing Institute","page":"2672","source":"www.mdpi.com","title":"The Pancreatic Microbiome is Associated with Carcinogenesis and Worse Prognosis in Males and Smokers","volume":"12","author":[{"family":"Chakladar","given":"Jaideep"},{"family":"Kuo","given":"Selena Z."},{"family":"Castaneda","given":"Grant"},{"family":"Li","given":"Wei Tse"},{"family":"Gnanasekar","given":"Aditi"},{"family":"Yu","given":"Michael Andrew"},{"family":"Chang","given":"Eric Y."},{"family":"Wang","given":"Xiao Qi"},{"family":"Ongkeko","given":"Weg M."}],"issued":{"date-parts":[["2020",9]]}}}],"schema":"https://github.com/citation-style-language/schema/raw/master/csl-citation.json"} </w:instrText>
      </w:r>
      <w:r>
        <w:rPr>
          <w:lang w:val="en-GB"/>
        </w:rPr>
        <w:fldChar w:fldCharType="separate"/>
      </w:r>
      <w:r w:rsidR="00DD56C8" w:rsidRPr="00DD56C8">
        <w:rPr>
          <w:rFonts w:ascii="Calibri" w:hAnsi="Calibri" w:cs="Calibri"/>
          <w:szCs w:val="24"/>
          <w:vertAlign w:val="superscript"/>
        </w:rPr>
        <w:t>3,19</w:t>
      </w:r>
      <w:r>
        <w:rPr>
          <w:lang w:val="en-GB"/>
        </w:rPr>
        <w:fldChar w:fldCharType="end"/>
      </w:r>
      <w:r>
        <w:rPr>
          <w:lang w:val="en-GB"/>
        </w:rPr>
        <w:t xml:space="preserve">, host mutations </w:t>
      </w:r>
      <w:r>
        <w:rPr>
          <w:lang w:val="en-GB"/>
        </w:rPr>
        <w:fldChar w:fldCharType="begin"/>
      </w:r>
      <w:r w:rsidR="00DD56C8">
        <w:rPr>
          <w:lang w:val="en-GB"/>
        </w:rPr>
        <w:instrText xml:space="preserve"> ADDIN ZOTERO_ITEM CSL_CITATION {"citationID":"mOGERpxp","properties":{"formattedCitation":"\\super 17\\nosupersub{}","plainCitation":"17","noteIndex":0},"citationItems":[{"id":193,"uris":["http://zotero.org/users/local/0zqklVfX/items/ZCQK7EXQ"],"itemData":{"id":193,"type":"article-journal","abstract":"Lung cancer is the leading cancer diagnosis worldwide and the number one cause of cancer deaths. Exposure to cigarette smoke, the primary risk factor in lung cancer, reduces epithelial barrier integrity and increases susceptibility to infections. Herein, we hypothesize that somatic mutations together with cigarette smoke generate a dysbiotic microbiota that is associated with lung carcinogenesis. Using lung tissue from 33 controls and 143 cancer cases, we conduct 16S ribosomal RNA (rRNA) bacterial gene sequencing, with RNA-sequencing data from lung cancer cases in The Cancer Genome Atlas serving as the validation cohort.","container-title":"Genome Biology","DOI":"10.1186/s13059-018-1501-6","ISSN":"1474-760X","issue":"1","journalAbbreviation":"Genome Biol","language":"en","page":"123","source":"Springer Link","title":"Interaction between the microbiome and TP53 in human lung cancer","volume":"19","author":[{"family":"Greathouse","given":"K. Leigh"},{"family":"White","given":"James R."},{"family":"Vargas","given":"Ashely J."},{"family":"Bliskovsky","given":"Valery V."},{"family":"Beck","given":"Jessica A."},{"family":"Muhlinen","given":"Natalia","non-dropping-particle":"von"},{"family":"Polley","given":"Eric C."},{"family":"Bowman","given":"Elise D."},{"family":"Khan","given":"Mohammed A."},{"family":"Robles","given":"Ana I."},{"family":"Cooks","given":"Tomer"},{"family":"Ryan","given":"Bríd M."},{"family":"Padgett","given":"Noah"},{"family":"Dzutsev","given":"Amiran H."},{"family":"Trinchieri","given":"Giorgio"},{"family":"Pineda","given":"Marbin A."},{"family":"Bilke","given":"Sven"},{"family":"Meltzer","given":"Paul S."},{"family":"Hokenstad","given":"Alexis N."},{"family":"Stickrod","given":"Tricia M."},{"family":"Walther-Antonio","given":"Marina R."},{"family":"Earl","given":"Joshua P."},{"family":"Mell","given":"Joshua C."},{"family":"Krol","given":"Jaroslaw E."},{"family":"Balashov","given":"Sergey V."},{"family":"Bhat","given":"Archana S."},{"family":"Ehrlich","given":"Garth D."},{"family":"Valm","given":"Alex"},{"family":"Deming","given":"Clayton"},{"family":"Conlan","given":"Sean"},{"family":"Oh","given":"Julia"},{"family":"Segre","given":"Julie A."},{"family":"Harris","given":"Curtis C."}],"issued":{"date-parts":[["2018",8,24]]}}}],"schema":"https://github.com/citation-style-language/schema/raw/master/csl-citation.json"} </w:instrText>
      </w:r>
      <w:r>
        <w:rPr>
          <w:lang w:val="en-GB"/>
        </w:rPr>
        <w:fldChar w:fldCharType="separate"/>
      </w:r>
      <w:r w:rsidR="00DD56C8" w:rsidRPr="00DD56C8">
        <w:rPr>
          <w:rFonts w:ascii="Calibri" w:hAnsi="Calibri" w:cs="Calibri"/>
          <w:szCs w:val="24"/>
          <w:vertAlign w:val="superscript"/>
        </w:rPr>
        <w:t>17</w:t>
      </w:r>
      <w:r>
        <w:rPr>
          <w:lang w:val="en-GB"/>
        </w:rPr>
        <w:fldChar w:fldCharType="end"/>
      </w:r>
      <w:r>
        <w:rPr>
          <w:lang w:val="en-GB"/>
        </w:rPr>
        <w:t xml:space="preserve"> or proteins </w:t>
      </w:r>
      <w:r>
        <w:rPr>
          <w:lang w:val="en-GB"/>
        </w:rPr>
        <w:fldChar w:fldCharType="begin"/>
      </w:r>
      <w:r>
        <w:rPr>
          <w:lang w:val="en-GB"/>
        </w:rPr>
        <w:instrText xml:space="preserve"> ADDIN ZOTERO_ITEM CSL_CITATION {"citationID":"gFQ5CVBP","properties":{"formattedCitation":"\\super 3\\nosupersub{}","plainCitation":"3","noteIndex":0},"citationItems":[{"id":185,"uris":["http://zotero.org/users/local/0zqklVfX/items/6YDSX49Y"],"itemData":{"id":185,"type":"article-journal","abstract":"Studying the microbial composition of internal organs and their associations with disease remains challenging due to the difficulty of acquiring clinical biopsies. We designed a statistical model to analyze the prevalence of species across sample types from The Cancer Genome Atlas (TCGA), revealing that species equiprevalent across sample types are predominantly contaminants, bearing unique signatures from each TCGA-designated sequencing center. Removing such species mitigated batch effects and isolated the tissue-resident microbiome, which was validated by original matched TCGA samples. Gene copies and nucleotide variants can further distinguish mixed-evidence species. We, thus, present The Cancer Microbiome Atlas (TCMA), a collection of curated, decontaminated microbial compositions of oropharyngeal, esophageal, gastrointestinal, and colorectal tissues. This led to the discovery of prognostic species and blood signatures of mucosal barrier injuries and enabled systematic matched microbe-host multi-omic analyses, which will help guide future studies of the microbiome’s role in human health and disease.","container-title":"Cell Host &amp; Microbe","DOI":"10.1016/j.chom.2020.12.001","ISSN":"1931-3128","issue":"2","journalAbbreviation":"Cell Host &amp; Microbe","language":"en","page":"281-298.e5","source":"ScienceDirect","title":"The cancer microbiome atlas: a pan-cancer comparative analysis to distinguish tissue-resident microbiota from contaminants","title-short":"The cancer microbiome atlas","volume":"29","author":[{"family":"Dohlman","given":"Anders B."},{"family":"Arguijo Mendoza","given":"Diana"},{"family":"Ding","given":"Shengli"},{"family":"Gao","given":"Michael"},{"family":"Dressman","given":"Holly"},{"family":"Iliev","given":"Iliyan D."},{"family":"Lipkin","given":"Steven M."},{"family":"Shen","given":"Xiling"}],"issued":{"date-parts":[["2021",2,10]]}}}],"schema":"https://github.com/citation-style-language/schema/raw/master/csl-citation.json"} </w:instrText>
      </w:r>
      <w:r>
        <w:rPr>
          <w:lang w:val="en-GB"/>
        </w:rPr>
        <w:fldChar w:fldCharType="separate"/>
      </w:r>
      <w:r w:rsidRPr="007276F0">
        <w:rPr>
          <w:rFonts w:ascii="Calibri" w:hAnsi="Calibri" w:cs="Calibri"/>
          <w:szCs w:val="24"/>
          <w:vertAlign w:val="superscript"/>
        </w:rPr>
        <w:t>3</w:t>
      </w:r>
      <w:r>
        <w:rPr>
          <w:lang w:val="en-GB"/>
        </w:rPr>
        <w:fldChar w:fldCharType="end"/>
      </w:r>
      <w:r>
        <w:rPr>
          <w:lang w:val="en-GB"/>
        </w:rPr>
        <w:t>. Greathouse et al. examines the interaction between microbiota and TP53 in lung cancer by investigating the abundance</w:t>
      </w:r>
      <w:r w:rsidR="00CA2AA3">
        <w:rPr>
          <w:lang w:val="en-GB"/>
        </w:rPr>
        <w:t xml:space="preserve"> and diversity</w:t>
      </w:r>
      <w:r>
        <w:rPr>
          <w:lang w:val="en-GB"/>
        </w:rPr>
        <w:t xml:space="preserve"> of specific microbial species in lung </w:t>
      </w:r>
      <w:proofErr w:type="spellStart"/>
      <w:r>
        <w:rPr>
          <w:lang w:val="en-GB"/>
        </w:rPr>
        <w:t>tumors</w:t>
      </w:r>
      <w:proofErr w:type="spellEnd"/>
      <w:r>
        <w:rPr>
          <w:lang w:val="en-GB"/>
        </w:rPr>
        <w:t xml:space="preserve"> with TP53 mutations</w:t>
      </w:r>
      <w:r w:rsidR="00CA2AA3">
        <w:rPr>
          <w:lang w:val="en-GB"/>
        </w:rPr>
        <w:t xml:space="preserve"> with</w:t>
      </w:r>
      <w:r>
        <w:rPr>
          <w:lang w:val="en-GB"/>
        </w:rPr>
        <w:t xml:space="preserve"> TCGA</w:t>
      </w:r>
      <w:r w:rsidR="00A815EC">
        <w:rPr>
          <w:lang w:val="en-GB"/>
        </w:rPr>
        <w:t>(abundance)</w:t>
      </w:r>
      <w:r>
        <w:rPr>
          <w:lang w:val="en-GB"/>
        </w:rPr>
        <w:t xml:space="preserve"> and NCI-MD data</w:t>
      </w:r>
      <w:r w:rsidR="00CA2AA3">
        <w:rPr>
          <w:lang w:val="en-GB"/>
        </w:rPr>
        <w:t xml:space="preserve"> using statistical tests</w:t>
      </w:r>
      <w:r>
        <w:rPr>
          <w:lang w:val="en-GB"/>
        </w:rPr>
        <w:t xml:space="preserve"> </w:t>
      </w:r>
      <w:r>
        <w:rPr>
          <w:lang w:val="en-GB"/>
        </w:rPr>
        <w:fldChar w:fldCharType="begin"/>
      </w:r>
      <w:r w:rsidR="00DD56C8">
        <w:rPr>
          <w:lang w:val="en-GB"/>
        </w:rPr>
        <w:instrText xml:space="preserve"> ADDIN ZOTERO_ITEM CSL_CITATION {"citationID":"8I0o0Guf","properties":{"formattedCitation":"\\super 17\\nosupersub{}","plainCitation":"17","noteIndex":0},"citationItems":[{"id":193,"uris":["http://zotero.org/users/local/0zqklVfX/items/ZCQK7EXQ"],"itemData":{"id":193,"type":"article-journal","abstract":"Lung cancer is the leading cancer diagnosis worldwide and the number one cause of cancer deaths. Exposure to cigarette smoke, the primary risk factor in lung cancer, reduces epithelial barrier integrity and increases susceptibility to infections. Herein, we hypothesize that somatic mutations together with cigarette smoke generate a dysbiotic microbiota that is associated with lung carcinogenesis. Using lung tissue from 33 controls and 143 cancer cases, we conduct 16S ribosomal RNA (rRNA) bacterial gene sequencing, with RNA-sequencing data from lung cancer cases in The Cancer Genome Atlas serving as the validation cohort.","container-title":"Genome Biology","DOI":"10.1186/s13059-018-1501-6","ISSN":"1474-760X","issue":"1","journalAbbreviation":"Genome Biol","language":"en","page":"123","source":"Springer Link","title":"Interaction between the microbiome and TP53 in human lung cancer","volume":"19","author":[{"family":"Greathouse","given":"K. Leigh"},{"family":"White","given":"James R."},{"family":"Vargas","given":"Ashely J."},{"family":"Bliskovsky","given":"Valery V."},{"family":"Beck","given":"Jessica A."},{"family":"Muhlinen","given":"Natalia","non-dropping-particle":"von"},{"family":"Polley","given":"Eric C."},{"family":"Bowman","given":"Elise D."},{"family":"Khan","given":"Mohammed A."},{"family":"Robles","given":"Ana I."},{"family":"Cooks","given":"Tomer"},{"family":"Ryan","given":"Bríd M."},{"family":"Padgett","given":"Noah"},{"family":"Dzutsev","given":"Amiran H."},{"family":"Trinchieri","given":"Giorgio"},{"family":"Pineda","given":"Marbin A."},{"family":"Bilke","given":"Sven"},{"family":"Meltzer","given":"Paul S."},{"family":"Hokenstad","given":"Alexis N."},{"family":"Stickrod","given":"Tricia M."},{"family":"Walther-Antonio","given":"Marina R."},{"family":"Earl","given":"Joshua P."},{"family":"Mell","given":"Joshua C."},{"family":"Krol","given":"Jaroslaw E."},{"family":"Balashov","given":"Sergey V."},{"family":"Bhat","given":"Archana S."},{"family":"Ehrlich","given":"Garth D."},{"family":"Valm","given":"Alex"},{"family":"Deming","given":"Clayton"},{"family":"Conlan","given":"Sean"},{"family":"Oh","given":"Julia"},{"family":"Segre","given":"Julie A."},{"family":"Harris","given":"Curtis C."}],"issued":{"date-parts":[["2018",8,24]]}}}],"schema":"https://github.com/citation-style-language/schema/raw/master/csl-citation.json"} </w:instrText>
      </w:r>
      <w:r>
        <w:rPr>
          <w:lang w:val="en-GB"/>
        </w:rPr>
        <w:fldChar w:fldCharType="separate"/>
      </w:r>
      <w:r w:rsidR="00DD56C8" w:rsidRPr="00DD56C8">
        <w:rPr>
          <w:rFonts w:ascii="Calibri" w:hAnsi="Calibri" w:cs="Calibri"/>
          <w:szCs w:val="24"/>
          <w:vertAlign w:val="superscript"/>
        </w:rPr>
        <w:t>17</w:t>
      </w:r>
      <w:r>
        <w:rPr>
          <w:lang w:val="en-GB"/>
        </w:rPr>
        <w:fldChar w:fldCharType="end"/>
      </w:r>
      <w:r>
        <w:rPr>
          <w:lang w:val="en-GB"/>
        </w:rPr>
        <w:t xml:space="preserve">. Similarly, </w:t>
      </w:r>
      <w:proofErr w:type="spellStart"/>
      <w:r>
        <w:rPr>
          <w:lang w:val="en-GB"/>
        </w:rPr>
        <w:t>Chakladar</w:t>
      </w:r>
      <w:proofErr w:type="spellEnd"/>
      <w:r>
        <w:rPr>
          <w:lang w:val="en-GB"/>
        </w:rPr>
        <w:t xml:space="preserve"> et al. combine rRNA sequencing data from TCGA</w:t>
      </w:r>
      <w:r w:rsidR="00E26537">
        <w:rPr>
          <w:lang w:val="en-GB"/>
        </w:rPr>
        <w:t xml:space="preserve"> </w:t>
      </w:r>
      <w:r>
        <w:rPr>
          <w:lang w:val="en-GB"/>
        </w:rPr>
        <w:t>and intra-pancreatic microbe abundance data</w:t>
      </w:r>
      <w:r w:rsidR="00E26537">
        <w:rPr>
          <w:lang w:val="en-GB"/>
        </w:rPr>
        <w:t xml:space="preserve"> mined from TCGA</w:t>
      </w:r>
      <w:r>
        <w:rPr>
          <w:lang w:val="en-GB"/>
        </w:rPr>
        <w:t xml:space="preserve"> to investigate cancer </w:t>
      </w:r>
      <w:r w:rsidRPr="00A815EC">
        <w:t>associated</w:t>
      </w:r>
      <w:r>
        <w:rPr>
          <w:lang w:val="en-GB"/>
        </w:rPr>
        <w:t xml:space="preserve"> genes and pathways for pancreatic adenocarcinoma </w:t>
      </w:r>
      <w:r>
        <w:rPr>
          <w:lang w:val="en-GB"/>
        </w:rPr>
        <w:fldChar w:fldCharType="begin"/>
      </w:r>
      <w:r w:rsidR="00DD56C8">
        <w:rPr>
          <w:lang w:val="en-GB"/>
        </w:rPr>
        <w:instrText xml:space="preserve"> ADDIN ZOTERO_ITEM CSL_CITATION {"citationID":"VXNkXG8I","properties":{"formattedCitation":"\\super 19\\nosupersub{}","plainCitation":"19","noteIndex":0},"citationItems":[{"id":190,"uris":["http://zotero.org/users/local/0zqklVfX/items/7HAV3FLN"],"itemData":{"id":190,"type":"article-journal","abstract":"An intra-pancreatic microbiota was recently discovered in several prominent studies. Since pancreatic adenocarcinoma (PAAD) is one of the most lethal cancers worldwide, and the intratumor microbiome was found to be a significant contributor to carcinogenesis in other cancers, this study aims to characterize the PAAD microbiome and elucidate how it may be associated with PAAD prognosis. We further explored the association between the intra-pancreatic microbiome and smoking and gender, which are both risk factors for PAAD. RNA-sequencing data from The Cancer Genome Atlas (TCGA) were used to infer microbial abundance, which was correlated to clinical variables and to cancer and immune-associated gene expression, to determine how microbes may contribute to cancer progression. We discovered that the presence of several bacteria species within PAAD tumors is linked to metastasis and immune suppression. This is the first large-scale study to report microbiome-immune correlations in human pancreatic cancer samples. Furthermore, we found that the increased prevalence and poorer prognosis of PAAD in males and smokers are linked to the presence of potentially cancer-promoting or immune-inhibiting microbes. Further study into the roles of these microbes in PAAD is imperative for understanding how a pro-tumor microenvironment may be treated to limit cancer progression.","container-title":"Cancers","DOI":"10.3390/cancers12092672","ISSN":"2072-6694","issue":"9","language":"en","license":"http://creativecommons.org/licenses/by/3.0/","note":"number: 9\npublisher: Multidisciplinary Digital Publishing Institute","page":"2672","source":"www.mdpi.com","title":"The Pancreatic Microbiome is Associated with Carcinogenesis and Worse Prognosis in Males and Smokers","volume":"12","author":[{"family":"Chakladar","given":"Jaideep"},{"family":"Kuo","given":"Selena Z."},{"family":"Castaneda","given":"Grant"},{"family":"Li","given":"Wei Tse"},{"family":"Gnanasekar","given":"Aditi"},{"family":"Yu","given":"Michael Andrew"},{"family":"Chang","given":"Eric Y."},{"family":"Wang","given":"Xiao Qi"},{"family":"Ongkeko","given":"Weg M."}],"issued":{"date-parts":[["2020",9]]}}}],"schema":"https://github.com/citation-style-language/schema/raw/master/csl-citation.json"} </w:instrText>
      </w:r>
      <w:r>
        <w:rPr>
          <w:lang w:val="en-GB"/>
        </w:rPr>
        <w:fldChar w:fldCharType="separate"/>
      </w:r>
      <w:r w:rsidR="00DD56C8" w:rsidRPr="00DD56C8">
        <w:rPr>
          <w:rFonts w:ascii="Calibri" w:hAnsi="Calibri" w:cs="Calibri"/>
          <w:szCs w:val="24"/>
          <w:vertAlign w:val="superscript"/>
        </w:rPr>
        <w:t>19</w:t>
      </w:r>
      <w:r>
        <w:rPr>
          <w:lang w:val="en-GB"/>
        </w:rPr>
        <w:fldChar w:fldCharType="end"/>
      </w:r>
      <w:r>
        <w:rPr>
          <w:lang w:val="en-GB"/>
        </w:rPr>
        <w:t xml:space="preserve">. </w:t>
      </w:r>
      <w:r w:rsidR="00E26537">
        <w:rPr>
          <w:lang w:val="en-GB"/>
        </w:rPr>
        <w:t>Specifically, t</w:t>
      </w:r>
      <w:r w:rsidR="00A815EC">
        <w:rPr>
          <w:lang w:val="en-GB"/>
        </w:rPr>
        <w:t xml:space="preserve">hey </w:t>
      </w:r>
      <w:r w:rsidR="00E26537">
        <w:rPr>
          <w:lang w:val="en-GB"/>
        </w:rPr>
        <w:t xml:space="preserve">pair </w:t>
      </w:r>
      <w:r w:rsidR="00A815EC">
        <w:rPr>
          <w:lang w:val="en-GB"/>
        </w:rPr>
        <w:t>abundance data with clinical variables and cancer and immune associated gene expression</w:t>
      </w:r>
      <w:r w:rsidR="00E26537">
        <w:rPr>
          <w:lang w:val="en-GB"/>
        </w:rPr>
        <w:t xml:space="preserve"> to determine if the up or down regulation of certain pathways is correlated with certain microbes using GSEA. Finally, </w:t>
      </w:r>
      <w:proofErr w:type="spellStart"/>
      <w:r w:rsidR="00E26537">
        <w:rPr>
          <w:lang w:val="en-GB"/>
        </w:rPr>
        <w:t>Dohlman</w:t>
      </w:r>
      <w:proofErr w:type="spellEnd"/>
      <w:r w:rsidR="00E26537">
        <w:rPr>
          <w:lang w:val="en-GB"/>
        </w:rPr>
        <w:t xml:space="preserve"> et al. use TCMA </w:t>
      </w:r>
      <w:r w:rsidR="00E74504">
        <w:rPr>
          <w:lang w:val="en-GB"/>
        </w:rPr>
        <w:t>and various TCGA omics data to investigate correlations between bacterial co-abundance groups and gene expression patterns of certain genes, including through the use of GSEA</w:t>
      </w:r>
      <w:r w:rsidR="00CB1306">
        <w:rPr>
          <w:lang w:val="en-GB"/>
        </w:rPr>
        <w:t xml:space="preserve"> of these correlated genes</w:t>
      </w:r>
      <w:r w:rsidR="00137818">
        <w:rPr>
          <w:lang w:val="en-GB"/>
        </w:rPr>
        <w:t xml:space="preserve"> with</w:t>
      </w:r>
      <w:r w:rsidR="00E74504">
        <w:rPr>
          <w:lang w:val="en-GB"/>
        </w:rPr>
        <w:t xml:space="preserve"> </w:t>
      </w:r>
      <w:r w:rsidR="00E74504">
        <w:rPr>
          <w:lang w:val="en-GB"/>
        </w:rPr>
        <w:fldChar w:fldCharType="begin"/>
      </w:r>
      <w:r w:rsidR="00E74504">
        <w:rPr>
          <w:lang w:val="en-GB"/>
        </w:rPr>
        <w:instrText xml:space="preserve"> ADDIN ZOTERO_ITEM CSL_CITATION {"citationID":"EGmqbdJ8","properties":{"formattedCitation":"\\super 3\\nosupersub{}","plainCitation":"3","noteIndex":0},"citationItems":[{"id":185,"uris":["http://zotero.org/users/local/0zqklVfX/items/6YDSX49Y"],"itemData":{"id":185,"type":"article-journal","abstract":"Studying the microbial composition of internal organs and their associations with disease remains challenging due to the difficulty of acquiring clinical biopsies. We designed a statistical model to analyze the prevalence of species across sample types from The Cancer Genome Atlas (TCGA), revealing that species equiprevalent across sample types are predominantly contaminants, bearing unique signatures from each TCGA-designated sequencing center. Removing such species mitigated batch effects and isolated the tissue-resident microbiome, which was validated by original matched TCGA samples. Gene copies and nucleotide variants can further distinguish mixed-evidence species. We, thus, present The Cancer Microbiome Atlas (TCMA), a collection of curated, decontaminated microbial compositions of oropharyngeal, esophageal, gastrointestinal, and colorectal tissues. This led to the discovery of prognostic species and blood signatures of mucosal barrier injuries and enabled systematic matched microbe-host multi-omic analyses, which will help guide future studies of the microbiome’s role in human health and disease.","container-title":"Cell Host &amp; Microbe","DOI":"10.1016/j.chom.2020.12.001","ISSN":"1931-3128","issue":"2","journalAbbreviation":"Cell Host &amp; Microbe","language":"en","page":"281-298.e5","source":"ScienceDirect","title":"The cancer microbiome atlas: a pan-cancer comparative analysis to distinguish tissue-resident microbiota from contaminants","title-short":"The cancer microbiome atlas","volume":"29","author":[{"family":"Dohlman","given":"Anders B."},{"family":"Arguijo Mendoza","given":"Diana"},{"family":"Ding","given":"Shengli"},{"family":"Gao","given":"Michael"},{"family":"Dressman","given":"Holly"},{"family":"Iliev","given":"Iliyan D."},{"family":"Lipkin","given":"Steven M."},{"family":"Shen","given":"Xiling"}],"issued":{"date-parts":[["2021",2,10]]}}}],"schema":"https://github.com/citation-style-language/schema/raw/master/csl-citation.json"} </w:instrText>
      </w:r>
      <w:r w:rsidR="00E74504">
        <w:rPr>
          <w:lang w:val="en-GB"/>
        </w:rPr>
        <w:fldChar w:fldCharType="separate"/>
      </w:r>
      <w:r w:rsidR="00E74504" w:rsidRPr="00E74504">
        <w:rPr>
          <w:rFonts w:ascii="Calibri" w:hAnsi="Calibri" w:cs="Calibri"/>
          <w:szCs w:val="24"/>
          <w:vertAlign w:val="superscript"/>
        </w:rPr>
        <w:t>3</w:t>
      </w:r>
      <w:r w:rsidR="00E74504">
        <w:rPr>
          <w:lang w:val="en-GB"/>
        </w:rPr>
        <w:fldChar w:fldCharType="end"/>
      </w:r>
      <w:r w:rsidR="00E74504">
        <w:rPr>
          <w:lang w:val="en-GB"/>
        </w:rPr>
        <w:t>.</w:t>
      </w:r>
    </w:p>
    <w:p w14:paraId="0F10AE92" w14:textId="77777777" w:rsidR="000960AB" w:rsidRDefault="000960AB" w:rsidP="00AB19BA">
      <w:pPr>
        <w:rPr>
          <w:lang w:val="en-GB"/>
        </w:rPr>
      </w:pPr>
    </w:p>
    <w:p w14:paraId="0B822A73" w14:textId="79ED04DC" w:rsidR="00AB19BA" w:rsidRDefault="00B14B8A">
      <w:pPr>
        <w:rPr>
          <w:lang w:val="en-GB"/>
        </w:rPr>
      </w:pPr>
      <w:r>
        <w:rPr>
          <w:lang w:val="en-GB"/>
        </w:rPr>
        <w:t xml:space="preserve">There are a lack of specialized methods which are able to perform this kind of integrated analysis </w:t>
      </w:r>
      <w:r w:rsidR="000423DE">
        <w:rPr>
          <w:lang w:val="en-GB"/>
        </w:rPr>
        <w:t>even though t</w:t>
      </w:r>
      <w:r>
        <w:rPr>
          <w:lang w:val="en-GB"/>
        </w:rPr>
        <w:t>he development of such tool</w:t>
      </w:r>
      <w:r w:rsidR="000423DE">
        <w:rPr>
          <w:lang w:val="en-GB"/>
        </w:rPr>
        <w:t>s</w:t>
      </w:r>
      <w:r>
        <w:rPr>
          <w:lang w:val="en-GB"/>
        </w:rPr>
        <w:t xml:space="preserve"> could provide </w:t>
      </w:r>
      <w:r w:rsidR="000423DE">
        <w:rPr>
          <w:lang w:val="en-GB"/>
        </w:rPr>
        <w:t xml:space="preserve">helpful </w:t>
      </w:r>
      <w:r>
        <w:rPr>
          <w:lang w:val="en-GB"/>
        </w:rPr>
        <w:t>new insights</w:t>
      </w:r>
      <w:r w:rsidR="00583DA1">
        <w:rPr>
          <w:lang w:val="en-GB"/>
        </w:rPr>
        <w:t xml:space="preserve"> </w:t>
      </w:r>
      <w:r w:rsidR="00583DA1">
        <w:rPr>
          <w:lang w:val="en-GB"/>
        </w:rPr>
        <w:fldChar w:fldCharType="begin"/>
      </w:r>
      <w:r w:rsidR="00DD56C8">
        <w:rPr>
          <w:lang w:val="en-GB"/>
        </w:rPr>
        <w:instrText xml:space="preserve"> ADDIN ZOTERO_ITEM CSL_CITATION {"citationID":"nB9iGczX","properties":{"formattedCitation":"\\super 10\\nosupersub{}","plainCitation":"10","noteIndex":0},"citationItems":[{"id":153,"uris":["http://zotero.org/users/local/0zqklVfX/items/5QK7HUH2"],"itemData":{"id":153,"type":"article-journal","abstract":"From ontogenesis to homeostasis, the phenotypes of complex organisms are shaped by the bidirectional interactions between the host organisms and their associated microbiota. Current technology can reveal many such interactions by combining multi-omic data from both hosts and microbes. However, exploring the full extent of these interactions requires careful consideration of study design for the efficient generation and optimal integration of data derived from (meta)genomics, (meta)transcriptomics, (meta)proteomics, and (meta)metabolomics. In this perspective, we introduce the holo-omic approach that incorporates multi-omic data from both host and microbiota domains to untangle the interplay between the two. We revisit the recent literature on biomolecular host-microbe interactions and discuss the implementation and current limitations of the holo-omic approach. We anticipate that the application of this approach can contribute to opening new research avenues and discoveries in biomedicine, biotechnology, agricultural and aquacultural sciences, nature conservation, as well as basic ecological and evolutionary research.","container-title":"iScience","DOI":"10.1016/j.isci.2020.101414","ISSN":"2589-0042","issue":"8","journalAbbreviation":"iScience","language":"en","page":"101414","source":"ScienceDirect","title":"Holo-Omics: Integrated Host-Microbiota Multi-omics for Basic and Applied Biological Research","title-short":"Holo-Omics","volume":"23","author":[{"family":"Nyholm","given":"Lasse"},{"family":"Koziol","given":"Adam"},{"family":"Marcos","given":"Sofia"},{"family":"Botnen","given":"Amanda Bolt"},{"family":"Aizpurua","given":"Ostaizka"},{"family":"Gopalakrishnan","given":"Shyam"},{"family":"Limborg","given":"Morten T."},{"family":"Gilbert","given":"M. Thomas P."},{"family":"Alberdi","given":"Antton"}],"issued":{"date-parts":[["2020",8,21]]}}}],"schema":"https://github.com/citation-style-language/schema/raw/master/csl-citation.json"} </w:instrText>
      </w:r>
      <w:r w:rsidR="00583DA1">
        <w:rPr>
          <w:lang w:val="en-GB"/>
        </w:rPr>
        <w:fldChar w:fldCharType="separate"/>
      </w:r>
      <w:r w:rsidR="00DD56C8" w:rsidRPr="00DD56C8">
        <w:rPr>
          <w:rFonts w:ascii="Calibri" w:hAnsi="Calibri" w:cs="Calibri"/>
          <w:szCs w:val="24"/>
          <w:vertAlign w:val="superscript"/>
        </w:rPr>
        <w:t>10</w:t>
      </w:r>
      <w:r w:rsidR="00583DA1">
        <w:rPr>
          <w:lang w:val="en-GB"/>
        </w:rPr>
        <w:fldChar w:fldCharType="end"/>
      </w:r>
      <w:r w:rsidR="005D410D">
        <w:rPr>
          <w:lang w:val="en-GB"/>
        </w:rPr>
        <w:t xml:space="preserve">. </w:t>
      </w:r>
      <w:r w:rsidR="000423DE">
        <w:rPr>
          <w:lang w:val="en-GB"/>
        </w:rPr>
        <w:t xml:space="preserve">Such a method </w:t>
      </w:r>
      <w:r w:rsidR="005D410D">
        <w:rPr>
          <w:lang w:val="en-GB"/>
        </w:rPr>
        <w:t>would have to deal with multiple challenges, namely the nonuniformity or linearity of this interaction</w:t>
      </w:r>
      <w:r w:rsidR="000423DE">
        <w:rPr>
          <w:lang w:val="en-GB"/>
        </w:rPr>
        <w:t>,</w:t>
      </w:r>
      <w:r w:rsidR="005D410D">
        <w:rPr>
          <w:lang w:val="en-GB"/>
        </w:rPr>
        <w:t xml:space="preserve"> the high dimensionality compared to low amount of samples and missing values</w:t>
      </w:r>
      <w:r w:rsidR="00015CA7">
        <w:rPr>
          <w:lang w:val="en-GB"/>
        </w:rPr>
        <w:t xml:space="preserve"> </w:t>
      </w:r>
      <w:r w:rsidR="00015CA7">
        <w:rPr>
          <w:lang w:val="en-GB"/>
        </w:rPr>
        <w:fldChar w:fldCharType="begin"/>
      </w:r>
      <w:r w:rsidR="00DD56C8">
        <w:rPr>
          <w:lang w:val="en-GB"/>
        </w:rPr>
        <w:instrText xml:space="preserve"> ADDIN ZOTERO_ITEM CSL_CITATION {"citationID":"peDbVXrA","properties":{"formattedCitation":"\\super 10\\nosupersub{}","plainCitation":"10","noteIndex":0},"citationItems":[{"id":153,"uris":["http://zotero.org/users/local/0zqklVfX/items/5QK7HUH2"],"itemData":{"id":153,"type":"article-journal","abstract":"From ontogenesis to homeostasis, the phenotypes of complex organisms are shaped by the bidirectional interactions between the host organisms and their associated microbiota. Current technology can reveal many such interactions by combining multi-omic data from both hosts and microbes. However, exploring the full extent of these interactions requires careful consideration of study design for the efficient generation and optimal integration of data derived from (meta)genomics, (meta)transcriptomics, (meta)proteomics, and (meta)metabolomics. In this perspective, we introduce the holo-omic approach that incorporates multi-omic data from both host and microbiota domains to untangle the interplay between the two. We revisit the recent literature on biomolecular host-microbe interactions and discuss the implementation and current limitations of the holo-omic approach. We anticipate that the application of this approach can contribute to opening new research avenues and discoveries in biomedicine, biotechnology, agricultural and aquacultural sciences, nature conservation, as well as basic ecological and evolutionary research.","container-title":"iScience","DOI":"10.1016/j.isci.2020.101414","ISSN":"2589-0042","issue":"8","journalAbbreviation":"iScience","language":"en","page":"101414","source":"ScienceDirect","title":"Holo-Omics: Integrated Host-Microbiota Multi-omics for Basic and Applied Biological Research","title-short":"Holo-Omics","volume":"23","author":[{"family":"Nyholm","given":"Lasse"},{"family":"Koziol","given":"Adam"},{"family":"Marcos","given":"Sofia"},{"family":"Botnen","given":"Amanda Bolt"},{"family":"Aizpurua","given":"Ostaizka"},{"family":"Gopalakrishnan","given":"Shyam"},{"family":"Limborg","given":"Morten T."},{"family":"Gilbert","given":"M. Thomas P."},{"family":"Alberdi","given":"Antton"}],"issued":{"date-parts":[["2020",8,21]]}}}],"schema":"https://github.com/citation-style-language/schema/raw/master/csl-citation.json"} </w:instrText>
      </w:r>
      <w:r w:rsidR="00015CA7">
        <w:rPr>
          <w:lang w:val="en-GB"/>
        </w:rPr>
        <w:fldChar w:fldCharType="separate"/>
      </w:r>
      <w:r w:rsidR="00DD56C8" w:rsidRPr="00DD56C8">
        <w:rPr>
          <w:rFonts w:ascii="Calibri" w:hAnsi="Calibri" w:cs="Calibri"/>
          <w:szCs w:val="24"/>
          <w:vertAlign w:val="superscript"/>
        </w:rPr>
        <w:t>10</w:t>
      </w:r>
      <w:r w:rsidR="00015CA7">
        <w:rPr>
          <w:lang w:val="en-GB"/>
        </w:rPr>
        <w:fldChar w:fldCharType="end"/>
      </w:r>
      <w:r w:rsidR="005D410D">
        <w:rPr>
          <w:lang w:val="en-GB"/>
        </w:rPr>
        <w:t xml:space="preserve">. </w:t>
      </w:r>
      <w:r w:rsidR="000423DE">
        <w:rPr>
          <w:lang w:val="en-GB"/>
        </w:rPr>
        <w:t>Next to this, it would also have to deal with problems typical to multi-omics integration such as high heterogeneity of data and noise. Finally, care would have to be taken as</w:t>
      </w:r>
      <w:r w:rsidR="005D410D">
        <w:rPr>
          <w:lang w:val="en-GB"/>
        </w:rPr>
        <w:t xml:space="preserve"> microbial samples can be plagued with </w:t>
      </w:r>
      <w:r w:rsidR="00240BF5">
        <w:rPr>
          <w:lang w:val="en-GB"/>
        </w:rPr>
        <w:t xml:space="preserve">batch effects </w:t>
      </w:r>
      <w:r w:rsidR="00D04E93">
        <w:rPr>
          <w:lang w:val="en-GB"/>
        </w:rPr>
        <w:t xml:space="preserve">and contaminants </w:t>
      </w:r>
      <w:r w:rsidR="00240BF5">
        <w:rPr>
          <w:lang w:val="en-GB"/>
        </w:rPr>
        <w:fldChar w:fldCharType="begin"/>
      </w:r>
      <w:r w:rsidR="007276F0">
        <w:rPr>
          <w:lang w:val="en-GB"/>
        </w:rPr>
        <w:instrText xml:space="preserve"> ADDIN ZOTERO_ITEM CSL_CITATION {"citationID":"AbFIdc7d","properties":{"formattedCitation":"\\super 3\\nosupersub{}","plainCitation":"3","noteIndex":0},"citationItems":[{"id":185,"uris":["http://zotero.org/users/local/0zqklVfX/items/6YDSX49Y"],"itemData":{"id":185,"type":"article-journal","abstract":"Studying the microbial composition of internal organs and their associations with disease remains challenging due to the difficulty of acquiring clinical biopsies. We designed a statistical model to analyze the prevalence of species across sample types from The Cancer Genome Atlas (TCGA), revealing that species equiprevalent across sample types are predominantly contaminants, bearing unique signatures from each TCGA-designated sequencing center. Removing such species mitigated batch effects and isolated the tissue-resident microbiome, which was validated by original matched TCGA samples. Gene copies and nucleotide variants can further distinguish mixed-evidence species. We, thus, present The Cancer Microbiome Atlas (TCMA), a collection of curated, decontaminated microbial compositions of oropharyngeal, esophageal, gastrointestinal, and colorectal tissues. This led to the discovery of prognostic species and blood signatures of mucosal barrier injuries and enabled systematic matched microbe-host multi-omic analyses, which will help guide future studies of the microbiome’s role in human health and disease.","container-title":"Cell Host &amp; Microbe","DOI":"10.1016/j.chom.2020.12.001","ISSN":"1931-3128","issue":"2","journalAbbreviation":"Cell Host &amp; Microbe","language":"en","page":"281-298.e5","source":"ScienceDirect","title":"The cancer microbiome atlas: a pan-cancer comparative analysis to distinguish tissue-resident microbiota from contaminants","title-short":"The cancer microbiome atlas","volume":"29","author":[{"family":"Dohlman","given":"Anders B."},{"family":"Arguijo Mendoza","given":"Diana"},{"family":"Ding","given":"Shengli"},{"family":"Gao","given":"Michael"},{"family":"Dressman","given":"Holly"},{"family":"Iliev","given":"Iliyan D."},{"family":"Lipkin","given":"Steven M."},{"family":"Shen","given":"Xiling"}],"issued":{"date-parts":[["2021",2,10]]}}}],"schema":"https://github.com/citation-style-language/schema/raw/master/csl-citation.json"} </w:instrText>
      </w:r>
      <w:r w:rsidR="00240BF5">
        <w:rPr>
          <w:lang w:val="en-GB"/>
        </w:rPr>
        <w:fldChar w:fldCharType="separate"/>
      </w:r>
      <w:r w:rsidR="007276F0" w:rsidRPr="007276F0">
        <w:rPr>
          <w:rFonts w:ascii="Calibri" w:hAnsi="Calibri" w:cs="Calibri"/>
          <w:szCs w:val="24"/>
          <w:vertAlign w:val="superscript"/>
        </w:rPr>
        <w:t>3</w:t>
      </w:r>
      <w:r w:rsidR="00240BF5">
        <w:rPr>
          <w:lang w:val="en-GB"/>
        </w:rPr>
        <w:fldChar w:fldCharType="end"/>
      </w:r>
      <w:r w:rsidR="00240BF5">
        <w:rPr>
          <w:lang w:val="en-GB"/>
        </w:rPr>
        <w:t>.</w:t>
      </w:r>
    </w:p>
    <w:p w14:paraId="3DAAF9C9" w14:textId="43DB7296" w:rsidR="00E7779D" w:rsidRDefault="004615FB">
      <w:pPr>
        <w:rPr>
          <w:lang w:val="en-GB"/>
        </w:rPr>
      </w:pPr>
      <w:r>
        <w:rPr>
          <w:lang w:val="en-GB"/>
        </w:rPr>
        <w:t xml:space="preserve">The development of such methods could help </w:t>
      </w:r>
      <w:r w:rsidR="00015CA7">
        <w:rPr>
          <w:lang w:val="en-GB"/>
        </w:rPr>
        <w:t xml:space="preserve">power multiple diagnostic goals, such as predicting </w:t>
      </w:r>
      <w:r>
        <w:rPr>
          <w:lang w:val="en-GB"/>
        </w:rPr>
        <w:t>cancer response to therapy by elucidating why certain immunotherapies work or fail in patients,</w:t>
      </w:r>
      <w:r w:rsidR="009A3AB9">
        <w:rPr>
          <w:lang w:val="en-GB"/>
        </w:rPr>
        <w:t xml:space="preserve"> providing insights into how cancers develop</w:t>
      </w:r>
      <w:r w:rsidR="00015CA7">
        <w:rPr>
          <w:lang w:val="en-GB"/>
        </w:rPr>
        <w:t>,</w:t>
      </w:r>
      <w:r>
        <w:rPr>
          <w:lang w:val="en-GB"/>
        </w:rPr>
        <w:t xml:space="preserve"> </w:t>
      </w:r>
      <w:r w:rsidR="00015CA7">
        <w:rPr>
          <w:lang w:val="en-GB"/>
        </w:rPr>
        <w:t xml:space="preserve">aid in the development of microbial consortia to push out disease associated microorganisms from a gut or </w:t>
      </w:r>
      <w:proofErr w:type="spellStart"/>
      <w:r w:rsidR="00015CA7">
        <w:rPr>
          <w:lang w:val="en-GB"/>
        </w:rPr>
        <w:t>tumor</w:t>
      </w:r>
      <w:proofErr w:type="spellEnd"/>
      <w:r w:rsidR="00015CA7">
        <w:rPr>
          <w:lang w:val="en-GB"/>
        </w:rPr>
        <w:t>, identify targets for vaccines or target</w:t>
      </w:r>
      <w:r w:rsidR="00945518">
        <w:rPr>
          <w:lang w:val="en-GB"/>
        </w:rPr>
        <w:t>s for therapies which reduce the amount of certain microorganisms</w:t>
      </w:r>
      <w:r w:rsidR="00FE229D">
        <w:rPr>
          <w:lang w:val="en-GB"/>
        </w:rPr>
        <w:t>,</w:t>
      </w:r>
      <w:r w:rsidR="00945518">
        <w:rPr>
          <w:lang w:val="en-GB"/>
        </w:rPr>
        <w:t xml:space="preserve"> such as antibiotics or phage-based therapy</w:t>
      </w:r>
      <w:r w:rsidR="00001F06">
        <w:rPr>
          <w:lang w:val="en-GB"/>
        </w:rPr>
        <w:t xml:space="preserve"> </w:t>
      </w:r>
      <w:r>
        <w:rPr>
          <w:lang w:val="en-GB"/>
        </w:rPr>
        <w:fldChar w:fldCharType="begin"/>
      </w:r>
      <w:r w:rsidR="00D07096">
        <w:rPr>
          <w:lang w:val="en-GB"/>
        </w:rPr>
        <w:instrText xml:space="preserve"> ADDIN ZOTERO_ITEM CSL_CITATION {"citationID":"IpecWXDg","properties":{"formattedCitation":"\\super 8\\nosupersub{}","plainCitation":"8","noteIndex":0},"citationItems":[{"id":175,"uris":["http://zotero.org/users/local/0zqklVfX/items/IYIUZBIJ"],"itemData":{"id":175,"type":"article-journal","abstract":"Microbiome data should be incorporated into the prevention, diagnosis, and treatment of colon cancer\n          , \n            The human microbiota is the collection of microorganisms—bacteria, archaea, viruses, fungi, protozoa, and helminths—that populate the human body. They are emerging as an important feature of human health and disease. Currently, access to the genomic data of human cells and of microbiota (microbiomes) is more affordable and accessible than ever before. A major challenge is to unravel how we integrate microbiome data into precision medicine approaches for the prevention, diagnosis, and treatment of diseases such as cancer. The gastrointestinal (GI) tract is densely populated with microorganisms. Colorectal cancer (CRC) is the third most prevalent cancer worldwide. It is increasing in individuals less than 50 years old and is associated with specific dietary factors and eating patterns that affect the gut microbiota. Therefore, CRC seems ripe for microbiome-based prevention, diagnostics, and therapeutics.","container-title":"Science","DOI":"10.1126/science.aaw2367","ISSN":"0036-8075, 1095-9203","issue":"6446","journalAbbreviation":"Science","language":"en","page":"1133-1135","source":"DOI.org (Crossref)","title":"The gut microbiota and colon cancer","volume":"364","author":[{"family":"Garrett","given":"Wendy S."}],"issued":{"date-parts":[["2019",6,21]]}}}],"schema":"https://github.com/citation-style-language/schema/raw/master/csl-citation.json"} </w:instrText>
      </w:r>
      <w:r>
        <w:rPr>
          <w:lang w:val="en-GB"/>
        </w:rPr>
        <w:fldChar w:fldCharType="separate"/>
      </w:r>
      <w:r w:rsidR="00D07096" w:rsidRPr="00D07096">
        <w:rPr>
          <w:rFonts w:ascii="Calibri" w:hAnsi="Calibri" w:cs="Calibri"/>
          <w:szCs w:val="24"/>
          <w:vertAlign w:val="superscript"/>
        </w:rPr>
        <w:t>8</w:t>
      </w:r>
      <w:r>
        <w:rPr>
          <w:lang w:val="en-GB"/>
        </w:rPr>
        <w:fldChar w:fldCharType="end"/>
      </w:r>
      <w:r w:rsidR="009A3AB9">
        <w:rPr>
          <w:lang w:val="en-GB"/>
        </w:rPr>
        <w:t>.</w:t>
      </w:r>
      <w:r w:rsidR="00666EBF">
        <w:rPr>
          <w:lang w:val="en-GB"/>
        </w:rPr>
        <w:t xml:space="preserve"> </w:t>
      </w:r>
      <w:r w:rsidR="00945518">
        <w:rPr>
          <w:lang w:val="en-GB"/>
        </w:rPr>
        <w:t xml:space="preserve">Finally, such methods </w:t>
      </w:r>
      <w:r w:rsidR="00015CA7">
        <w:rPr>
          <w:lang w:val="en-GB"/>
        </w:rPr>
        <w:t>could also be used to identify biomarkers and</w:t>
      </w:r>
      <w:r w:rsidR="00666EBF">
        <w:rPr>
          <w:lang w:val="en-GB"/>
        </w:rPr>
        <w:t xml:space="preserve"> predict cancer versus normal samples</w:t>
      </w:r>
      <w:r w:rsidR="00015CA7">
        <w:rPr>
          <w:lang w:val="en-GB"/>
        </w:rPr>
        <w:t>.</w:t>
      </w:r>
    </w:p>
    <w:p w14:paraId="54C7C347" w14:textId="1AF6C6F2" w:rsidR="00583DA1" w:rsidRDefault="00583DA1">
      <w:pPr>
        <w:rPr>
          <w:lang w:val="en-GB"/>
        </w:rPr>
      </w:pPr>
      <w:r>
        <w:rPr>
          <w:lang w:val="en-GB"/>
        </w:rPr>
        <w:t xml:space="preserve">As stated, there are not a lot of studies which directly identify the relation between host and microbial omics data, and certainly not how both datatypes relate to patient phenotype. As host multi-omics integration for cancer diagnostics is already a thriving field, one promising direction could be to use host multi-omics integration methods for holo- omics data. As holo- omics data generates highly complex data sets which require feature reduction </w:t>
      </w:r>
      <w:r>
        <w:rPr>
          <w:lang w:val="en-GB"/>
        </w:rPr>
        <w:fldChar w:fldCharType="begin"/>
      </w:r>
      <w:r w:rsidR="00DD56C8">
        <w:rPr>
          <w:lang w:val="en-GB"/>
        </w:rPr>
        <w:instrText xml:space="preserve"> ADDIN ZOTERO_ITEM CSL_CITATION {"citationID":"SVtd1iTp","properties":{"formattedCitation":"\\super 21\\nosupersub{}","plainCitation":"21","noteIndex":0},"citationItems":[{"id":198,"uris":["http://zotero.org/users/local/0zqklVfX/items/77LDB32E"],"itemData":{"id":198,"type":"article-journal","abstract":"Research on animal–microbiota interactions has become a central topic in biological sciences because of its relevance to basic eco-evolutionary processes and applied questions in agriculture and health. However, animal hosts and their associated microbial communities are still seldom studied in a systemic fashion. Hologenomics, the integrated study of the genetic features of a eukaryotic host alongside that of its associated microbes, is becoming a feasible — yet still underexploited — approach that overcomes this limitation. Acknowledging the biological and genetic properties of both hosts and microbes, along with the advantages and disadvantages of implemented techniques, is essential for designing optimal studies that enable some of the major questions in biology to be addressed.","container-title":"Nature Reviews Genetics","DOI":"10.1038/s41576-021-00421-0","ISSN":"1471-0064","journalAbbreviation":"Nat Rev Genet","language":"en","license":"2021 Springer Nature Limited","note":"publisher: Nature Publishing Group","page":"1-17","source":"www.nature.com","title":"Disentangling host–microbiota complexity through hologenomics","author":[{"family":"Alberdi","given":"Antton"},{"family":"Andersen","given":"Sandra B."},{"family":"Limborg","given":"Morten T."},{"family":"Dunn","given":"Robert R."},{"family":"Gilbert","given":"M. Thomas P."}],"issued":{"date-parts":[["2021",10,21]]}}}],"schema":"https://github.com/citation-style-language/schema/raw/master/csl-citation.json"} </w:instrText>
      </w:r>
      <w:r>
        <w:rPr>
          <w:lang w:val="en-GB"/>
        </w:rPr>
        <w:fldChar w:fldCharType="separate"/>
      </w:r>
      <w:r w:rsidR="00DD56C8" w:rsidRPr="00DD56C8">
        <w:rPr>
          <w:rFonts w:ascii="Calibri" w:hAnsi="Calibri" w:cs="Calibri"/>
          <w:szCs w:val="24"/>
          <w:vertAlign w:val="superscript"/>
        </w:rPr>
        <w:t>21</w:t>
      </w:r>
      <w:r>
        <w:rPr>
          <w:lang w:val="en-GB"/>
        </w:rPr>
        <w:fldChar w:fldCharType="end"/>
      </w:r>
      <w:r>
        <w:rPr>
          <w:lang w:val="en-GB"/>
        </w:rPr>
        <w:t>, a possible method which can be investigated is the use of autoencoders to reduce and extract features which could then possibly be used in a predictor model.</w:t>
      </w:r>
    </w:p>
    <w:p w14:paraId="07BBBB84" w14:textId="5DAB984B" w:rsidR="006454AC" w:rsidRDefault="00583DA1" w:rsidP="006454AC">
      <w:pPr>
        <w:pStyle w:val="Heading2"/>
        <w:rPr>
          <w:lang w:val="en-GB"/>
        </w:rPr>
      </w:pPr>
      <w:r>
        <w:rPr>
          <w:lang w:val="en-GB"/>
        </w:rPr>
        <w:t>Towards a holistic view</w:t>
      </w:r>
    </w:p>
    <w:p w14:paraId="07B90CBA" w14:textId="2A916B8F" w:rsidR="006454AC" w:rsidRDefault="006454AC" w:rsidP="006454AC">
      <w:pPr>
        <w:rPr>
          <w:lang w:val="en-GB"/>
        </w:rPr>
      </w:pPr>
      <w:r>
        <w:rPr>
          <w:lang w:val="en-GB"/>
        </w:rPr>
        <w:t>T</w:t>
      </w:r>
      <w:r w:rsidR="00012BDF">
        <w:rPr>
          <w:lang w:val="en-GB"/>
        </w:rPr>
        <w:t>his paper aims to integrate host and metagenomics data for cancer patients in order to investigate whether a holistic view provides additional insights for cancer diagnostics versus simply using the layers individually.</w:t>
      </w:r>
      <w:r>
        <w:rPr>
          <w:lang w:val="en-GB"/>
        </w:rPr>
        <w:t xml:space="preserve"> Specifically, it aims to investigate the question:</w:t>
      </w:r>
    </w:p>
    <w:p w14:paraId="34298E69" w14:textId="1C266338" w:rsidR="006454AC" w:rsidRPr="006454AC" w:rsidRDefault="006454AC" w:rsidP="006454AC">
      <w:pPr>
        <w:rPr>
          <w:lang w:val="en-GB"/>
        </w:rPr>
      </w:pPr>
      <w:r w:rsidRPr="006454AC">
        <w:rPr>
          <w:lang w:val="en-GB"/>
        </w:rPr>
        <w:lastRenderedPageBreak/>
        <w:t>Does integrating host and microbial omics data provide additional power over using the individual layers?</w:t>
      </w:r>
    </w:p>
    <w:p w14:paraId="7A62F0A1" w14:textId="77777777" w:rsidR="00034630" w:rsidRDefault="006454AC" w:rsidP="006454AC">
      <w:pPr>
        <w:rPr>
          <w:lang w:val="en-GB"/>
        </w:rPr>
      </w:pPr>
      <w:r>
        <w:rPr>
          <w:lang w:val="en-GB"/>
        </w:rPr>
        <w:t xml:space="preserve">In this case, power refers to </w:t>
      </w:r>
      <w:r w:rsidRPr="006454AC">
        <w:rPr>
          <w:lang w:val="en-GB"/>
        </w:rPr>
        <w:t>prediction performance</w:t>
      </w:r>
      <w:r>
        <w:rPr>
          <w:lang w:val="en-GB"/>
        </w:rPr>
        <w:t>.</w:t>
      </w:r>
      <w:r w:rsidR="00034630">
        <w:rPr>
          <w:lang w:val="en-GB"/>
        </w:rPr>
        <w:t xml:space="preserve"> </w:t>
      </w:r>
    </w:p>
    <w:p w14:paraId="648CCF02" w14:textId="6701CB52" w:rsidR="00012BDF" w:rsidRDefault="00034630" w:rsidP="006454AC">
      <w:pPr>
        <w:rPr>
          <w:lang w:val="en-GB"/>
        </w:rPr>
      </w:pPr>
      <w:r>
        <w:rPr>
          <w:lang w:val="en-GB"/>
        </w:rPr>
        <w:t xml:space="preserve">To this end, we </w:t>
      </w:r>
      <w:r w:rsidR="006A7205">
        <w:rPr>
          <w:lang w:val="en-GB"/>
        </w:rPr>
        <w:t xml:space="preserve">leveraged the powerful TCGA and TCMA data sets and </w:t>
      </w:r>
      <w:r>
        <w:rPr>
          <w:lang w:val="en-GB"/>
        </w:rPr>
        <w:t xml:space="preserve">integrated gene expression and microbial genus abundance data for </w:t>
      </w:r>
      <w:r w:rsidRPr="00034630">
        <w:rPr>
          <w:lang w:val="en-GB"/>
        </w:rPr>
        <w:t>colon adenocarcinoma</w:t>
      </w:r>
      <w:r>
        <w:rPr>
          <w:lang w:val="en-GB"/>
        </w:rPr>
        <w:t xml:space="preserve"> (</w:t>
      </w:r>
      <w:r w:rsidRPr="00034630">
        <w:rPr>
          <w:lang w:val="en-GB"/>
        </w:rPr>
        <w:t xml:space="preserve">COAD), </w:t>
      </w:r>
      <w:proofErr w:type="spellStart"/>
      <w:r w:rsidRPr="00034630">
        <w:rPr>
          <w:lang w:val="en-GB"/>
        </w:rPr>
        <w:t>esophageal</w:t>
      </w:r>
      <w:proofErr w:type="spellEnd"/>
      <w:r w:rsidRPr="00034630">
        <w:rPr>
          <w:lang w:val="en-GB"/>
        </w:rPr>
        <w:t xml:space="preserve"> carcinoma</w:t>
      </w:r>
      <w:r>
        <w:rPr>
          <w:lang w:val="en-GB"/>
        </w:rPr>
        <w:t xml:space="preserve"> (</w:t>
      </w:r>
      <w:r w:rsidRPr="00034630">
        <w:rPr>
          <w:lang w:val="en-GB"/>
        </w:rPr>
        <w:t>ESCA), head and neck squamous carcinoma</w:t>
      </w:r>
      <w:r>
        <w:rPr>
          <w:lang w:val="en-GB"/>
        </w:rPr>
        <w:t xml:space="preserve"> (</w:t>
      </w:r>
      <w:r w:rsidRPr="00034630">
        <w:rPr>
          <w:lang w:val="en-GB"/>
        </w:rPr>
        <w:t>HNSC) and stomach adenocarcinoma</w:t>
      </w:r>
      <w:r>
        <w:rPr>
          <w:lang w:val="en-GB"/>
        </w:rPr>
        <w:t xml:space="preserve"> (</w:t>
      </w:r>
      <w:r w:rsidRPr="00034630">
        <w:rPr>
          <w:lang w:val="en-GB"/>
        </w:rPr>
        <w:t>STAD</w:t>
      </w:r>
      <w:r>
        <w:rPr>
          <w:lang w:val="en-GB"/>
        </w:rPr>
        <w:t>).</w:t>
      </w:r>
      <w:r w:rsidR="00A144F4">
        <w:rPr>
          <w:lang w:val="en-GB"/>
        </w:rPr>
        <w:t xml:space="preserve"> We then investigated whether the integration of each layer provides additional prediction performance for </w:t>
      </w:r>
      <w:proofErr w:type="spellStart"/>
      <w:r w:rsidR="00A144F4">
        <w:rPr>
          <w:lang w:val="en-GB"/>
        </w:rPr>
        <w:t>tumor</w:t>
      </w:r>
      <w:proofErr w:type="spellEnd"/>
      <w:r w:rsidR="00A144F4">
        <w:rPr>
          <w:lang w:val="en-GB"/>
        </w:rPr>
        <w:t xml:space="preserve"> versus normal prediction and stage prediction then when simply using the individual layers separately.</w:t>
      </w:r>
    </w:p>
    <w:p w14:paraId="15649D0A" w14:textId="0DD0ED60" w:rsidR="007C6931" w:rsidRDefault="00012BDF" w:rsidP="00FA4AF9">
      <w:pPr>
        <w:pStyle w:val="Heading1"/>
        <w:rPr>
          <w:lang w:val="en-GB"/>
        </w:rPr>
      </w:pPr>
      <w:r>
        <w:rPr>
          <w:lang w:val="en-GB"/>
        </w:rPr>
        <w:t>Materials and methods</w:t>
      </w:r>
    </w:p>
    <w:p w14:paraId="232F314D" w14:textId="7EDF738E" w:rsidR="00012BDF" w:rsidRDefault="00012BDF" w:rsidP="00012BDF">
      <w:pPr>
        <w:pStyle w:val="Heading2"/>
        <w:rPr>
          <w:lang w:val="en-GB"/>
        </w:rPr>
      </w:pPr>
      <w:r>
        <w:rPr>
          <w:lang w:val="en-GB"/>
        </w:rPr>
        <w:t>Data</w:t>
      </w:r>
    </w:p>
    <w:p w14:paraId="5D6119CD" w14:textId="27D35906" w:rsidR="00012BDF" w:rsidRDefault="003D26BF" w:rsidP="00012BDF">
      <w:pPr>
        <w:rPr>
          <w:lang w:val="en-GB"/>
        </w:rPr>
      </w:pPr>
      <w:r>
        <w:rPr>
          <w:lang w:val="en-GB"/>
        </w:rPr>
        <w:t>In order to explore the performance of cancer diagnostics in a holistic context,</w:t>
      </w:r>
      <w:r w:rsidRPr="003D26BF">
        <w:t xml:space="preserve"> </w:t>
      </w:r>
      <w:r>
        <w:rPr>
          <w:lang w:val="en-GB"/>
        </w:rPr>
        <w:t xml:space="preserve">we integrated microbial data mined from patient </w:t>
      </w:r>
      <w:proofErr w:type="spellStart"/>
      <w:r>
        <w:rPr>
          <w:lang w:val="en-GB"/>
        </w:rPr>
        <w:t>tumor</w:t>
      </w:r>
      <w:proofErr w:type="spellEnd"/>
      <w:r>
        <w:rPr>
          <w:lang w:val="en-GB"/>
        </w:rPr>
        <w:t xml:space="preserve"> samples and host omics data mined from these same samples. We then only keep samples for which there is both microbial, as well as host omics data.</w:t>
      </w:r>
    </w:p>
    <w:p w14:paraId="1C1ED926" w14:textId="3E84FC0D" w:rsidR="00012BDF" w:rsidRPr="00012BDF" w:rsidRDefault="00012BDF" w:rsidP="00012BDF">
      <w:pPr>
        <w:pStyle w:val="Heading3"/>
        <w:rPr>
          <w:lang w:val="en-GB"/>
        </w:rPr>
      </w:pPr>
      <w:r>
        <w:rPr>
          <w:lang w:val="en-GB"/>
        </w:rPr>
        <w:t>Microbial data</w:t>
      </w:r>
    </w:p>
    <w:p w14:paraId="1D8BB515" w14:textId="3EC2E365" w:rsidR="00F146E8" w:rsidRDefault="00056827">
      <w:pPr>
        <w:rPr>
          <w:lang w:val="en-GB"/>
        </w:rPr>
      </w:pPr>
      <w:r>
        <w:rPr>
          <w:lang w:val="en-GB"/>
        </w:rPr>
        <w:t xml:space="preserve">This study </w:t>
      </w:r>
      <w:r w:rsidR="00127277">
        <w:rPr>
          <w:lang w:val="en-GB"/>
        </w:rPr>
        <w:t>used a statistical model to isolate tissue embedded microbial species present in TCGA samples from contaminants</w:t>
      </w:r>
      <w:r>
        <w:rPr>
          <w:lang w:val="en-GB"/>
        </w:rPr>
        <w:t xml:space="preserve"> to obtain this data set, which was then subsequently validated</w:t>
      </w:r>
      <w:r w:rsidR="000A541B">
        <w:rPr>
          <w:lang w:val="en-GB"/>
        </w:rPr>
        <w:t xml:space="preserve"> using 16S rRNA amplicon sequencing on the original tissue samples</w:t>
      </w:r>
      <w:r w:rsidR="00127277">
        <w:rPr>
          <w:lang w:val="en-GB"/>
        </w:rPr>
        <w:t>.</w:t>
      </w:r>
      <w:r w:rsidR="00924E55">
        <w:rPr>
          <w:lang w:val="en-GB"/>
        </w:rPr>
        <w:t xml:space="preserve"> The resulting TCMA database</w:t>
      </w:r>
      <w:r w:rsidR="001F73E5">
        <w:rPr>
          <w:lang w:val="en-GB"/>
        </w:rPr>
        <w:t xml:space="preserve"> accessible through the TCMA portal </w:t>
      </w:r>
      <w:r w:rsidR="001F73E5">
        <w:rPr>
          <w:rStyle w:val="FootnoteReference"/>
          <w:lang w:val="en-GB"/>
        </w:rPr>
        <w:footnoteReference w:id="1"/>
      </w:r>
      <w:r w:rsidR="001F73E5">
        <w:rPr>
          <w:lang w:val="en-GB"/>
        </w:rPr>
        <w:t xml:space="preserve">, </w:t>
      </w:r>
      <w:r w:rsidR="00924E55">
        <w:rPr>
          <w:lang w:val="en-GB"/>
        </w:rPr>
        <w:t xml:space="preserve">contains tissue resident microbial </w:t>
      </w:r>
      <w:r w:rsidR="002232B3">
        <w:rPr>
          <w:lang w:val="en-GB"/>
        </w:rPr>
        <w:t xml:space="preserve">relative </w:t>
      </w:r>
      <w:r w:rsidR="00924E55">
        <w:rPr>
          <w:lang w:val="en-GB"/>
        </w:rPr>
        <w:t>abundance data for 3689 unique samples and 1772 patients across 21 anatomic sites and 5 TCGA projects (HNSC, ESCA, STAD, COAD and READ).</w:t>
      </w:r>
    </w:p>
    <w:p w14:paraId="2BAA1839" w14:textId="0F07C04D" w:rsidR="00993FD7" w:rsidRDefault="00993FD7">
      <w:pPr>
        <w:rPr>
          <w:lang w:val="en-GB"/>
        </w:rPr>
      </w:pPr>
      <w:r>
        <w:rPr>
          <w:lang w:val="en-GB"/>
        </w:rPr>
        <w:t>The highest specification that this data set reaches is the genus level. As the phylum level and everything above genus is less specific than the genus level, we decided to continue with only the genus taxonomical abundance data</w:t>
      </w:r>
      <w:r w:rsidR="00C44700">
        <w:rPr>
          <w:lang w:val="en-GB"/>
        </w:rPr>
        <w:t>, which contains 221 taxa</w:t>
      </w:r>
      <w:r>
        <w:rPr>
          <w:lang w:val="en-GB"/>
        </w:rPr>
        <w:t>.</w:t>
      </w:r>
      <w:r w:rsidR="009F76FD">
        <w:rPr>
          <w:lang w:val="en-GB"/>
        </w:rPr>
        <w:t xml:space="preserve"> The following is a visual exploration of the abundance data.</w:t>
      </w:r>
      <w:r w:rsidR="00012BDF">
        <w:rPr>
          <w:lang w:val="en-GB"/>
        </w:rPr>
        <w:t xml:space="preserve"> There are 119 nonzero features among the overlapped samples, which can be seen below.</w:t>
      </w:r>
      <w:r w:rsidR="00883479">
        <w:rPr>
          <w:lang w:val="en-GB"/>
        </w:rPr>
        <w:t xml:space="preserve"> [insert better picture]</w:t>
      </w:r>
    </w:p>
    <w:p w14:paraId="45481486" w14:textId="093B6233" w:rsidR="00012BDF" w:rsidRDefault="00012BDF">
      <w:pPr>
        <w:rPr>
          <w:lang w:val="en-GB"/>
        </w:rPr>
      </w:pPr>
      <w:r>
        <w:rPr>
          <w:noProof/>
        </w:rPr>
        <w:drawing>
          <wp:inline distT="0" distB="0" distL="0" distR="0" wp14:anchorId="2624A862" wp14:editId="2E766071">
            <wp:extent cx="5875650" cy="117512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5875650" cy="1175129"/>
                    </a:xfrm>
                    <a:prstGeom prst="rect">
                      <a:avLst/>
                    </a:prstGeom>
                    <a:noFill/>
                    <a:ln>
                      <a:noFill/>
                    </a:ln>
                  </pic:spPr>
                </pic:pic>
              </a:graphicData>
            </a:graphic>
          </wp:inline>
        </w:drawing>
      </w:r>
    </w:p>
    <w:p w14:paraId="5A7B8D40" w14:textId="545EF120" w:rsidR="00012BDF" w:rsidRPr="00012BDF" w:rsidRDefault="00012BDF" w:rsidP="00012BDF">
      <w:pPr>
        <w:pStyle w:val="Heading3"/>
      </w:pPr>
      <w:r w:rsidRPr="00012BDF">
        <w:t xml:space="preserve">Host </w:t>
      </w:r>
      <w:r w:rsidR="003D26BF" w:rsidRPr="00012BDF">
        <w:t>omics</w:t>
      </w:r>
      <w:r w:rsidRPr="00012BDF">
        <w:t xml:space="preserve"> data</w:t>
      </w:r>
    </w:p>
    <w:p w14:paraId="3B008E79" w14:textId="2C7C7F98" w:rsidR="003956A4" w:rsidRDefault="005D0415">
      <w:pPr>
        <w:rPr>
          <w:lang w:val="en-GB"/>
        </w:rPr>
      </w:pPr>
      <w:r>
        <w:rPr>
          <w:lang w:val="en-GB"/>
        </w:rPr>
        <w:t xml:space="preserve">The host omics data </w:t>
      </w:r>
      <w:r w:rsidR="0069665A">
        <w:rPr>
          <w:lang w:val="en-GB"/>
        </w:rPr>
        <w:t>consisted of a T</w:t>
      </w:r>
      <w:r>
        <w:rPr>
          <w:lang w:val="en-GB"/>
        </w:rPr>
        <w:t>CGA data set</w:t>
      </w:r>
      <w:r w:rsidR="00180923">
        <w:rPr>
          <w:lang w:val="en-GB"/>
        </w:rPr>
        <w:t xml:space="preserve"> which was extracted and processed by a prior study </w:t>
      </w:r>
      <w:r w:rsidR="00180923">
        <w:rPr>
          <w:lang w:val="en-GB"/>
        </w:rPr>
        <w:fldChar w:fldCharType="begin"/>
      </w:r>
      <w:r w:rsidR="00DD56C8">
        <w:rPr>
          <w:lang w:val="en-GB"/>
        </w:rPr>
        <w:instrText xml:space="preserve"> ADDIN ZOTERO_ITEM CSL_CITATION {"citationID":"Pnib6e8a","properties":{"formattedCitation":"\\super 23\\nosupersub{}","plainCitation":"23","noteIndex":0},"citationItems":[{"id":208,"uris":["http://zotero.org/users/local/0zqklVfX/items/W4WQMWNV"],"itemData":{"id":208,"type":"article-journal","abstract":"The Cancer Genome Atlas (TCGA) has profiled over 10,000 tumors across 33 different cancer-types for many genomic features, including gene expression levels. Gene expression measurements capture substantial information about the state of each tumor. Certain classes of deep neural network models are capable of learning a meaningful latent space. Such a latent space could be used to explore and generate hypothetical gene expression profiles under various types of molecular and genetic perturbation. For example, one might wish to use such a model to predict a tumor’s response to specific therapies or to characterize complex gene expression activations existing in differential proportions in different tumors. Variational autoencoders (VAEs) are a deep neural network approach capable of generating meaningful latent spaces for image and text data. In this work, we sought to determine the extent to which a VAE can be trained to model cancer gene expression, and whether or not such a VAE would capture biologically-relevant features. In the following report, we introduce a VAE trained on TCGA pan-cancer RNA-seq data, identify specific patterns in the VAE encoded features, and discuss potential merits of the approach. We name our method “Tybalt” after an instigative, cat-like character who sets a cascading chain of events in motion in Shakespeare’s “Romeo and Juliet”. From a systems biology perspective, Tybalt could one day aid in cancer stratification or predict specific activated expression patterns that would result from genetic changes or treatment effects.","container-title":"Pacific Symposium on Biocomputing. Pacific Symposium on Biocomputing","ISSN":"2335-6936","journalAbbreviation":"Pac Symp Biocomput","note":"PMID: 29218871\nPMCID: PMC5728678","page":"80-91","source":"PubMed Central","title":"Extracting a biologically relevant latent space from cancer transcriptomes with variational autoencoders","volume":"23","author":[{"family":"Way","given":"Gregory P."},{"family":"Greene","given":"Casey S."}],"issued":{"date-parts":[["2018"]]}}}],"schema":"https://github.com/citation-style-language/schema/raw/master/csl-citation.json"} </w:instrText>
      </w:r>
      <w:r w:rsidR="00180923">
        <w:rPr>
          <w:lang w:val="en-GB"/>
        </w:rPr>
        <w:fldChar w:fldCharType="separate"/>
      </w:r>
      <w:r w:rsidR="00DD56C8" w:rsidRPr="00DD56C8">
        <w:rPr>
          <w:rFonts w:ascii="Calibri" w:hAnsi="Calibri" w:cs="Calibri"/>
          <w:szCs w:val="24"/>
          <w:vertAlign w:val="superscript"/>
        </w:rPr>
        <w:t>23</w:t>
      </w:r>
      <w:r w:rsidR="00180923">
        <w:rPr>
          <w:lang w:val="en-GB"/>
        </w:rPr>
        <w:fldChar w:fldCharType="end"/>
      </w:r>
      <w:r w:rsidR="00180923">
        <w:rPr>
          <w:lang w:val="en-GB"/>
        </w:rPr>
        <w:t>.</w:t>
      </w:r>
      <w:r w:rsidR="006463D9">
        <w:rPr>
          <w:lang w:val="en-GB"/>
        </w:rPr>
        <w:t xml:space="preserve"> This data set consists of level 3 RNA-</w:t>
      </w:r>
      <w:proofErr w:type="spellStart"/>
      <w:r w:rsidR="006463D9">
        <w:rPr>
          <w:lang w:val="en-GB"/>
        </w:rPr>
        <w:t>seq</w:t>
      </w:r>
      <w:proofErr w:type="spellEnd"/>
      <w:r w:rsidR="006463D9">
        <w:rPr>
          <w:lang w:val="en-GB"/>
        </w:rPr>
        <w:t xml:space="preserve"> gene expression data for 9732 </w:t>
      </w:r>
      <w:proofErr w:type="spellStart"/>
      <w:r w:rsidR="006463D9">
        <w:rPr>
          <w:lang w:val="en-GB"/>
        </w:rPr>
        <w:t>tumors</w:t>
      </w:r>
      <w:proofErr w:type="spellEnd"/>
      <w:r w:rsidR="006463D9">
        <w:rPr>
          <w:lang w:val="en-GB"/>
        </w:rPr>
        <w:t xml:space="preserve"> and 727 </w:t>
      </w:r>
      <w:proofErr w:type="spellStart"/>
      <w:r w:rsidR="006463D9">
        <w:rPr>
          <w:lang w:val="en-GB"/>
        </w:rPr>
        <w:t>tumor</w:t>
      </w:r>
      <w:proofErr w:type="spellEnd"/>
      <w:r w:rsidR="006463D9">
        <w:rPr>
          <w:lang w:val="en-GB"/>
        </w:rPr>
        <w:t xml:space="preserve"> adjacent normal samples</w:t>
      </w:r>
      <w:r w:rsidR="006463D9">
        <w:t xml:space="preserve"> encompassing 33 total different cancer types</w:t>
      </w:r>
      <w:r w:rsidR="006463D9">
        <w:rPr>
          <w:lang w:val="en-GB"/>
        </w:rPr>
        <w:t xml:space="preserve">. </w:t>
      </w:r>
      <w:r w:rsidR="007439D7">
        <w:rPr>
          <w:lang w:val="en-GB"/>
        </w:rPr>
        <w:t>The TCGA RNA-</w:t>
      </w:r>
      <w:proofErr w:type="spellStart"/>
      <w:r w:rsidR="007439D7">
        <w:rPr>
          <w:lang w:val="en-GB"/>
        </w:rPr>
        <w:t>seq</w:t>
      </w:r>
      <w:proofErr w:type="spellEnd"/>
      <w:r w:rsidR="007439D7">
        <w:rPr>
          <w:lang w:val="en-GB"/>
        </w:rPr>
        <w:t xml:space="preserve"> was obtained using the UCSC </w:t>
      </w:r>
      <w:proofErr w:type="spellStart"/>
      <w:r w:rsidR="007439D7">
        <w:rPr>
          <w:lang w:val="en-GB"/>
        </w:rPr>
        <w:t>Xena</w:t>
      </w:r>
      <w:proofErr w:type="spellEnd"/>
      <w:r w:rsidR="007439D7">
        <w:rPr>
          <w:lang w:val="en-GB"/>
        </w:rPr>
        <w:t xml:space="preserve"> data browser on March 8, 2016. </w:t>
      </w:r>
      <w:r w:rsidR="006463D9">
        <w:rPr>
          <w:lang w:val="en-GB"/>
        </w:rPr>
        <w:t>The expression values of these genes consists of a pre-processed and batch-corrected</w:t>
      </w:r>
      <w:r w:rsidR="003956A4">
        <w:rPr>
          <w:lang w:val="en-GB"/>
        </w:rPr>
        <w:t xml:space="preserve"> </w:t>
      </w:r>
      <w:r w:rsidR="006463D9">
        <w:rPr>
          <w:lang w:val="en-GB"/>
        </w:rPr>
        <w:t xml:space="preserve">gene abundance x sample matrix with RSEM values normalized using a </w:t>
      </w:r>
      <w:r w:rsidR="003956A4" w:rsidRPr="003956A4">
        <w:rPr>
          <w:lang w:val="en-GB"/>
        </w:rPr>
        <w:t xml:space="preserve">log2(FPKM + 1) </w:t>
      </w:r>
      <w:r w:rsidR="006463D9">
        <w:rPr>
          <w:lang w:val="en-GB"/>
        </w:rPr>
        <w:t xml:space="preserve">transformation. </w:t>
      </w:r>
      <w:r w:rsidR="007439D7">
        <w:t xml:space="preserve">The </w:t>
      </w:r>
      <w:r w:rsidR="007439D7" w:rsidRPr="007439D7">
        <w:t xml:space="preserve">gene expression values of the 5000 </w:t>
      </w:r>
      <w:r w:rsidR="007439D7" w:rsidRPr="007439D7">
        <w:lastRenderedPageBreak/>
        <w:t xml:space="preserve">genes with the highest variability </w:t>
      </w:r>
      <w:r w:rsidR="007439D7">
        <w:t xml:space="preserve">were used, </w:t>
      </w:r>
      <w:r w:rsidR="007439D7" w:rsidRPr="007439D7">
        <w:t xml:space="preserve">as evaluated using Median Absolute Deviation (MAD). </w:t>
      </w:r>
      <w:r w:rsidR="007439D7">
        <w:t xml:space="preserve"> </w:t>
      </w:r>
      <w:r w:rsidR="006463D9">
        <w:rPr>
          <w:lang w:val="en-GB"/>
        </w:rPr>
        <w:t>Finally, the expression values are also min – max scaled.</w:t>
      </w:r>
    </w:p>
    <w:p w14:paraId="3D97BD46" w14:textId="64CCBCA7" w:rsidR="00413B7B" w:rsidRDefault="00413B7B">
      <w:pPr>
        <w:rPr>
          <w:lang w:val="en-GB"/>
        </w:rPr>
      </w:pPr>
      <w:r>
        <w:rPr>
          <w:lang w:val="en-GB"/>
        </w:rPr>
        <w:t xml:space="preserve">In </w:t>
      </w:r>
      <w:r w:rsidR="00AB72D0">
        <w:rPr>
          <w:lang w:val="en-GB"/>
        </w:rPr>
        <w:t>further experiments involving the gene expression-only modality</w:t>
      </w:r>
      <w:r>
        <w:rPr>
          <w:lang w:val="en-GB"/>
        </w:rPr>
        <w:t>, we only used</w:t>
      </w:r>
      <w:r w:rsidR="00AB72D0">
        <w:rPr>
          <w:lang w:val="en-GB"/>
        </w:rPr>
        <w:t xml:space="preserve"> those patients for which both host omics, as well as microbial data was available.</w:t>
      </w:r>
    </w:p>
    <w:p w14:paraId="10852F97" w14:textId="00B9839C" w:rsidR="007439D7" w:rsidRDefault="007439D7" w:rsidP="007439D7">
      <w:pPr>
        <w:pStyle w:val="Heading3"/>
        <w:rPr>
          <w:lang w:val="en-GB"/>
        </w:rPr>
      </w:pPr>
      <w:r>
        <w:rPr>
          <w:lang w:val="en-GB"/>
        </w:rPr>
        <w:t>Clinical data</w:t>
      </w:r>
    </w:p>
    <w:p w14:paraId="52E2F0F7" w14:textId="269041DC" w:rsidR="003C4EBF" w:rsidRDefault="00E376C7" w:rsidP="003C4EBF">
      <w:pPr>
        <w:rPr>
          <w:lang w:val="en-GB"/>
        </w:rPr>
      </w:pPr>
      <w:r>
        <w:rPr>
          <w:lang w:val="en-GB"/>
        </w:rPr>
        <w:t xml:space="preserve">The clinical data was accessed using the </w:t>
      </w:r>
      <w:proofErr w:type="spellStart"/>
      <w:r>
        <w:rPr>
          <w:lang w:val="en-GB"/>
        </w:rPr>
        <w:t>Snaptron</w:t>
      </w:r>
      <w:proofErr w:type="spellEnd"/>
      <w:r>
        <w:rPr>
          <w:lang w:val="en-GB"/>
        </w:rPr>
        <w:t xml:space="preserve"> web server.</w:t>
      </w:r>
      <w:r w:rsidR="003C4EBF">
        <w:rPr>
          <w:lang w:val="en-GB"/>
        </w:rPr>
        <w:t xml:space="preserve"> We match the clinical data with the corresponding patient samples in order to obtain details for the </w:t>
      </w:r>
      <w:proofErr w:type="spellStart"/>
      <w:r w:rsidR="003C4EBF">
        <w:rPr>
          <w:lang w:val="en-GB"/>
        </w:rPr>
        <w:t>tumor</w:t>
      </w:r>
      <w:proofErr w:type="spellEnd"/>
      <w:r w:rsidR="003C4EBF">
        <w:rPr>
          <w:lang w:val="en-GB"/>
        </w:rPr>
        <w:t xml:space="preserve"> and stage endpoints.</w:t>
      </w:r>
      <w:r w:rsidR="003017B1">
        <w:rPr>
          <w:lang w:val="en-GB"/>
        </w:rPr>
        <w:t xml:space="preserve"> To determine whether a sample is </w:t>
      </w:r>
      <w:proofErr w:type="spellStart"/>
      <w:r w:rsidR="003017B1">
        <w:rPr>
          <w:lang w:val="en-GB"/>
        </w:rPr>
        <w:t>tumor</w:t>
      </w:r>
      <w:proofErr w:type="spellEnd"/>
      <w:r w:rsidR="003017B1">
        <w:rPr>
          <w:lang w:val="en-GB"/>
        </w:rPr>
        <w:t xml:space="preserve"> or normal, the sample type code</w:t>
      </w:r>
      <w:r w:rsidR="00C023E2">
        <w:rPr>
          <w:lang w:val="en-GB"/>
        </w:rPr>
        <w:t xml:space="preserve"> </w:t>
      </w:r>
      <w:r w:rsidR="00C023E2">
        <w:rPr>
          <w:rStyle w:val="FootnoteReference"/>
          <w:lang w:val="en-GB"/>
        </w:rPr>
        <w:footnoteReference w:id="2"/>
      </w:r>
      <w:r w:rsidR="003017B1">
        <w:rPr>
          <w:lang w:val="en-GB"/>
        </w:rPr>
        <w:t xml:space="preserve"> is used, where codes in the range 01 – 09 are </w:t>
      </w:r>
      <w:proofErr w:type="spellStart"/>
      <w:r w:rsidR="003017B1">
        <w:rPr>
          <w:lang w:val="en-GB"/>
        </w:rPr>
        <w:t>tumors</w:t>
      </w:r>
      <w:proofErr w:type="spellEnd"/>
      <w:r w:rsidR="003017B1">
        <w:rPr>
          <w:lang w:val="en-GB"/>
        </w:rPr>
        <w:t xml:space="preserve"> and those in the range 10 – 19 are normal samples</w:t>
      </w:r>
      <w:r w:rsidR="00C023E2">
        <w:rPr>
          <w:lang w:val="en-GB"/>
        </w:rPr>
        <w:t xml:space="preserve"> </w:t>
      </w:r>
      <w:r w:rsidR="00C023E2">
        <w:rPr>
          <w:rStyle w:val="FootnoteReference"/>
          <w:lang w:val="en-GB"/>
        </w:rPr>
        <w:footnoteReference w:id="3"/>
      </w:r>
      <w:r w:rsidR="003017B1">
        <w:rPr>
          <w:lang w:val="en-GB"/>
        </w:rPr>
        <w:t>. Th</w:t>
      </w:r>
      <w:r w:rsidR="00C023E2">
        <w:rPr>
          <w:lang w:val="en-GB"/>
        </w:rPr>
        <w:t>e</w:t>
      </w:r>
      <w:r w:rsidR="003017B1">
        <w:rPr>
          <w:lang w:val="en-GB"/>
        </w:rPr>
        <w:t xml:space="preserve"> stage clinical data is used to determine the </w:t>
      </w:r>
      <w:proofErr w:type="spellStart"/>
      <w:r w:rsidR="003017B1">
        <w:rPr>
          <w:lang w:val="en-GB"/>
        </w:rPr>
        <w:t>tumor</w:t>
      </w:r>
      <w:proofErr w:type="spellEnd"/>
      <w:r w:rsidR="003017B1">
        <w:rPr>
          <w:lang w:val="en-GB"/>
        </w:rPr>
        <w:t xml:space="preserve"> stage of each sample. Normal samples are considered as Stage 0.</w:t>
      </w:r>
    </w:p>
    <w:p w14:paraId="33BA573A" w14:textId="3AB807F5" w:rsidR="003D26BF" w:rsidRDefault="003D26BF" w:rsidP="003D26BF">
      <w:pPr>
        <w:pStyle w:val="Heading3"/>
        <w:rPr>
          <w:lang w:val="en-GB"/>
        </w:rPr>
      </w:pPr>
      <w:r>
        <w:rPr>
          <w:lang w:val="en-GB"/>
        </w:rPr>
        <w:t>Overlapped data</w:t>
      </w:r>
    </w:p>
    <w:p w14:paraId="41162057" w14:textId="67A47D86" w:rsidR="003D26BF" w:rsidRDefault="003D26BF" w:rsidP="003D26BF">
      <w:pPr>
        <w:rPr>
          <w:lang w:val="en-GB"/>
        </w:rPr>
      </w:pPr>
      <w:r>
        <w:rPr>
          <w:lang w:val="en-GB"/>
        </w:rPr>
        <w:t xml:space="preserve">In order to investigate the effects </w:t>
      </w:r>
      <w:r w:rsidR="003C4EBF">
        <w:rPr>
          <w:lang w:val="en-GB"/>
        </w:rPr>
        <w:t xml:space="preserve">of microbial data </w:t>
      </w:r>
      <w:r>
        <w:rPr>
          <w:lang w:val="en-GB"/>
        </w:rPr>
        <w:t xml:space="preserve">on cancer diagnostics, </w:t>
      </w:r>
      <w:r w:rsidR="003C4EBF">
        <w:rPr>
          <w:lang w:val="en-GB"/>
        </w:rPr>
        <w:t>we create an overlapped set samples for which there is both host- and microbial omics data in the above-described data sets.</w:t>
      </w:r>
    </w:p>
    <w:p w14:paraId="2C7077AA" w14:textId="3068104E" w:rsidR="00B373E4" w:rsidRDefault="00B373E4" w:rsidP="003D26BF">
      <w:pPr>
        <w:rPr>
          <w:lang w:val="en-GB"/>
        </w:rPr>
      </w:pPr>
      <w:r>
        <w:rPr>
          <w:lang w:val="en-GB"/>
        </w:rPr>
        <w:t>In the first step, the TCGA gene expression data is joined with the clinical data. To do this, the “</w:t>
      </w:r>
      <w:proofErr w:type="spellStart"/>
      <w:r>
        <w:rPr>
          <w:lang w:val="en-GB"/>
        </w:rPr>
        <w:t>portion_id</w:t>
      </w:r>
      <w:proofErr w:type="spellEnd"/>
      <w:r>
        <w:rPr>
          <w:lang w:val="en-GB"/>
        </w:rPr>
        <w:t>” field of each row in the clinical data set, which contains the code for the project, the tissue source site (TSS), participant ID, sample type, vial, and portion id is used. This field is stripped of the portion ID</w:t>
      </w:r>
      <w:r w:rsidR="00033BD2">
        <w:rPr>
          <w:lang w:val="en-GB"/>
        </w:rPr>
        <w:t xml:space="preserve"> and the vial</w:t>
      </w:r>
      <w:r>
        <w:rPr>
          <w:lang w:val="en-GB"/>
        </w:rPr>
        <w:t xml:space="preserve">, </w:t>
      </w:r>
      <w:r w:rsidR="00033BD2">
        <w:rPr>
          <w:lang w:val="en-GB"/>
        </w:rPr>
        <w:t>the duplicates are dropped (to remove samples with the same ID but different measuring technologies), and each row is then joined with the samples in the GE data set, which contains the same attributes up to and including the sample type.</w:t>
      </w:r>
    </w:p>
    <w:p w14:paraId="23464040" w14:textId="732EBD57" w:rsidR="00033BD2" w:rsidRPr="003D26BF" w:rsidRDefault="00033BD2" w:rsidP="003D26BF">
      <w:pPr>
        <w:rPr>
          <w:lang w:val="en-GB"/>
        </w:rPr>
      </w:pPr>
      <w:r>
        <w:rPr>
          <w:lang w:val="en-GB"/>
        </w:rPr>
        <w:t>To join the data set with GE + clinical data to the microbial dataset,  the sample barcode for the microbial samples is stripped of the all samples with a vial type of “B”, and then the vial type attribute is removed altogether. This data set is then joined with the GE + clinical data set.</w:t>
      </w:r>
    </w:p>
    <w:p w14:paraId="533BD79E" w14:textId="7DC9AB09" w:rsidR="00993FD7" w:rsidRDefault="003D26BF">
      <w:pPr>
        <w:rPr>
          <w:lang w:val="en-GB"/>
        </w:rPr>
      </w:pPr>
      <w:r>
        <w:rPr>
          <w:lang w:val="en-GB"/>
        </w:rPr>
        <w:t xml:space="preserve">The table below displays the class balance of </w:t>
      </w:r>
      <w:proofErr w:type="spellStart"/>
      <w:r>
        <w:rPr>
          <w:lang w:val="en-GB"/>
        </w:rPr>
        <w:t>tumor</w:t>
      </w:r>
      <w:proofErr w:type="spellEnd"/>
      <w:r>
        <w:rPr>
          <w:lang w:val="en-GB"/>
        </w:rPr>
        <w:t xml:space="preserve"> versus normal samples for each modality and the integrated set.</w:t>
      </w:r>
    </w:p>
    <w:p w14:paraId="115A3EAE" w14:textId="508F3CE2" w:rsidR="00E25144" w:rsidRPr="001F6FDC" w:rsidRDefault="00E25144">
      <w:pPr>
        <w:rPr>
          <w:lang w:val="en-GB"/>
        </w:rPr>
      </w:pPr>
    </w:p>
    <w:tbl>
      <w:tblPr>
        <w:tblStyle w:val="ListTable1Light-Accent3"/>
        <w:tblW w:w="2189" w:type="pct"/>
        <w:tblLook w:val="0660" w:firstRow="1" w:lastRow="1" w:firstColumn="0" w:lastColumn="0" w:noHBand="1" w:noVBand="1"/>
      </w:tblPr>
      <w:tblGrid>
        <w:gridCol w:w="1200"/>
        <w:gridCol w:w="1201"/>
        <w:gridCol w:w="962"/>
        <w:gridCol w:w="683"/>
      </w:tblGrid>
      <w:tr w:rsidR="001F6FDC" w:rsidRPr="00E25144" w14:paraId="0AF0B666" w14:textId="520910E7" w:rsidTr="003A1C0D">
        <w:trPr>
          <w:cnfStyle w:val="100000000000" w:firstRow="1" w:lastRow="0" w:firstColumn="0" w:lastColumn="0" w:oddVBand="0" w:evenVBand="0" w:oddHBand="0" w:evenHBand="0" w:firstRowFirstColumn="0" w:firstRowLastColumn="0" w:lastRowFirstColumn="0" w:lastRowLastColumn="0"/>
          <w:trHeight w:val="491"/>
        </w:trPr>
        <w:tc>
          <w:tcPr>
            <w:tcW w:w="1483" w:type="pct"/>
            <w:noWrap/>
          </w:tcPr>
          <w:p w14:paraId="4E234E1C" w14:textId="36B03656" w:rsidR="001F6FDC" w:rsidRPr="00E25144" w:rsidRDefault="001F6FDC">
            <w:pPr>
              <w:rPr>
                <w:color w:val="000000" w:themeColor="text1"/>
              </w:rPr>
            </w:pPr>
            <w:r>
              <w:rPr>
                <w:color w:val="000000" w:themeColor="text1"/>
              </w:rPr>
              <w:t>Cancer</w:t>
            </w:r>
          </w:p>
        </w:tc>
        <w:tc>
          <w:tcPr>
            <w:tcW w:w="1484" w:type="pct"/>
          </w:tcPr>
          <w:p w14:paraId="3B786B27" w14:textId="53F11AC3" w:rsidR="001F6FDC" w:rsidRPr="00E25144" w:rsidRDefault="001F6FDC">
            <w:pPr>
              <w:rPr>
                <w:color w:val="000000" w:themeColor="text1"/>
              </w:rPr>
            </w:pPr>
            <w:r>
              <w:rPr>
                <w:color w:val="000000" w:themeColor="text1"/>
              </w:rPr>
              <w:t>Normal samples</w:t>
            </w:r>
          </w:p>
        </w:tc>
        <w:tc>
          <w:tcPr>
            <w:tcW w:w="1189" w:type="pct"/>
          </w:tcPr>
          <w:p w14:paraId="15B38EFD" w14:textId="12206B2D" w:rsidR="001F6FDC" w:rsidRPr="00E25144" w:rsidRDefault="001F6FDC">
            <w:pPr>
              <w:rPr>
                <w:color w:val="000000" w:themeColor="text1"/>
              </w:rPr>
            </w:pPr>
            <w:r>
              <w:rPr>
                <w:color w:val="000000" w:themeColor="text1"/>
              </w:rPr>
              <w:t>Tumor samples</w:t>
            </w:r>
          </w:p>
        </w:tc>
        <w:tc>
          <w:tcPr>
            <w:tcW w:w="844" w:type="pct"/>
          </w:tcPr>
          <w:p w14:paraId="40DA56F8" w14:textId="67A7CFB1" w:rsidR="001F6FDC" w:rsidRDefault="001F6FDC">
            <w:pPr>
              <w:rPr>
                <w:color w:val="000000" w:themeColor="text1"/>
              </w:rPr>
            </w:pPr>
            <w:r>
              <w:rPr>
                <w:color w:val="000000" w:themeColor="text1"/>
              </w:rPr>
              <w:t>Total</w:t>
            </w:r>
          </w:p>
        </w:tc>
      </w:tr>
      <w:tr w:rsidR="001F6FDC" w:rsidRPr="00E25144" w14:paraId="73C373A5" w14:textId="134734E6" w:rsidTr="003A1C0D">
        <w:trPr>
          <w:trHeight w:val="246"/>
        </w:trPr>
        <w:tc>
          <w:tcPr>
            <w:tcW w:w="1483" w:type="pct"/>
            <w:noWrap/>
          </w:tcPr>
          <w:p w14:paraId="4F922B2A" w14:textId="77777777" w:rsidR="001F6FDC" w:rsidRPr="00E25144" w:rsidRDefault="001F6FDC">
            <w:pPr>
              <w:rPr>
                <w:color w:val="000000" w:themeColor="text1"/>
              </w:rPr>
            </w:pPr>
          </w:p>
        </w:tc>
        <w:tc>
          <w:tcPr>
            <w:tcW w:w="1484" w:type="pct"/>
          </w:tcPr>
          <w:p w14:paraId="358EC85E" w14:textId="0F14FDF6" w:rsidR="001F6FDC" w:rsidRPr="00E25144" w:rsidRDefault="001F6FDC">
            <w:pPr>
              <w:rPr>
                <w:rStyle w:val="SubtleEmphasis"/>
                <w:color w:val="000000" w:themeColor="text1"/>
              </w:rPr>
            </w:pPr>
          </w:p>
        </w:tc>
        <w:tc>
          <w:tcPr>
            <w:tcW w:w="1189" w:type="pct"/>
          </w:tcPr>
          <w:p w14:paraId="41A99D62" w14:textId="3D64B89F" w:rsidR="001F6FDC" w:rsidRPr="00E25144" w:rsidRDefault="001F6FDC">
            <w:pPr>
              <w:rPr>
                <w:color w:val="000000" w:themeColor="text1"/>
              </w:rPr>
            </w:pPr>
          </w:p>
        </w:tc>
        <w:tc>
          <w:tcPr>
            <w:tcW w:w="844" w:type="pct"/>
          </w:tcPr>
          <w:p w14:paraId="2DC51600" w14:textId="77777777" w:rsidR="001F6FDC" w:rsidRPr="00E25144" w:rsidRDefault="001F6FDC">
            <w:pPr>
              <w:rPr>
                <w:color w:val="000000" w:themeColor="text1"/>
              </w:rPr>
            </w:pPr>
          </w:p>
        </w:tc>
      </w:tr>
      <w:tr w:rsidR="003A1C0D" w:rsidRPr="00E25144" w14:paraId="2ACFD1C9" w14:textId="77777777" w:rsidTr="003A1C0D">
        <w:trPr>
          <w:trHeight w:val="467"/>
        </w:trPr>
        <w:tc>
          <w:tcPr>
            <w:tcW w:w="1483" w:type="pct"/>
            <w:noWrap/>
          </w:tcPr>
          <w:p w14:paraId="0A5B4B90" w14:textId="43AFDC49" w:rsidR="003A1C0D" w:rsidRDefault="003A1C0D" w:rsidP="003A1C0D">
            <w:pPr>
              <w:rPr>
                <w:color w:val="000000" w:themeColor="text1"/>
              </w:rPr>
            </w:pPr>
            <w:r>
              <w:rPr>
                <w:color w:val="000000" w:themeColor="text1"/>
              </w:rPr>
              <w:t>STAD</w:t>
            </w:r>
          </w:p>
        </w:tc>
        <w:tc>
          <w:tcPr>
            <w:tcW w:w="1484" w:type="pct"/>
          </w:tcPr>
          <w:p w14:paraId="6B6E9446" w14:textId="4CA2A234" w:rsidR="003A1C0D" w:rsidRDefault="003A1C0D" w:rsidP="003A1C0D">
            <w:pPr>
              <w:pStyle w:val="DecimalAligned"/>
              <w:rPr>
                <w:color w:val="000000" w:themeColor="text1"/>
              </w:rPr>
            </w:pPr>
            <w:r>
              <w:rPr>
                <w:color w:val="000000" w:themeColor="text1"/>
              </w:rPr>
              <w:t>9</w:t>
            </w:r>
          </w:p>
        </w:tc>
        <w:tc>
          <w:tcPr>
            <w:tcW w:w="1189" w:type="pct"/>
          </w:tcPr>
          <w:p w14:paraId="0C3B2DC8" w14:textId="16357BE3" w:rsidR="003A1C0D" w:rsidRDefault="003A1C0D" w:rsidP="003A1C0D">
            <w:pPr>
              <w:pStyle w:val="DecimalAligned"/>
              <w:rPr>
                <w:color w:val="000000" w:themeColor="text1"/>
              </w:rPr>
            </w:pPr>
            <w:r>
              <w:rPr>
                <w:color w:val="000000" w:themeColor="text1"/>
              </w:rPr>
              <w:t>113</w:t>
            </w:r>
          </w:p>
        </w:tc>
        <w:tc>
          <w:tcPr>
            <w:tcW w:w="844" w:type="pct"/>
          </w:tcPr>
          <w:p w14:paraId="5557F7F2" w14:textId="1B0DFED0" w:rsidR="003A1C0D" w:rsidRDefault="003A1C0D" w:rsidP="003A1C0D">
            <w:pPr>
              <w:pStyle w:val="DecimalAligned"/>
              <w:rPr>
                <w:color w:val="000000" w:themeColor="text1"/>
              </w:rPr>
            </w:pPr>
            <w:r>
              <w:rPr>
                <w:color w:val="000000" w:themeColor="text1"/>
              </w:rPr>
              <w:t>12</w:t>
            </w:r>
            <w:r w:rsidR="006E650B">
              <w:rPr>
                <w:color w:val="000000" w:themeColor="text1"/>
              </w:rPr>
              <w:t>2</w:t>
            </w:r>
          </w:p>
        </w:tc>
      </w:tr>
      <w:tr w:rsidR="003A1C0D" w:rsidRPr="00E25144" w14:paraId="32A95AA0" w14:textId="7CE9CB8C" w:rsidTr="003A1C0D">
        <w:trPr>
          <w:trHeight w:val="467"/>
        </w:trPr>
        <w:tc>
          <w:tcPr>
            <w:tcW w:w="1483" w:type="pct"/>
            <w:noWrap/>
          </w:tcPr>
          <w:p w14:paraId="2C386A24" w14:textId="0C3FF753" w:rsidR="003A1C0D" w:rsidRPr="00E25144" w:rsidRDefault="003A1C0D" w:rsidP="003A1C0D">
            <w:pPr>
              <w:rPr>
                <w:color w:val="000000" w:themeColor="text1"/>
              </w:rPr>
            </w:pPr>
            <w:r>
              <w:rPr>
                <w:color w:val="000000" w:themeColor="text1"/>
              </w:rPr>
              <w:t>COAD</w:t>
            </w:r>
          </w:p>
        </w:tc>
        <w:tc>
          <w:tcPr>
            <w:tcW w:w="1484" w:type="pct"/>
          </w:tcPr>
          <w:p w14:paraId="0B4CC1D2" w14:textId="7DEEAF05" w:rsidR="003A1C0D" w:rsidRPr="00E25144" w:rsidRDefault="003A1C0D" w:rsidP="003A1C0D">
            <w:pPr>
              <w:pStyle w:val="DecimalAligned"/>
              <w:rPr>
                <w:color w:val="000000" w:themeColor="text1"/>
              </w:rPr>
            </w:pPr>
            <w:r>
              <w:rPr>
                <w:color w:val="000000" w:themeColor="text1"/>
              </w:rPr>
              <w:t>3</w:t>
            </w:r>
          </w:p>
        </w:tc>
        <w:tc>
          <w:tcPr>
            <w:tcW w:w="1189" w:type="pct"/>
          </w:tcPr>
          <w:p w14:paraId="1AB4477E" w14:textId="44C4A82F" w:rsidR="003A1C0D" w:rsidRPr="00E25144" w:rsidRDefault="003A1C0D" w:rsidP="003A1C0D">
            <w:pPr>
              <w:pStyle w:val="DecimalAligned"/>
              <w:rPr>
                <w:color w:val="000000" w:themeColor="text1"/>
              </w:rPr>
            </w:pPr>
            <w:r>
              <w:rPr>
                <w:color w:val="000000" w:themeColor="text1"/>
              </w:rPr>
              <w:t>45</w:t>
            </w:r>
          </w:p>
        </w:tc>
        <w:tc>
          <w:tcPr>
            <w:tcW w:w="844" w:type="pct"/>
          </w:tcPr>
          <w:p w14:paraId="3032B9FD" w14:textId="4E60DEF4" w:rsidR="003A1C0D" w:rsidRDefault="003A1C0D" w:rsidP="003A1C0D">
            <w:pPr>
              <w:pStyle w:val="DecimalAligned"/>
              <w:rPr>
                <w:color w:val="000000" w:themeColor="text1"/>
              </w:rPr>
            </w:pPr>
            <w:r>
              <w:rPr>
                <w:color w:val="000000" w:themeColor="text1"/>
              </w:rPr>
              <w:t>48</w:t>
            </w:r>
          </w:p>
        </w:tc>
      </w:tr>
      <w:tr w:rsidR="003A1C0D" w:rsidRPr="00E25144" w14:paraId="772425CA" w14:textId="2515E9C4" w:rsidTr="003A1C0D">
        <w:trPr>
          <w:trHeight w:val="479"/>
        </w:trPr>
        <w:tc>
          <w:tcPr>
            <w:tcW w:w="1483" w:type="pct"/>
            <w:noWrap/>
          </w:tcPr>
          <w:p w14:paraId="260673FC" w14:textId="1B8F5C82" w:rsidR="003A1C0D" w:rsidRPr="00E25144" w:rsidRDefault="003A1C0D" w:rsidP="003A1C0D">
            <w:pPr>
              <w:rPr>
                <w:color w:val="000000" w:themeColor="text1"/>
              </w:rPr>
            </w:pPr>
            <w:r>
              <w:rPr>
                <w:color w:val="000000" w:themeColor="text1"/>
              </w:rPr>
              <w:t>ESCA</w:t>
            </w:r>
          </w:p>
        </w:tc>
        <w:tc>
          <w:tcPr>
            <w:tcW w:w="1484" w:type="pct"/>
          </w:tcPr>
          <w:p w14:paraId="609C4570" w14:textId="6C86551B" w:rsidR="003A1C0D" w:rsidRPr="00E25144" w:rsidRDefault="003A1C0D" w:rsidP="003A1C0D">
            <w:pPr>
              <w:pStyle w:val="DecimalAligned"/>
              <w:rPr>
                <w:color w:val="000000" w:themeColor="text1"/>
              </w:rPr>
            </w:pPr>
            <w:r>
              <w:rPr>
                <w:color w:val="000000" w:themeColor="text1"/>
              </w:rPr>
              <w:t>7</w:t>
            </w:r>
          </w:p>
        </w:tc>
        <w:tc>
          <w:tcPr>
            <w:tcW w:w="1189" w:type="pct"/>
          </w:tcPr>
          <w:p w14:paraId="6620D10C" w14:textId="6EDD00FC" w:rsidR="003A1C0D" w:rsidRPr="00E25144" w:rsidRDefault="003A1C0D" w:rsidP="003A1C0D">
            <w:pPr>
              <w:pStyle w:val="DecimalAligned"/>
              <w:rPr>
                <w:color w:val="000000" w:themeColor="text1"/>
              </w:rPr>
            </w:pPr>
            <w:r>
              <w:rPr>
                <w:color w:val="000000" w:themeColor="text1"/>
              </w:rPr>
              <w:t>59</w:t>
            </w:r>
          </w:p>
        </w:tc>
        <w:tc>
          <w:tcPr>
            <w:tcW w:w="844" w:type="pct"/>
          </w:tcPr>
          <w:p w14:paraId="54B5C949" w14:textId="01A651A7" w:rsidR="003A1C0D" w:rsidRDefault="003A1C0D" w:rsidP="003A1C0D">
            <w:pPr>
              <w:pStyle w:val="DecimalAligned"/>
              <w:rPr>
                <w:color w:val="000000" w:themeColor="text1"/>
              </w:rPr>
            </w:pPr>
            <w:r>
              <w:rPr>
                <w:color w:val="000000" w:themeColor="text1"/>
              </w:rPr>
              <w:t>66</w:t>
            </w:r>
          </w:p>
        </w:tc>
      </w:tr>
      <w:tr w:rsidR="003A1C0D" w:rsidRPr="00E25144" w14:paraId="413E5497" w14:textId="5CF7E17D" w:rsidTr="003A1C0D">
        <w:trPr>
          <w:trHeight w:val="467"/>
        </w:trPr>
        <w:tc>
          <w:tcPr>
            <w:tcW w:w="1483" w:type="pct"/>
            <w:noWrap/>
          </w:tcPr>
          <w:p w14:paraId="40CAA521" w14:textId="483610F0" w:rsidR="003A1C0D" w:rsidRPr="00E25144" w:rsidRDefault="003A1C0D" w:rsidP="003A1C0D">
            <w:pPr>
              <w:rPr>
                <w:color w:val="000000" w:themeColor="text1"/>
              </w:rPr>
            </w:pPr>
            <w:r>
              <w:rPr>
                <w:color w:val="000000" w:themeColor="text1"/>
              </w:rPr>
              <w:t>HNSC</w:t>
            </w:r>
          </w:p>
        </w:tc>
        <w:tc>
          <w:tcPr>
            <w:tcW w:w="1484" w:type="pct"/>
          </w:tcPr>
          <w:p w14:paraId="392DA873" w14:textId="1309ABAF" w:rsidR="003A1C0D" w:rsidRPr="00E25144" w:rsidRDefault="003A1C0D" w:rsidP="003A1C0D">
            <w:pPr>
              <w:pStyle w:val="DecimalAligned"/>
              <w:rPr>
                <w:color w:val="000000" w:themeColor="text1"/>
              </w:rPr>
            </w:pPr>
            <w:r>
              <w:rPr>
                <w:color w:val="000000" w:themeColor="text1"/>
              </w:rPr>
              <w:t>7</w:t>
            </w:r>
          </w:p>
        </w:tc>
        <w:tc>
          <w:tcPr>
            <w:tcW w:w="1189" w:type="pct"/>
          </w:tcPr>
          <w:p w14:paraId="27A405DE" w14:textId="54E38BDF" w:rsidR="003A1C0D" w:rsidRPr="00E25144" w:rsidRDefault="003A1C0D" w:rsidP="003A1C0D">
            <w:pPr>
              <w:pStyle w:val="DecimalAligned"/>
              <w:rPr>
                <w:color w:val="000000" w:themeColor="text1"/>
              </w:rPr>
            </w:pPr>
            <w:r>
              <w:rPr>
                <w:color w:val="000000" w:themeColor="text1"/>
              </w:rPr>
              <w:t>154</w:t>
            </w:r>
          </w:p>
        </w:tc>
        <w:tc>
          <w:tcPr>
            <w:tcW w:w="844" w:type="pct"/>
          </w:tcPr>
          <w:p w14:paraId="2C926ECC" w14:textId="7955A741" w:rsidR="003A1C0D" w:rsidRPr="00C26D1D" w:rsidRDefault="003A1C0D" w:rsidP="003A1C0D">
            <w:pPr>
              <w:pStyle w:val="DecimalAligned"/>
              <w:rPr>
                <w:color w:val="000000" w:themeColor="text1"/>
                <w:lang w:val="en-GB"/>
              </w:rPr>
            </w:pPr>
            <w:r>
              <w:rPr>
                <w:color w:val="000000" w:themeColor="text1"/>
              </w:rPr>
              <w:t>161</w:t>
            </w:r>
          </w:p>
        </w:tc>
      </w:tr>
      <w:tr w:rsidR="003A1C0D" w:rsidRPr="00E25144" w14:paraId="6A213CBE" w14:textId="08B161A7" w:rsidTr="003A1C0D">
        <w:trPr>
          <w:trHeight w:val="467"/>
        </w:trPr>
        <w:tc>
          <w:tcPr>
            <w:tcW w:w="1483" w:type="pct"/>
            <w:noWrap/>
          </w:tcPr>
          <w:p w14:paraId="0F3FEF6A" w14:textId="3CA74129" w:rsidR="003A1C0D" w:rsidRPr="00E25144" w:rsidRDefault="003A1C0D" w:rsidP="003A1C0D">
            <w:pPr>
              <w:rPr>
                <w:color w:val="000000" w:themeColor="text1"/>
              </w:rPr>
            </w:pPr>
            <w:r>
              <w:rPr>
                <w:color w:val="000000" w:themeColor="text1"/>
              </w:rPr>
              <w:t>READ</w:t>
            </w:r>
          </w:p>
        </w:tc>
        <w:tc>
          <w:tcPr>
            <w:tcW w:w="1484" w:type="pct"/>
          </w:tcPr>
          <w:p w14:paraId="22D05EB8" w14:textId="33E80205" w:rsidR="003A1C0D" w:rsidRPr="00E25144" w:rsidRDefault="003A1C0D" w:rsidP="003A1C0D">
            <w:pPr>
              <w:pStyle w:val="DecimalAligned"/>
              <w:rPr>
                <w:color w:val="000000" w:themeColor="text1"/>
              </w:rPr>
            </w:pPr>
            <w:r>
              <w:rPr>
                <w:color w:val="000000" w:themeColor="text1"/>
              </w:rPr>
              <w:t>0</w:t>
            </w:r>
          </w:p>
        </w:tc>
        <w:tc>
          <w:tcPr>
            <w:tcW w:w="1189" w:type="pct"/>
          </w:tcPr>
          <w:p w14:paraId="2ECE8EF0" w14:textId="7D619AD6" w:rsidR="003A1C0D" w:rsidRPr="00E25144" w:rsidRDefault="003A1C0D" w:rsidP="003A1C0D">
            <w:pPr>
              <w:pStyle w:val="DecimalAligned"/>
              <w:rPr>
                <w:color w:val="000000" w:themeColor="text1"/>
              </w:rPr>
            </w:pPr>
            <w:r>
              <w:rPr>
                <w:color w:val="000000" w:themeColor="text1"/>
              </w:rPr>
              <w:t>3</w:t>
            </w:r>
          </w:p>
        </w:tc>
        <w:tc>
          <w:tcPr>
            <w:tcW w:w="844" w:type="pct"/>
          </w:tcPr>
          <w:p w14:paraId="17FBF978" w14:textId="65FE68AA" w:rsidR="003A1C0D" w:rsidRDefault="003A1C0D" w:rsidP="003A1C0D">
            <w:pPr>
              <w:pStyle w:val="DecimalAligned"/>
              <w:rPr>
                <w:color w:val="000000" w:themeColor="text1"/>
              </w:rPr>
            </w:pPr>
            <w:r>
              <w:rPr>
                <w:color w:val="000000" w:themeColor="text1"/>
              </w:rPr>
              <w:t>3</w:t>
            </w:r>
          </w:p>
        </w:tc>
      </w:tr>
      <w:tr w:rsidR="003A1C0D" w:rsidRPr="00E25144" w14:paraId="1534F554" w14:textId="7CEAAD9B" w:rsidTr="003A1C0D">
        <w:trPr>
          <w:cnfStyle w:val="010000000000" w:firstRow="0" w:lastRow="1" w:firstColumn="0" w:lastColumn="0" w:oddVBand="0" w:evenVBand="0" w:oddHBand="0" w:evenHBand="0" w:firstRowFirstColumn="0" w:firstRowLastColumn="0" w:lastRowFirstColumn="0" w:lastRowLastColumn="0"/>
          <w:trHeight w:val="246"/>
        </w:trPr>
        <w:tc>
          <w:tcPr>
            <w:tcW w:w="1483" w:type="pct"/>
            <w:noWrap/>
          </w:tcPr>
          <w:p w14:paraId="176ACA98" w14:textId="77777777" w:rsidR="003A1C0D" w:rsidRPr="00E25144" w:rsidRDefault="003A1C0D" w:rsidP="003A1C0D">
            <w:pPr>
              <w:rPr>
                <w:color w:val="000000" w:themeColor="text1"/>
              </w:rPr>
            </w:pPr>
          </w:p>
        </w:tc>
        <w:tc>
          <w:tcPr>
            <w:tcW w:w="1484" w:type="pct"/>
          </w:tcPr>
          <w:p w14:paraId="76EAEC5A" w14:textId="780312DE" w:rsidR="003A1C0D" w:rsidRPr="00E25144" w:rsidRDefault="003A1C0D" w:rsidP="003A1C0D">
            <w:pPr>
              <w:rPr>
                <w:rStyle w:val="SubtleEmphasis"/>
                <w:color w:val="000000" w:themeColor="text1"/>
              </w:rPr>
            </w:pPr>
          </w:p>
        </w:tc>
        <w:tc>
          <w:tcPr>
            <w:tcW w:w="1189" w:type="pct"/>
          </w:tcPr>
          <w:p w14:paraId="2D7A2F4F" w14:textId="217D8E03" w:rsidR="003A1C0D" w:rsidRPr="00E25144" w:rsidRDefault="003A1C0D" w:rsidP="003A1C0D">
            <w:pPr>
              <w:rPr>
                <w:color w:val="000000" w:themeColor="text1"/>
              </w:rPr>
            </w:pPr>
          </w:p>
        </w:tc>
        <w:tc>
          <w:tcPr>
            <w:tcW w:w="844" w:type="pct"/>
          </w:tcPr>
          <w:p w14:paraId="52130B58" w14:textId="77777777" w:rsidR="003A1C0D" w:rsidRPr="00E25144" w:rsidRDefault="003A1C0D" w:rsidP="003A1C0D">
            <w:pPr>
              <w:rPr>
                <w:color w:val="000000" w:themeColor="text1"/>
              </w:rPr>
            </w:pPr>
          </w:p>
        </w:tc>
      </w:tr>
    </w:tbl>
    <w:p w14:paraId="6E833022" w14:textId="10EDD537" w:rsidR="00E25144" w:rsidRPr="001F6FDC" w:rsidRDefault="001F6FDC" w:rsidP="001F6FDC">
      <w:pPr>
        <w:pStyle w:val="Caption"/>
      </w:pPr>
      <w:r>
        <w:t xml:space="preserve">Table </w:t>
      </w:r>
      <w:fldSimple w:instr=" SEQ Table \* ARABIC ">
        <w:r w:rsidR="00865A50">
          <w:rPr>
            <w:noProof/>
          </w:rPr>
          <w:t>1</w:t>
        </w:r>
      </w:fldSimple>
      <w:r>
        <w:t>:</w:t>
      </w:r>
      <w:r w:rsidRPr="0077225D">
        <w:t xml:space="preserve"> Number of tumor and normal adjacent </w:t>
      </w:r>
      <w:r w:rsidR="00865A50">
        <w:t>tissue</w:t>
      </w:r>
      <w:r w:rsidRPr="0077225D">
        <w:t xml:space="preserve"> (NAT) samples in the overlap set</w:t>
      </w:r>
      <w:r>
        <w:t xml:space="preserve"> for each cancer</w:t>
      </w:r>
    </w:p>
    <w:p w14:paraId="58095BD7" w14:textId="4B7A5A02" w:rsidR="00432975" w:rsidRDefault="003D26BF">
      <w:pPr>
        <w:rPr>
          <w:lang w:val="en-GB"/>
        </w:rPr>
      </w:pPr>
      <w:r>
        <w:rPr>
          <w:lang w:val="en-GB"/>
        </w:rPr>
        <w:lastRenderedPageBreak/>
        <w:t>The next</w:t>
      </w:r>
      <w:r w:rsidR="00581746">
        <w:rPr>
          <w:lang w:val="en-GB"/>
        </w:rPr>
        <w:t xml:space="preserve"> table</w:t>
      </w:r>
      <w:r>
        <w:rPr>
          <w:lang w:val="en-GB"/>
        </w:rPr>
        <w:t xml:space="preserve"> displays the balance for the stage samples. </w:t>
      </w:r>
      <w:r w:rsidR="00284C2E">
        <w:rPr>
          <w:lang w:val="en-GB"/>
        </w:rPr>
        <w:t xml:space="preserve">There are less total samples per cancer than the </w:t>
      </w:r>
      <w:proofErr w:type="spellStart"/>
      <w:r w:rsidR="00284C2E">
        <w:rPr>
          <w:lang w:val="en-GB"/>
        </w:rPr>
        <w:t>tumor</w:t>
      </w:r>
      <w:proofErr w:type="spellEnd"/>
      <w:r w:rsidR="00284C2E">
        <w:rPr>
          <w:lang w:val="en-GB"/>
        </w:rPr>
        <w:t xml:space="preserve"> versus normal categorization due to the stage for certain samples being absent. </w:t>
      </w:r>
      <w:r>
        <w:rPr>
          <w:lang w:val="en-GB"/>
        </w:rPr>
        <w:t>Normal samples are classified as stage 0.</w:t>
      </w:r>
      <w:r w:rsidR="009105F3">
        <w:rPr>
          <w:lang w:val="en-GB"/>
        </w:rPr>
        <w:t xml:space="preserve"> </w:t>
      </w:r>
    </w:p>
    <w:p w14:paraId="71309383" w14:textId="6F97F1B6" w:rsidR="001F6FDC" w:rsidRDefault="001F6FDC">
      <w:pPr>
        <w:rPr>
          <w:lang w:val="en-GB"/>
        </w:rPr>
      </w:pPr>
    </w:p>
    <w:p w14:paraId="3320CD54" w14:textId="0C71CCE3" w:rsidR="001F6FDC" w:rsidRDefault="001F6FDC">
      <w:pPr>
        <w:rPr>
          <w:lang w:val="en-GB"/>
        </w:rPr>
      </w:pPr>
    </w:p>
    <w:p w14:paraId="04CDCAE1" w14:textId="77777777" w:rsidR="001F6FDC" w:rsidRPr="00432975" w:rsidRDefault="001F6FDC">
      <w:pPr>
        <w:rPr>
          <w:lang w:val="en-GB"/>
        </w:rPr>
      </w:pPr>
    </w:p>
    <w:tbl>
      <w:tblPr>
        <w:tblStyle w:val="ListTable1Light-Accent3"/>
        <w:tblW w:w="3847" w:type="pct"/>
        <w:tblLook w:val="0660" w:firstRow="1" w:lastRow="1" w:firstColumn="0" w:lastColumn="0" w:noHBand="1" w:noVBand="1"/>
      </w:tblPr>
      <w:tblGrid>
        <w:gridCol w:w="1174"/>
        <w:gridCol w:w="998"/>
        <w:gridCol w:w="997"/>
        <w:gridCol w:w="997"/>
        <w:gridCol w:w="907"/>
        <w:gridCol w:w="1347"/>
        <w:gridCol w:w="691"/>
      </w:tblGrid>
      <w:tr w:rsidR="00A40A6F" w14:paraId="401DE7A8" w14:textId="77777777" w:rsidTr="00A40A6F">
        <w:trPr>
          <w:cnfStyle w:val="100000000000" w:firstRow="1" w:lastRow="0" w:firstColumn="0" w:lastColumn="0" w:oddVBand="0" w:evenVBand="0" w:oddHBand="0" w:evenHBand="0" w:firstRowFirstColumn="0" w:firstRowLastColumn="0" w:lastRowFirstColumn="0" w:lastRowLastColumn="0"/>
          <w:trHeight w:val="25"/>
        </w:trPr>
        <w:tc>
          <w:tcPr>
            <w:tcW w:w="825" w:type="pct"/>
            <w:noWrap/>
          </w:tcPr>
          <w:p w14:paraId="4A3EB7B3" w14:textId="77777777" w:rsidR="00865A50" w:rsidRPr="00E25144" w:rsidRDefault="00865A50" w:rsidP="00B66AA4">
            <w:pPr>
              <w:rPr>
                <w:color w:val="000000" w:themeColor="text1"/>
              </w:rPr>
            </w:pPr>
            <w:r>
              <w:rPr>
                <w:color w:val="000000" w:themeColor="text1"/>
              </w:rPr>
              <w:t>Cancer</w:t>
            </w:r>
          </w:p>
        </w:tc>
        <w:tc>
          <w:tcPr>
            <w:tcW w:w="702" w:type="pct"/>
          </w:tcPr>
          <w:p w14:paraId="631A23AB" w14:textId="3BB53B7B" w:rsidR="00865A50" w:rsidRPr="00E25144" w:rsidRDefault="00865A50" w:rsidP="00B66AA4">
            <w:pPr>
              <w:rPr>
                <w:color w:val="000000" w:themeColor="text1"/>
              </w:rPr>
            </w:pPr>
            <w:r>
              <w:rPr>
                <w:color w:val="000000" w:themeColor="text1"/>
              </w:rPr>
              <w:t>Stage 0</w:t>
            </w:r>
          </w:p>
        </w:tc>
        <w:tc>
          <w:tcPr>
            <w:tcW w:w="701" w:type="pct"/>
          </w:tcPr>
          <w:p w14:paraId="7CD7488F" w14:textId="4A3F986D" w:rsidR="00865A50" w:rsidRPr="00E25144" w:rsidRDefault="00865A50" w:rsidP="00B66AA4">
            <w:pPr>
              <w:rPr>
                <w:color w:val="000000" w:themeColor="text1"/>
              </w:rPr>
            </w:pPr>
            <w:r>
              <w:rPr>
                <w:color w:val="000000" w:themeColor="text1"/>
              </w:rPr>
              <w:t>Stage 1</w:t>
            </w:r>
          </w:p>
        </w:tc>
        <w:tc>
          <w:tcPr>
            <w:tcW w:w="701" w:type="pct"/>
          </w:tcPr>
          <w:p w14:paraId="14E2167D" w14:textId="7319CB5D" w:rsidR="00865A50" w:rsidRDefault="00865A50" w:rsidP="00B66AA4">
            <w:pPr>
              <w:rPr>
                <w:color w:val="000000" w:themeColor="text1"/>
              </w:rPr>
            </w:pPr>
            <w:r>
              <w:rPr>
                <w:color w:val="000000" w:themeColor="text1"/>
              </w:rPr>
              <w:t xml:space="preserve">Stage </w:t>
            </w:r>
            <w:r>
              <w:rPr>
                <w:color w:val="000000" w:themeColor="text1"/>
              </w:rPr>
              <w:t>2</w:t>
            </w:r>
          </w:p>
        </w:tc>
        <w:tc>
          <w:tcPr>
            <w:tcW w:w="638" w:type="pct"/>
          </w:tcPr>
          <w:p w14:paraId="5F66CE26" w14:textId="4F1CB9B1" w:rsidR="00865A50" w:rsidRDefault="00865A50" w:rsidP="00B66AA4">
            <w:pPr>
              <w:rPr>
                <w:color w:val="000000" w:themeColor="text1"/>
              </w:rPr>
            </w:pPr>
            <w:r>
              <w:rPr>
                <w:color w:val="000000" w:themeColor="text1"/>
              </w:rPr>
              <w:t xml:space="preserve">Stage </w:t>
            </w:r>
            <w:r>
              <w:rPr>
                <w:color w:val="000000" w:themeColor="text1"/>
              </w:rPr>
              <w:t>3</w:t>
            </w:r>
          </w:p>
        </w:tc>
        <w:tc>
          <w:tcPr>
            <w:tcW w:w="947" w:type="pct"/>
          </w:tcPr>
          <w:p w14:paraId="2F38810D" w14:textId="2CE453AB" w:rsidR="00865A50" w:rsidRDefault="00865A50" w:rsidP="00B66AA4">
            <w:pPr>
              <w:rPr>
                <w:color w:val="000000" w:themeColor="text1"/>
              </w:rPr>
            </w:pPr>
            <w:r>
              <w:rPr>
                <w:color w:val="000000" w:themeColor="text1"/>
              </w:rPr>
              <w:t xml:space="preserve">Stage </w:t>
            </w:r>
            <w:r>
              <w:rPr>
                <w:color w:val="000000" w:themeColor="text1"/>
              </w:rPr>
              <w:t>4</w:t>
            </w:r>
          </w:p>
        </w:tc>
        <w:tc>
          <w:tcPr>
            <w:tcW w:w="486" w:type="pct"/>
          </w:tcPr>
          <w:p w14:paraId="6A07964D" w14:textId="226C48FB" w:rsidR="00865A50" w:rsidRDefault="00865A50" w:rsidP="00B66AA4">
            <w:pPr>
              <w:rPr>
                <w:color w:val="000000" w:themeColor="text1"/>
              </w:rPr>
            </w:pPr>
            <w:r>
              <w:rPr>
                <w:color w:val="000000" w:themeColor="text1"/>
              </w:rPr>
              <w:t>Total</w:t>
            </w:r>
          </w:p>
        </w:tc>
      </w:tr>
      <w:tr w:rsidR="00A40A6F" w:rsidRPr="00E25144" w14:paraId="05632546" w14:textId="77777777" w:rsidTr="00A40A6F">
        <w:trPr>
          <w:trHeight w:val="25"/>
        </w:trPr>
        <w:tc>
          <w:tcPr>
            <w:tcW w:w="825" w:type="pct"/>
            <w:noWrap/>
          </w:tcPr>
          <w:p w14:paraId="564CF025" w14:textId="77777777" w:rsidR="00865A50" w:rsidRPr="00E25144" w:rsidRDefault="00865A50" w:rsidP="00B66AA4">
            <w:pPr>
              <w:rPr>
                <w:color w:val="000000" w:themeColor="text1"/>
              </w:rPr>
            </w:pPr>
          </w:p>
        </w:tc>
        <w:tc>
          <w:tcPr>
            <w:tcW w:w="702" w:type="pct"/>
          </w:tcPr>
          <w:p w14:paraId="60A5ACA8" w14:textId="77777777" w:rsidR="00865A50" w:rsidRPr="00E25144" w:rsidRDefault="00865A50" w:rsidP="00B66AA4">
            <w:pPr>
              <w:rPr>
                <w:rStyle w:val="SubtleEmphasis"/>
                <w:color w:val="000000" w:themeColor="text1"/>
              </w:rPr>
            </w:pPr>
          </w:p>
        </w:tc>
        <w:tc>
          <w:tcPr>
            <w:tcW w:w="701" w:type="pct"/>
          </w:tcPr>
          <w:p w14:paraId="4EDD947A" w14:textId="77777777" w:rsidR="00865A50" w:rsidRPr="00E25144" w:rsidRDefault="00865A50" w:rsidP="00B66AA4">
            <w:pPr>
              <w:rPr>
                <w:color w:val="000000" w:themeColor="text1"/>
              </w:rPr>
            </w:pPr>
          </w:p>
        </w:tc>
        <w:tc>
          <w:tcPr>
            <w:tcW w:w="701" w:type="pct"/>
          </w:tcPr>
          <w:p w14:paraId="5ADFDB6E" w14:textId="77777777" w:rsidR="00865A50" w:rsidRPr="00E25144" w:rsidRDefault="00865A50" w:rsidP="00B66AA4">
            <w:pPr>
              <w:rPr>
                <w:color w:val="000000" w:themeColor="text1"/>
              </w:rPr>
            </w:pPr>
          </w:p>
        </w:tc>
        <w:tc>
          <w:tcPr>
            <w:tcW w:w="638" w:type="pct"/>
          </w:tcPr>
          <w:p w14:paraId="32BED831" w14:textId="77777777" w:rsidR="00865A50" w:rsidRPr="00E25144" w:rsidRDefault="00865A50" w:rsidP="00B66AA4">
            <w:pPr>
              <w:rPr>
                <w:color w:val="000000" w:themeColor="text1"/>
              </w:rPr>
            </w:pPr>
          </w:p>
        </w:tc>
        <w:tc>
          <w:tcPr>
            <w:tcW w:w="947" w:type="pct"/>
          </w:tcPr>
          <w:p w14:paraId="2C256252" w14:textId="77777777" w:rsidR="00865A50" w:rsidRPr="00E25144" w:rsidRDefault="00865A50" w:rsidP="00B66AA4">
            <w:pPr>
              <w:rPr>
                <w:color w:val="000000" w:themeColor="text1"/>
              </w:rPr>
            </w:pPr>
          </w:p>
        </w:tc>
        <w:tc>
          <w:tcPr>
            <w:tcW w:w="486" w:type="pct"/>
          </w:tcPr>
          <w:p w14:paraId="2595F84B" w14:textId="25BBAE95" w:rsidR="00865A50" w:rsidRPr="00E25144" w:rsidRDefault="00865A50" w:rsidP="00B66AA4">
            <w:pPr>
              <w:rPr>
                <w:color w:val="000000" w:themeColor="text1"/>
              </w:rPr>
            </w:pPr>
          </w:p>
        </w:tc>
      </w:tr>
      <w:tr w:rsidR="003A1C0D" w14:paraId="24662613" w14:textId="77777777" w:rsidTr="00A40A6F">
        <w:trPr>
          <w:trHeight w:val="49"/>
        </w:trPr>
        <w:tc>
          <w:tcPr>
            <w:tcW w:w="825" w:type="pct"/>
            <w:noWrap/>
          </w:tcPr>
          <w:p w14:paraId="1824E3EC" w14:textId="59B3C13A" w:rsidR="003A1C0D" w:rsidRDefault="003A1C0D" w:rsidP="003A1C0D">
            <w:pPr>
              <w:rPr>
                <w:color w:val="000000" w:themeColor="text1"/>
              </w:rPr>
            </w:pPr>
            <w:r>
              <w:rPr>
                <w:color w:val="000000" w:themeColor="text1"/>
              </w:rPr>
              <w:t>STAD</w:t>
            </w:r>
          </w:p>
        </w:tc>
        <w:tc>
          <w:tcPr>
            <w:tcW w:w="702" w:type="pct"/>
          </w:tcPr>
          <w:p w14:paraId="5A48904D" w14:textId="6008C2F5" w:rsidR="003A1C0D" w:rsidRDefault="003A1C0D" w:rsidP="003A1C0D">
            <w:pPr>
              <w:pStyle w:val="DecimalAligned"/>
              <w:rPr>
                <w:color w:val="000000" w:themeColor="text1"/>
              </w:rPr>
            </w:pPr>
            <w:r>
              <w:rPr>
                <w:color w:val="000000" w:themeColor="text1"/>
              </w:rPr>
              <w:t>9</w:t>
            </w:r>
          </w:p>
        </w:tc>
        <w:tc>
          <w:tcPr>
            <w:tcW w:w="701" w:type="pct"/>
          </w:tcPr>
          <w:p w14:paraId="2CD4C353" w14:textId="4B2C18A1" w:rsidR="003A1C0D" w:rsidRDefault="003A1C0D" w:rsidP="003A1C0D">
            <w:pPr>
              <w:pStyle w:val="DecimalAligned"/>
              <w:rPr>
                <w:color w:val="000000" w:themeColor="text1"/>
              </w:rPr>
            </w:pPr>
            <w:r>
              <w:rPr>
                <w:color w:val="000000" w:themeColor="text1"/>
              </w:rPr>
              <w:t>19</w:t>
            </w:r>
          </w:p>
        </w:tc>
        <w:tc>
          <w:tcPr>
            <w:tcW w:w="701" w:type="pct"/>
          </w:tcPr>
          <w:p w14:paraId="79560976" w14:textId="75B9BA57" w:rsidR="003A1C0D" w:rsidRDefault="003A1C0D" w:rsidP="003A1C0D">
            <w:pPr>
              <w:pStyle w:val="DecimalAligned"/>
              <w:rPr>
                <w:color w:val="000000" w:themeColor="text1"/>
              </w:rPr>
            </w:pPr>
            <w:r>
              <w:rPr>
                <w:color w:val="000000" w:themeColor="text1"/>
              </w:rPr>
              <w:t>36</w:t>
            </w:r>
          </w:p>
        </w:tc>
        <w:tc>
          <w:tcPr>
            <w:tcW w:w="638" w:type="pct"/>
          </w:tcPr>
          <w:p w14:paraId="74B5EA8D" w14:textId="712EA459" w:rsidR="003A1C0D" w:rsidRDefault="003A1C0D" w:rsidP="003A1C0D">
            <w:pPr>
              <w:pStyle w:val="DecimalAligned"/>
              <w:rPr>
                <w:color w:val="000000" w:themeColor="text1"/>
              </w:rPr>
            </w:pPr>
            <w:r>
              <w:rPr>
                <w:color w:val="000000" w:themeColor="text1"/>
              </w:rPr>
              <w:t>27</w:t>
            </w:r>
          </w:p>
        </w:tc>
        <w:tc>
          <w:tcPr>
            <w:tcW w:w="947" w:type="pct"/>
          </w:tcPr>
          <w:p w14:paraId="01F418A4" w14:textId="2563D734" w:rsidR="003A1C0D" w:rsidRDefault="003A1C0D" w:rsidP="003A1C0D">
            <w:pPr>
              <w:pStyle w:val="DecimalAligned"/>
              <w:rPr>
                <w:color w:val="000000" w:themeColor="text1"/>
              </w:rPr>
            </w:pPr>
            <w:r>
              <w:rPr>
                <w:color w:val="000000" w:themeColor="text1"/>
              </w:rPr>
              <w:t>16</w:t>
            </w:r>
          </w:p>
        </w:tc>
        <w:tc>
          <w:tcPr>
            <w:tcW w:w="486" w:type="pct"/>
          </w:tcPr>
          <w:p w14:paraId="0C61F0F9" w14:textId="0243BCE3" w:rsidR="003A1C0D" w:rsidRDefault="003A1C0D" w:rsidP="003A1C0D">
            <w:pPr>
              <w:pStyle w:val="DecimalAligned"/>
              <w:rPr>
                <w:color w:val="000000" w:themeColor="text1"/>
              </w:rPr>
            </w:pPr>
            <w:r>
              <w:rPr>
                <w:color w:val="000000" w:themeColor="text1"/>
              </w:rPr>
              <w:t>107</w:t>
            </w:r>
          </w:p>
        </w:tc>
      </w:tr>
      <w:tr w:rsidR="003A1C0D" w14:paraId="3B655780" w14:textId="77777777" w:rsidTr="00A40A6F">
        <w:trPr>
          <w:trHeight w:val="49"/>
        </w:trPr>
        <w:tc>
          <w:tcPr>
            <w:tcW w:w="825" w:type="pct"/>
            <w:noWrap/>
          </w:tcPr>
          <w:p w14:paraId="4799A19B" w14:textId="77777777" w:rsidR="003A1C0D" w:rsidRPr="00E25144" w:rsidRDefault="003A1C0D" w:rsidP="003A1C0D">
            <w:pPr>
              <w:rPr>
                <w:color w:val="000000" w:themeColor="text1"/>
              </w:rPr>
            </w:pPr>
            <w:r>
              <w:rPr>
                <w:color w:val="000000" w:themeColor="text1"/>
              </w:rPr>
              <w:t>COAD</w:t>
            </w:r>
          </w:p>
        </w:tc>
        <w:tc>
          <w:tcPr>
            <w:tcW w:w="702" w:type="pct"/>
          </w:tcPr>
          <w:p w14:paraId="6BD99378" w14:textId="77777777" w:rsidR="003A1C0D" w:rsidRPr="00E25144" w:rsidRDefault="003A1C0D" w:rsidP="003A1C0D">
            <w:pPr>
              <w:pStyle w:val="DecimalAligned"/>
              <w:rPr>
                <w:color w:val="000000" w:themeColor="text1"/>
              </w:rPr>
            </w:pPr>
            <w:r>
              <w:rPr>
                <w:color w:val="000000" w:themeColor="text1"/>
              </w:rPr>
              <w:t>3</w:t>
            </w:r>
          </w:p>
        </w:tc>
        <w:tc>
          <w:tcPr>
            <w:tcW w:w="701" w:type="pct"/>
          </w:tcPr>
          <w:p w14:paraId="14FB4C78" w14:textId="08887012" w:rsidR="003A1C0D" w:rsidRPr="00E25144" w:rsidRDefault="003A1C0D" w:rsidP="003A1C0D">
            <w:pPr>
              <w:pStyle w:val="DecimalAligned"/>
              <w:rPr>
                <w:color w:val="000000" w:themeColor="text1"/>
              </w:rPr>
            </w:pPr>
            <w:r>
              <w:rPr>
                <w:color w:val="000000" w:themeColor="text1"/>
              </w:rPr>
              <w:t>12</w:t>
            </w:r>
          </w:p>
        </w:tc>
        <w:tc>
          <w:tcPr>
            <w:tcW w:w="701" w:type="pct"/>
          </w:tcPr>
          <w:p w14:paraId="54FCE5F6" w14:textId="386B142D" w:rsidR="003A1C0D" w:rsidRDefault="003A1C0D" w:rsidP="003A1C0D">
            <w:pPr>
              <w:pStyle w:val="DecimalAligned"/>
              <w:rPr>
                <w:color w:val="000000" w:themeColor="text1"/>
              </w:rPr>
            </w:pPr>
            <w:r>
              <w:rPr>
                <w:color w:val="000000" w:themeColor="text1"/>
              </w:rPr>
              <w:t>15</w:t>
            </w:r>
          </w:p>
        </w:tc>
        <w:tc>
          <w:tcPr>
            <w:tcW w:w="638" w:type="pct"/>
          </w:tcPr>
          <w:p w14:paraId="524DD593" w14:textId="1D378A87" w:rsidR="003A1C0D" w:rsidRDefault="003A1C0D" w:rsidP="003A1C0D">
            <w:pPr>
              <w:pStyle w:val="DecimalAligned"/>
              <w:rPr>
                <w:color w:val="000000" w:themeColor="text1"/>
              </w:rPr>
            </w:pPr>
            <w:r>
              <w:rPr>
                <w:color w:val="000000" w:themeColor="text1"/>
              </w:rPr>
              <w:t>11</w:t>
            </w:r>
          </w:p>
        </w:tc>
        <w:tc>
          <w:tcPr>
            <w:tcW w:w="947" w:type="pct"/>
          </w:tcPr>
          <w:p w14:paraId="0DF90900" w14:textId="76CA2DE3" w:rsidR="003A1C0D" w:rsidRDefault="003A1C0D" w:rsidP="003A1C0D">
            <w:pPr>
              <w:pStyle w:val="DecimalAligned"/>
              <w:rPr>
                <w:color w:val="000000" w:themeColor="text1"/>
              </w:rPr>
            </w:pPr>
            <w:r>
              <w:rPr>
                <w:color w:val="000000" w:themeColor="text1"/>
              </w:rPr>
              <w:t>6</w:t>
            </w:r>
          </w:p>
        </w:tc>
        <w:tc>
          <w:tcPr>
            <w:tcW w:w="486" w:type="pct"/>
          </w:tcPr>
          <w:p w14:paraId="07B16466" w14:textId="54E3A6EA" w:rsidR="003A1C0D" w:rsidRDefault="003A1C0D" w:rsidP="003A1C0D">
            <w:pPr>
              <w:pStyle w:val="DecimalAligned"/>
              <w:rPr>
                <w:color w:val="000000" w:themeColor="text1"/>
              </w:rPr>
            </w:pPr>
            <w:r>
              <w:rPr>
                <w:color w:val="000000" w:themeColor="text1"/>
              </w:rPr>
              <w:t>4</w:t>
            </w:r>
            <w:r>
              <w:rPr>
                <w:color w:val="000000" w:themeColor="text1"/>
              </w:rPr>
              <w:t>7</w:t>
            </w:r>
          </w:p>
        </w:tc>
      </w:tr>
      <w:tr w:rsidR="003A1C0D" w14:paraId="52E1B136" w14:textId="77777777" w:rsidTr="00A40A6F">
        <w:trPr>
          <w:trHeight w:val="49"/>
        </w:trPr>
        <w:tc>
          <w:tcPr>
            <w:tcW w:w="825" w:type="pct"/>
            <w:noWrap/>
          </w:tcPr>
          <w:p w14:paraId="39DA970D" w14:textId="77777777" w:rsidR="003A1C0D" w:rsidRPr="00E25144" w:rsidRDefault="003A1C0D" w:rsidP="003A1C0D">
            <w:pPr>
              <w:rPr>
                <w:color w:val="000000" w:themeColor="text1"/>
              </w:rPr>
            </w:pPr>
            <w:r>
              <w:rPr>
                <w:color w:val="000000" w:themeColor="text1"/>
              </w:rPr>
              <w:t>ESCA</w:t>
            </w:r>
          </w:p>
        </w:tc>
        <w:tc>
          <w:tcPr>
            <w:tcW w:w="702" w:type="pct"/>
          </w:tcPr>
          <w:p w14:paraId="11E1A77D" w14:textId="77777777" w:rsidR="003A1C0D" w:rsidRPr="00E25144" w:rsidRDefault="003A1C0D" w:rsidP="003A1C0D">
            <w:pPr>
              <w:pStyle w:val="DecimalAligned"/>
              <w:rPr>
                <w:color w:val="000000" w:themeColor="text1"/>
              </w:rPr>
            </w:pPr>
            <w:r>
              <w:rPr>
                <w:color w:val="000000" w:themeColor="text1"/>
              </w:rPr>
              <w:t>7</w:t>
            </w:r>
          </w:p>
        </w:tc>
        <w:tc>
          <w:tcPr>
            <w:tcW w:w="701" w:type="pct"/>
          </w:tcPr>
          <w:p w14:paraId="18E3311E" w14:textId="10BADB98" w:rsidR="003A1C0D" w:rsidRPr="00E25144" w:rsidRDefault="003A1C0D" w:rsidP="003A1C0D">
            <w:pPr>
              <w:pStyle w:val="DecimalAligned"/>
              <w:rPr>
                <w:color w:val="000000" w:themeColor="text1"/>
              </w:rPr>
            </w:pPr>
            <w:r>
              <w:rPr>
                <w:color w:val="000000" w:themeColor="text1"/>
              </w:rPr>
              <w:t>8</w:t>
            </w:r>
          </w:p>
        </w:tc>
        <w:tc>
          <w:tcPr>
            <w:tcW w:w="701" w:type="pct"/>
          </w:tcPr>
          <w:p w14:paraId="275C7186" w14:textId="35E7EAB5" w:rsidR="003A1C0D" w:rsidRDefault="003A1C0D" w:rsidP="003A1C0D">
            <w:pPr>
              <w:pStyle w:val="DecimalAligned"/>
              <w:rPr>
                <w:color w:val="000000" w:themeColor="text1"/>
              </w:rPr>
            </w:pPr>
            <w:r>
              <w:rPr>
                <w:color w:val="000000" w:themeColor="text1"/>
              </w:rPr>
              <w:t>30</w:t>
            </w:r>
          </w:p>
        </w:tc>
        <w:tc>
          <w:tcPr>
            <w:tcW w:w="638" w:type="pct"/>
          </w:tcPr>
          <w:p w14:paraId="245FB7E1" w14:textId="091E8065" w:rsidR="003A1C0D" w:rsidRDefault="003A1C0D" w:rsidP="003A1C0D">
            <w:pPr>
              <w:pStyle w:val="DecimalAligned"/>
              <w:rPr>
                <w:color w:val="000000" w:themeColor="text1"/>
              </w:rPr>
            </w:pPr>
            <w:r>
              <w:rPr>
                <w:color w:val="000000" w:themeColor="text1"/>
              </w:rPr>
              <w:t>15</w:t>
            </w:r>
          </w:p>
        </w:tc>
        <w:tc>
          <w:tcPr>
            <w:tcW w:w="947" w:type="pct"/>
          </w:tcPr>
          <w:p w14:paraId="5F41320C" w14:textId="72304CE0" w:rsidR="003A1C0D" w:rsidRDefault="003A1C0D" w:rsidP="003A1C0D">
            <w:pPr>
              <w:pStyle w:val="DecimalAligned"/>
              <w:rPr>
                <w:color w:val="000000" w:themeColor="text1"/>
              </w:rPr>
            </w:pPr>
            <w:r>
              <w:rPr>
                <w:color w:val="000000" w:themeColor="text1"/>
              </w:rPr>
              <w:t>2</w:t>
            </w:r>
          </w:p>
        </w:tc>
        <w:tc>
          <w:tcPr>
            <w:tcW w:w="486" w:type="pct"/>
          </w:tcPr>
          <w:p w14:paraId="5EE0030B" w14:textId="2AE76B25" w:rsidR="003A1C0D" w:rsidRDefault="003A1C0D" w:rsidP="003A1C0D">
            <w:pPr>
              <w:pStyle w:val="DecimalAligned"/>
              <w:rPr>
                <w:color w:val="000000" w:themeColor="text1"/>
              </w:rPr>
            </w:pPr>
            <w:r>
              <w:rPr>
                <w:color w:val="000000" w:themeColor="text1"/>
              </w:rPr>
              <w:t>6</w:t>
            </w:r>
            <w:r>
              <w:rPr>
                <w:color w:val="000000" w:themeColor="text1"/>
              </w:rPr>
              <w:t>2</w:t>
            </w:r>
          </w:p>
        </w:tc>
      </w:tr>
      <w:tr w:rsidR="003A1C0D" w14:paraId="2B09C031" w14:textId="77777777" w:rsidTr="00A40A6F">
        <w:trPr>
          <w:trHeight w:val="50"/>
        </w:trPr>
        <w:tc>
          <w:tcPr>
            <w:tcW w:w="825" w:type="pct"/>
            <w:noWrap/>
          </w:tcPr>
          <w:p w14:paraId="375833E4" w14:textId="77777777" w:rsidR="003A1C0D" w:rsidRPr="00E25144" w:rsidRDefault="003A1C0D" w:rsidP="003A1C0D">
            <w:pPr>
              <w:rPr>
                <w:color w:val="000000" w:themeColor="text1"/>
              </w:rPr>
            </w:pPr>
            <w:r>
              <w:rPr>
                <w:color w:val="000000" w:themeColor="text1"/>
              </w:rPr>
              <w:t>HNSC</w:t>
            </w:r>
          </w:p>
        </w:tc>
        <w:tc>
          <w:tcPr>
            <w:tcW w:w="702" w:type="pct"/>
          </w:tcPr>
          <w:p w14:paraId="4DCB9269" w14:textId="645FA957" w:rsidR="003A1C0D" w:rsidRPr="00E25144" w:rsidRDefault="003A1C0D" w:rsidP="003A1C0D">
            <w:pPr>
              <w:pStyle w:val="DecimalAligned"/>
              <w:rPr>
                <w:color w:val="000000" w:themeColor="text1"/>
              </w:rPr>
            </w:pPr>
            <w:r>
              <w:rPr>
                <w:color w:val="000000" w:themeColor="text1"/>
              </w:rPr>
              <w:t>7</w:t>
            </w:r>
          </w:p>
        </w:tc>
        <w:tc>
          <w:tcPr>
            <w:tcW w:w="701" w:type="pct"/>
          </w:tcPr>
          <w:p w14:paraId="15BCA528" w14:textId="04AD86D3" w:rsidR="003A1C0D" w:rsidRPr="00E25144" w:rsidRDefault="003A1C0D" w:rsidP="003A1C0D">
            <w:pPr>
              <w:pStyle w:val="DecimalAligned"/>
              <w:rPr>
                <w:color w:val="000000" w:themeColor="text1"/>
              </w:rPr>
            </w:pPr>
            <w:r>
              <w:rPr>
                <w:color w:val="000000" w:themeColor="text1"/>
              </w:rPr>
              <w:t>10</w:t>
            </w:r>
          </w:p>
        </w:tc>
        <w:tc>
          <w:tcPr>
            <w:tcW w:w="701" w:type="pct"/>
          </w:tcPr>
          <w:p w14:paraId="4C5C324B" w14:textId="50334748" w:rsidR="003A1C0D" w:rsidRDefault="003A1C0D" w:rsidP="003A1C0D">
            <w:pPr>
              <w:pStyle w:val="DecimalAligned"/>
              <w:rPr>
                <w:color w:val="000000" w:themeColor="text1"/>
              </w:rPr>
            </w:pPr>
            <w:r>
              <w:rPr>
                <w:color w:val="000000" w:themeColor="text1"/>
              </w:rPr>
              <w:t>23</w:t>
            </w:r>
          </w:p>
        </w:tc>
        <w:tc>
          <w:tcPr>
            <w:tcW w:w="638" w:type="pct"/>
          </w:tcPr>
          <w:p w14:paraId="234BE42D" w14:textId="41A33E91" w:rsidR="003A1C0D" w:rsidRDefault="003A1C0D" w:rsidP="003A1C0D">
            <w:pPr>
              <w:pStyle w:val="DecimalAligned"/>
              <w:rPr>
                <w:color w:val="000000" w:themeColor="text1"/>
              </w:rPr>
            </w:pPr>
            <w:r>
              <w:rPr>
                <w:color w:val="000000" w:themeColor="text1"/>
              </w:rPr>
              <w:t>23</w:t>
            </w:r>
          </w:p>
        </w:tc>
        <w:tc>
          <w:tcPr>
            <w:tcW w:w="947" w:type="pct"/>
          </w:tcPr>
          <w:p w14:paraId="58C2C811" w14:textId="69C4FE2C" w:rsidR="003A1C0D" w:rsidRDefault="003A1C0D" w:rsidP="003A1C0D">
            <w:pPr>
              <w:pStyle w:val="DecimalAligned"/>
              <w:rPr>
                <w:color w:val="000000" w:themeColor="text1"/>
              </w:rPr>
            </w:pPr>
            <w:r>
              <w:rPr>
                <w:color w:val="000000" w:themeColor="text1"/>
              </w:rPr>
              <w:t>71</w:t>
            </w:r>
          </w:p>
        </w:tc>
        <w:tc>
          <w:tcPr>
            <w:tcW w:w="486" w:type="pct"/>
          </w:tcPr>
          <w:p w14:paraId="0118AF4D" w14:textId="58AA5E35" w:rsidR="003A1C0D" w:rsidRDefault="003A1C0D" w:rsidP="003A1C0D">
            <w:pPr>
              <w:pStyle w:val="DecimalAligned"/>
              <w:rPr>
                <w:color w:val="000000" w:themeColor="text1"/>
              </w:rPr>
            </w:pPr>
            <w:r>
              <w:rPr>
                <w:color w:val="000000" w:themeColor="text1"/>
              </w:rPr>
              <w:t>134</w:t>
            </w:r>
          </w:p>
        </w:tc>
      </w:tr>
      <w:tr w:rsidR="003A1C0D" w14:paraId="2743C3DC" w14:textId="77777777" w:rsidTr="00A40A6F">
        <w:trPr>
          <w:trHeight w:val="49"/>
        </w:trPr>
        <w:tc>
          <w:tcPr>
            <w:tcW w:w="825" w:type="pct"/>
            <w:noWrap/>
          </w:tcPr>
          <w:p w14:paraId="301ED984" w14:textId="77777777" w:rsidR="003A1C0D" w:rsidRPr="00E25144" w:rsidRDefault="003A1C0D" w:rsidP="003A1C0D">
            <w:pPr>
              <w:rPr>
                <w:color w:val="000000" w:themeColor="text1"/>
              </w:rPr>
            </w:pPr>
            <w:r>
              <w:rPr>
                <w:color w:val="000000" w:themeColor="text1"/>
              </w:rPr>
              <w:t>READ</w:t>
            </w:r>
          </w:p>
        </w:tc>
        <w:tc>
          <w:tcPr>
            <w:tcW w:w="702" w:type="pct"/>
          </w:tcPr>
          <w:p w14:paraId="2A8B6765" w14:textId="77777777" w:rsidR="003A1C0D" w:rsidRPr="00E25144" w:rsidRDefault="003A1C0D" w:rsidP="003A1C0D">
            <w:pPr>
              <w:pStyle w:val="DecimalAligned"/>
              <w:rPr>
                <w:color w:val="000000" w:themeColor="text1"/>
              </w:rPr>
            </w:pPr>
            <w:r>
              <w:rPr>
                <w:color w:val="000000" w:themeColor="text1"/>
              </w:rPr>
              <w:t>0</w:t>
            </w:r>
          </w:p>
        </w:tc>
        <w:tc>
          <w:tcPr>
            <w:tcW w:w="701" w:type="pct"/>
          </w:tcPr>
          <w:p w14:paraId="410A65FF" w14:textId="55E57544" w:rsidR="003A1C0D" w:rsidRPr="00E25144" w:rsidRDefault="003A1C0D" w:rsidP="003A1C0D">
            <w:pPr>
              <w:pStyle w:val="DecimalAligned"/>
              <w:rPr>
                <w:color w:val="000000" w:themeColor="text1"/>
              </w:rPr>
            </w:pPr>
            <w:r>
              <w:rPr>
                <w:color w:val="000000" w:themeColor="text1"/>
              </w:rPr>
              <w:t>0</w:t>
            </w:r>
          </w:p>
        </w:tc>
        <w:tc>
          <w:tcPr>
            <w:tcW w:w="701" w:type="pct"/>
          </w:tcPr>
          <w:p w14:paraId="5B5685D7" w14:textId="5ED08ED6" w:rsidR="003A1C0D" w:rsidRDefault="003A1C0D" w:rsidP="003A1C0D">
            <w:pPr>
              <w:pStyle w:val="DecimalAligned"/>
              <w:rPr>
                <w:color w:val="000000" w:themeColor="text1"/>
              </w:rPr>
            </w:pPr>
            <w:r>
              <w:rPr>
                <w:color w:val="000000" w:themeColor="text1"/>
              </w:rPr>
              <w:t>2</w:t>
            </w:r>
          </w:p>
        </w:tc>
        <w:tc>
          <w:tcPr>
            <w:tcW w:w="638" w:type="pct"/>
          </w:tcPr>
          <w:p w14:paraId="32AC6A9F" w14:textId="02049F7B" w:rsidR="003A1C0D" w:rsidRDefault="003A1C0D" w:rsidP="003A1C0D">
            <w:pPr>
              <w:pStyle w:val="DecimalAligned"/>
              <w:rPr>
                <w:color w:val="000000" w:themeColor="text1"/>
              </w:rPr>
            </w:pPr>
            <w:r>
              <w:rPr>
                <w:color w:val="000000" w:themeColor="text1"/>
              </w:rPr>
              <w:t>1</w:t>
            </w:r>
          </w:p>
        </w:tc>
        <w:tc>
          <w:tcPr>
            <w:tcW w:w="947" w:type="pct"/>
          </w:tcPr>
          <w:p w14:paraId="6F2423D7" w14:textId="0666EF34" w:rsidR="003A1C0D" w:rsidRDefault="003A1C0D" w:rsidP="003A1C0D">
            <w:pPr>
              <w:pStyle w:val="DecimalAligned"/>
              <w:rPr>
                <w:color w:val="000000" w:themeColor="text1"/>
              </w:rPr>
            </w:pPr>
            <w:r>
              <w:rPr>
                <w:color w:val="000000" w:themeColor="text1"/>
              </w:rPr>
              <w:t>0</w:t>
            </w:r>
          </w:p>
        </w:tc>
        <w:tc>
          <w:tcPr>
            <w:tcW w:w="486" w:type="pct"/>
          </w:tcPr>
          <w:p w14:paraId="46F7B0BB" w14:textId="43820C71" w:rsidR="003A1C0D" w:rsidRDefault="003A1C0D" w:rsidP="003A1C0D">
            <w:pPr>
              <w:pStyle w:val="DecimalAligned"/>
              <w:rPr>
                <w:color w:val="000000" w:themeColor="text1"/>
              </w:rPr>
            </w:pPr>
            <w:r>
              <w:rPr>
                <w:color w:val="000000" w:themeColor="text1"/>
              </w:rPr>
              <w:t>3</w:t>
            </w:r>
          </w:p>
        </w:tc>
      </w:tr>
      <w:tr w:rsidR="003A1C0D" w:rsidRPr="00E25144" w14:paraId="7A7786FD" w14:textId="77777777" w:rsidTr="00A40A6F">
        <w:trPr>
          <w:cnfStyle w:val="010000000000" w:firstRow="0" w:lastRow="1" w:firstColumn="0" w:lastColumn="0" w:oddVBand="0" w:evenVBand="0" w:oddHBand="0" w:evenHBand="0" w:firstRowFirstColumn="0" w:firstRowLastColumn="0" w:lastRowFirstColumn="0" w:lastRowLastColumn="0"/>
          <w:trHeight w:val="25"/>
        </w:trPr>
        <w:tc>
          <w:tcPr>
            <w:tcW w:w="825" w:type="pct"/>
            <w:noWrap/>
          </w:tcPr>
          <w:p w14:paraId="68D67A6D" w14:textId="77777777" w:rsidR="003A1C0D" w:rsidRPr="00E25144" w:rsidRDefault="003A1C0D" w:rsidP="003A1C0D">
            <w:pPr>
              <w:rPr>
                <w:color w:val="000000" w:themeColor="text1"/>
              </w:rPr>
            </w:pPr>
          </w:p>
        </w:tc>
        <w:tc>
          <w:tcPr>
            <w:tcW w:w="702" w:type="pct"/>
          </w:tcPr>
          <w:p w14:paraId="07239A9E" w14:textId="77777777" w:rsidR="003A1C0D" w:rsidRPr="00E25144" w:rsidRDefault="003A1C0D" w:rsidP="003A1C0D">
            <w:pPr>
              <w:rPr>
                <w:rStyle w:val="SubtleEmphasis"/>
                <w:color w:val="000000" w:themeColor="text1"/>
              </w:rPr>
            </w:pPr>
          </w:p>
        </w:tc>
        <w:tc>
          <w:tcPr>
            <w:tcW w:w="701" w:type="pct"/>
          </w:tcPr>
          <w:p w14:paraId="7BEF4BE7" w14:textId="77777777" w:rsidR="003A1C0D" w:rsidRPr="00E25144" w:rsidRDefault="003A1C0D" w:rsidP="003A1C0D">
            <w:pPr>
              <w:rPr>
                <w:color w:val="000000" w:themeColor="text1"/>
              </w:rPr>
            </w:pPr>
          </w:p>
        </w:tc>
        <w:tc>
          <w:tcPr>
            <w:tcW w:w="701" w:type="pct"/>
          </w:tcPr>
          <w:p w14:paraId="4A82724F" w14:textId="77777777" w:rsidR="003A1C0D" w:rsidRPr="00E25144" w:rsidRDefault="003A1C0D" w:rsidP="003A1C0D">
            <w:pPr>
              <w:keepNext/>
              <w:rPr>
                <w:color w:val="000000" w:themeColor="text1"/>
              </w:rPr>
            </w:pPr>
          </w:p>
        </w:tc>
        <w:tc>
          <w:tcPr>
            <w:tcW w:w="638" w:type="pct"/>
          </w:tcPr>
          <w:p w14:paraId="56FF1AC5" w14:textId="77777777" w:rsidR="003A1C0D" w:rsidRPr="00E25144" w:rsidRDefault="003A1C0D" w:rsidP="003A1C0D">
            <w:pPr>
              <w:keepNext/>
              <w:rPr>
                <w:color w:val="000000" w:themeColor="text1"/>
              </w:rPr>
            </w:pPr>
          </w:p>
        </w:tc>
        <w:tc>
          <w:tcPr>
            <w:tcW w:w="947" w:type="pct"/>
          </w:tcPr>
          <w:p w14:paraId="796261AB" w14:textId="77777777" w:rsidR="003A1C0D" w:rsidRPr="00E25144" w:rsidRDefault="003A1C0D" w:rsidP="003A1C0D">
            <w:pPr>
              <w:keepNext/>
              <w:rPr>
                <w:color w:val="000000" w:themeColor="text1"/>
              </w:rPr>
            </w:pPr>
          </w:p>
        </w:tc>
        <w:tc>
          <w:tcPr>
            <w:tcW w:w="486" w:type="pct"/>
          </w:tcPr>
          <w:p w14:paraId="263FD913" w14:textId="2873B137" w:rsidR="003A1C0D" w:rsidRPr="00E25144" w:rsidRDefault="003A1C0D" w:rsidP="003A1C0D">
            <w:pPr>
              <w:keepNext/>
              <w:rPr>
                <w:color w:val="000000" w:themeColor="text1"/>
              </w:rPr>
            </w:pPr>
          </w:p>
        </w:tc>
      </w:tr>
    </w:tbl>
    <w:p w14:paraId="14CE1A16" w14:textId="67393CEE" w:rsidR="00581746" w:rsidRDefault="00865A50" w:rsidP="00865A50">
      <w:pPr>
        <w:pStyle w:val="Caption"/>
        <w:rPr>
          <w:lang w:val="en-GB"/>
        </w:rPr>
      </w:pPr>
      <w:r>
        <w:t xml:space="preserve">Table </w:t>
      </w:r>
      <w:fldSimple w:instr=" SEQ Table \* ARABIC ">
        <w:r>
          <w:rPr>
            <w:noProof/>
          </w:rPr>
          <w:t>2</w:t>
        </w:r>
      </w:fldSimple>
      <w:r>
        <w:t xml:space="preserve">: </w:t>
      </w:r>
      <w:r w:rsidRPr="00AD6377">
        <w:t xml:space="preserve">Number of samples </w:t>
      </w:r>
      <w:r>
        <w:t xml:space="preserve">for each tumor stage </w:t>
      </w:r>
      <w:r w:rsidRPr="00AD6377">
        <w:t>in the overlap set for each cancer</w:t>
      </w:r>
      <w:r>
        <w:rPr>
          <w:noProof/>
        </w:rPr>
        <w:t>. Stage 0 corresponds to normal adjacent tissue (NAT) samples.</w:t>
      </w:r>
    </w:p>
    <w:p w14:paraId="4C2D123D" w14:textId="38A080A0" w:rsidR="003D26BF" w:rsidRDefault="00581746">
      <w:pPr>
        <w:rPr>
          <w:lang w:val="en-GB"/>
        </w:rPr>
      </w:pPr>
      <w:r>
        <w:rPr>
          <w:lang w:val="en-GB"/>
        </w:rPr>
        <w:t xml:space="preserve">Due to the lack of samples for READ, </w:t>
      </w:r>
      <w:r w:rsidR="003D26BF">
        <w:rPr>
          <w:lang w:val="en-GB"/>
        </w:rPr>
        <w:t>we use data for the cancers COAD, ESCA, HNSC and STAD.</w:t>
      </w:r>
    </w:p>
    <w:p w14:paraId="322EF56C" w14:textId="24E1DD46" w:rsidR="006620BE" w:rsidRDefault="003956A4" w:rsidP="003956A4">
      <w:pPr>
        <w:pStyle w:val="Heading2"/>
        <w:rPr>
          <w:lang w:val="en-GB"/>
        </w:rPr>
      </w:pPr>
      <w:r>
        <w:rPr>
          <w:lang w:val="en-GB"/>
        </w:rPr>
        <w:t>Methods</w:t>
      </w:r>
    </w:p>
    <w:p w14:paraId="42811D84" w14:textId="60FE15E4" w:rsidR="00F76864" w:rsidRDefault="00E63691" w:rsidP="003956A4">
      <w:pPr>
        <w:pStyle w:val="Heading3"/>
        <w:rPr>
          <w:lang w:val="en-GB"/>
        </w:rPr>
      </w:pPr>
      <w:r>
        <w:rPr>
          <w:lang w:val="en-GB"/>
        </w:rPr>
        <w:t>E</w:t>
      </w:r>
      <w:r w:rsidR="002D2DEC">
        <w:rPr>
          <w:lang w:val="en-GB"/>
        </w:rPr>
        <w:t>xploration of holistic view</w:t>
      </w:r>
    </w:p>
    <w:p w14:paraId="0E9AC19E" w14:textId="4E0C10FF" w:rsidR="00E521C1" w:rsidRDefault="00E521C1" w:rsidP="00E521C1">
      <w:pPr>
        <w:rPr>
          <w:lang w:val="en-GB"/>
        </w:rPr>
      </w:pPr>
      <w:r>
        <w:rPr>
          <w:lang w:val="en-GB"/>
        </w:rPr>
        <w:t xml:space="preserve">Feature exploration was performed using PCA and t-SNE. PCA was performed using the </w:t>
      </w:r>
      <w:r w:rsidR="00CB4397" w:rsidRPr="00CB4397">
        <w:rPr>
          <w:i/>
          <w:lang w:val="en-GB"/>
        </w:rPr>
        <w:t>scikit-learn</w:t>
      </w:r>
      <w:r>
        <w:rPr>
          <w:lang w:val="en-GB"/>
        </w:rPr>
        <w:t xml:space="preserve"> PCA function with 2 components. t-SNE was performed using the </w:t>
      </w:r>
      <w:r w:rsidR="00CB4397" w:rsidRPr="00CB4397">
        <w:rPr>
          <w:i/>
          <w:lang w:val="en-GB"/>
        </w:rPr>
        <w:t>scikit-learn</w:t>
      </w:r>
      <w:r>
        <w:rPr>
          <w:lang w:val="en-GB"/>
        </w:rPr>
        <w:t xml:space="preserve"> t-SNE function using the default settings, including 1000 maximum iterations.</w:t>
      </w:r>
      <w:r w:rsidR="00AB7AB4">
        <w:rPr>
          <w:lang w:val="en-GB"/>
        </w:rPr>
        <w:t xml:space="preserve"> A static random seed was used for all experiments.</w:t>
      </w:r>
    </w:p>
    <w:p w14:paraId="17BD285B" w14:textId="48B200B9" w:rsidR="00E521C1" w:rsidRDefault="00E521C1" w:rsidP="00E521C1">
      <w:pPr>
        <w:rPr>
          <w:lang w:val="en-GB"/>
        </w:rPr>
      </w:pPr>
    </w:p>
    <w:p w14:paraId="311689D2" w14:textId="28ABC1D9" w:rsidR="00AB7AB4" w:rsidRDefault="00AB7AB4" w:rsidP="00E521C1">
      <w:pPr>
        <w:rPr>
          <w:lang w:val="en-GB"/>
        </w:rPr>
      </w:pPr>
      <w:r>
        <w:rPr>
          <w:lang w:val="en-GB"/>
        </w:rPr>
        <w:t>Feature reduction was performed using the chi2 test Anthony regression</w:t>
      </w:r>
    </w:p>
    <w:p w14:paraId="603874DA" w14:textId="09FE906A" w:rsidR="00413B7B" w:rsidRDefault="00413B7B" w:rsidP="00413B7B">
      <w:pPr>
        <w:pStyle w:val="Heading3"/>
        <w:rPr>
          <w:lang w:val="en-GB"/>
        </w:rPr>
      </w:pPr>
      <w:r>
        <w:rPr>
          <w:lang w:val="en-GB"/>
        </w:rPr>
        <w:t xml:space="preserve">Complex modality integration </w:t>
      </w:r>
    </w:p>
    <w:p w14:paraId="05F6DD98" w14:textId="10AFD7FB" w:rsidR="00413B7B" w:rsidRDefault="00413B7B" w:rsidP="00413B7B">
      <w:pPr>
        <w:rPr>
          <w:lang w:val="en-GB"/>
        </w:rPr>
      </w:pPr>
      <w:r>
        <w:rPr>
          <w:lang w:val="en-GB"/>
        </w:rPr>
        <w:t>for the integration</w:t>
      </w:r>
    </w:p>
    <w:p w14:paraId="44FD82D0" w14:textId="2D413C8E" w:rsidR="00413B7B" w:rsidRDefault="00413B7B" w:rsidP="00413B7B">
      <w:pPr>
        <w:pStyle w:val="Heading4"/>
        <w:rPr>
          <w:lang w:val="en-GB"/>
        </w:rPr>
      </w:pPr>
      <w:r>
        <w:rPr>
          <w:lang w:val="en-GB"/>
        </w:rPr>
        <w:t>Nonnegative Matrix Factorization</w:t>
      </w:r>
    </w:p>
    <w:p w14:paraId="4867EAA1" w14:textId="5533CA25" w:rsidR="00781BA2" w:rsidRPr="00781BA2" w:rsidRDefault="00781BA2" w:rsidP="00781BA2">
      <w:pPr>
        <w:rPr>
          <w:lang w:val="en-GB"/>
        </w:rPr>
      </w:pPr>
      <w:r>
        <w:rPr>
          <w:lang w:val="en-GB"/>
        </w:rPr>
        <w:t xml:space="preserve">For the integration using nonnegative matrix factorization, the NMF function from the </w:t>
      </w:r>
      <w:r w:rsidR="00CB4397" w:rsidRPr="00CB4397">
        <w:rPr>
          <w:i/>
          <w:lang w:val="en-GB"/>
        </w:rPr>
        <w:t>scikit-learn</w:t>
      </w:r>
      <w:r>
        <w:rPr>
          <w:lang w:val="en-GB"/>
        </w:rPr>
        <w:t xml:space="preserve"> decomposition package was used. This was set to use 30 and order to allow comparison with the autoencoder integration method. We selected the initialization to be random, and supplied a static random seed to allow for reproducibility between experiments.</w:t>
      </w:r>
    </w:p>
    <w:p w14:paraId="37B336F1" w14:textId="401DDD73" w:rsidR="00413B7B" w:rsidRDefault="00413B7B" w:rsidP="00413B7B">
      <w:pPr>
        <w:pStyle w:val="Heading4"/>
        <w:rPr>
          <w:lang w:val="en-GB"/>
        </w:rPr>
      </w:pPr>
      <w:r>
        <w:rPr>
          <w:lang w:val="en-GB"/>
        </w:rPr>
        <w:t>Autoencoder</w:t>
      </w:r>
    </w:p>
    <w:p w14:paraId="54C56176" w14:textId="0571202B" w:rsidR="00781BA2" w:rsidRDefault="00212523" w:rsidP="00781BA2">
      <w:pPr>
        <w:rPr>
          <w:lang w:val="en-GB"/>
        </w:rPr>
      </w:pPr>
      <w:r>
        <w:rPr>
          <w:lang w:val="en-GB"/>
        </w:rPr>
        <w:t xml:space="preserve">For the integration using autoencoder, we used </w:t>
      </w:r>
      <w:proofErr w:type="spellStart"/>
      <w:r w:rsidRPr="003B7442">
        <w:rPr>
          <w:i/>
          <w:iCs/>
          <w:lang w:val="en-GB"/>
        </w:rPr>
        <w:t>PyTorch</w:t>
      </w:r>
      <w:proofErr w:type="spellEnd"/>
      <w:r w:rsidRPr="003B7442">
        <w:rPr>
          <w:i/>
          <w:iCs/>
          <w:lang w:val="en-GB"/>
        </w:rPr>
        <w:t xml:space="preserve"> </w:t>
      </w:r>
      <w:r>
        <w:rPr>
          <w:lang w:val="en-GB"/>
        </w:rPr>
        <w:t xml:space="preserve">to define the autoencoder architecture and train the model. We use the MSE loss function and Adam as the optimizer. </w:t>
      </w:r>
    </w:p>
    <w:p w14:paraId="66279D84" w14:textId="42FCC7C0" w:rsidR="00212523" w:rsidRPr="00781BA2" w:rsidRDefault="00212523" w:rsidP="00781BA2">
      <w:pPr>
        <w:rPr>
          <w:lang w:val="en-GB"/>
        </w:rPr>
      </w:pPr>
      <w:r>
        <w:rPr>
          <w:lang w:val="en-GB"/>
        </w:rPr>
        <w:lastRenderedPageBreak/>
        <w:t xml:space="preserve">For hyper parameter tuning, we used the </w:t>
      </w:r>
      <w:proofErr w:type="spellStart"/>
      <w:r w:rsidRPr="003B7442">
        <w:rPr>
          <w:i/>
          <w:iCs/>
          <w:lang w:val="en-GB"/>
        </w:rPr>
        <w:t>Skorch</w:t>
      </w:r>
      <w:proofErr w:type="spellEnd"/>
      <w:r w:rsidRPr="003B7442">
        <w:rPr>
          <w:i/>
          <w:iCs/>
          <w:lang w:val="en-GB"/>
        </w:rPr>
        <w:t xml:space="preserve"> </w:t>
      </w:r>
      <w:r>
        <w:rPr>
          <w:lang w:val="en-GB"/>
        </w:rPr>
        <w:t xml:space="preserve">package to wrap the Autoencoder module into an </w:t>
      </w:r>
      <w:r w:rsidR="00CB4397" w:rsidRPr="00CB4397">
        <w:rPr>
          <w:i/>
          <w:lang w:val="en-GB"/>
        </w:rPr>
        <w:t>Scikit-learn</w:t>
      </w:r>
      <w:r>
        <w:rPr>
          <w:lang w:val="en-GB"/>
        </w:rPr>
        <w:t xml:space="preserve"> compatible model. The </w:t>
      </w:r>
      <w:r w:rsidR="00CB4397" w:rsidRPr="00CB4397">
        <w:rPr>
          <w:i/>
          <w:lang w:val="en-GB"/>
        </w:rPr>
        <w:t>scikit-learn</w:t>
      </w:r>
      <w:r>
        <w:rPr>
          <w:lang w:val="en-GB"/>
        </w:rPr>
        <w:t xml:space="preserve"> </w:t>
      </w:r>
      <w:proofErr w:type="spellStart"/>
      <w:r>
        <w:rPr>
          <w:lang w:val="en-GB"/>
        </w:rPr>
        <w:t>GridSearchCV</w:t>
      </w:r>
      <w:proofErr w:type="spellEnd"/>
      <w:r>
        <w:rPr>
          <w:lang w:val="en-GB"/>
        </w:rPr>
        <w:t xml:space="preserve"> package was then used to perform hyper parameter tuning with an inner cross-validation of 5 folds.</w:t>
      </w:r>
    </w:p>
    <w:p w14:paraId="36E20F27" w14:textId="1C07E79C" w:rsidR="00E63691" w:rsidRDefault="00E63691" w:rsidP="003956A4">
      <w:pPr>
        <w:pStyle w:val="Heading3"/>
        <w:rPr>
          <w:lang w:val="en-GB"/>
        </w:rPr>
      </w:pPr>
      <w:r>
        <w:rPr>
          <w:lang w:val="en-GB"/>
        </w:rPr>
        <w:t>Predictive performance</w:t>
      </w:r>
      <w:r w:rsidR="00FB565D">
        <w:rPr>
          <w:lang w:val="en-GB"/>
        </w:rPr>
        <w:t xml:space="preserve"> </w:t>
      </w:r>
    </w:p>
    <w:p w14:paraId="6EB69ADC" w14:textId="4566FF0F" w:rsidR="003C6DD7" w:rsidRDefault="003C6DD7" w:rsidP="002D2DEC">
      <w:pPr>
        <w:rPr>
          <w:lang w:val="en-GB"/>
        </w:rPr>
      </w:pPr>
      <w:r>
        <w:rPr>
          <w:lang w:val="en-GB"/>
        </w:rPr>
        <w:t xml:space="preserve">For the stage endpoint, the prediction of the different stages 0-4 it is </w:t>
      </w:r>
      <w:proofErr w:type="spellStart"/>
      <w:r>
        <w:rPr>
          <w:lang w:val="en-GB"/>
        </w:rPr>
        <w:t>modeled</w:t>
      </w:r>
      <w:proofErr w:type="spellEnd"/>
      <w:r>
        <w:rPr>
          <w:lang w:val="en-GB"/>
        </w:rPr>
        <w:t xml:space="preserve"> as a regression, rather than </w:t>
      </w:r>
      <w:r w:rsidR="00BD5559">
        <w:rPr>
          <w:lang w:val="en-GB"/>
        </w:rPr>
        <w:t xml:space="preserve">a </w:t>
      </w:r>
      <w:r>
        <w:rPr>
          <w:lang w:val="en-GB"/>
        </w:rPr>
        <w:t>classification problem.</w:t>
      </w:r>
      <w:r w:rsidR="00BD5559">
        <w:rPr>
          <w:lang w:val="en-GB"/>
        </w:rPr>
        <w:t xml:space="preserve"> The prediction of this endpoint was performed using</w:t>
      </w:r>
      <w:r w:rsidR="00413B7B">
        <w:rPr>
          <w:lang w:val="en-GB"/>
        </w:rPr>
        <w:t xml:space="preserve"> the </w:t>
      </w:r>
      <w:r w:rsidR="00CB4397" w:rsidRPr="00CB4397">
        <w:rPr>
          <w:i/>
          <w:lang w:val="en-GB"/>
        </w:rPr>
        <w:t>scikit-learn</w:t>
      </w:r>
      <w:r w:rsidR="00413B7B">
        <w:rPr>
          <w:lang w:val="en-GB"/>
        </w:rPr>
        <w:t xml:space="preserve"> </w:t>
      </w:r>
      <w:r w:rsidR="00BD5559">
        <w:rPr>
          <w:lang w:val="en-GB"/>
        </w:rPr>
        <w:t>Random</w:t>
      </w:r>
      <w:r w:rsidR="003B7442">
        <w:rPr>
          <w:lang w:val="en-GB"/>
        </w:rPr>
        <w:t xml:space="preserve"> </w:t>
      </w:r>
      <w:r w:rsidR="00BD5559">
        <w:rPr>
          <w:lang w:val="en-GB"/>
        </w:rPr>
        <w:t>Forest</w:t>
      </w:r>
      <w:r w:rsidR="003B7442">
        <w:rPr>
          <w:lang w:val="en-GB"/>
        </w:rPr>
        <w:t xml:space="preserve"> </w:t>
      </w:r>
      <w:r w:rsidR="00413B7B">
        <w:rPr>
          <w:lang w:val="en-GB"/>
        </w:rPr>
        <w:t xml:space="preserve">Regressor model and the </w:t>
      </w:r>
      <w:r w:rsidR="00413B7B" w:rsidRPr="003B7442">
        <w:rPr>
          <w:lang w:val="en-GB"/>
        </w:rPr>
        <w:t>Elastic</w:t>
      </w:r>
      <w:r w:rsidR="003B7442">
        <w:rPr>
          <w:lang w:val="en-GB"/>
        </w:rPr>
        <w:t xml:space="preserve"> </w:t>
      </w:r>
      <w:r w:rsidR="00413B7B" w:rsidRPr="003B7442">
        <w:rPr>
          <w:lang w:val="en-GB"/>
        </w:rPr>
        <w:t>Net</w:t>
      </w:r>
      <w:r w:rsidR="00413B7B">
        <w:rPr>
          <w:lang w:val="en-GB"/>
        </w:rPr>
        <w:t xml:space="preserve"> model, both of which were initialized with a random seed of 0.</w:t>
      </w:r>
    </w:p>
    <w:p w14:paraId="5027A0D2" w14:textId="5AFB60CF" w:rsidR="00413B7B" w:rsidRDefault="00413B7B" w:rsidP="002D2DEC">
      <w:pPr>
        <w:rPr>
          <w:lang w:val="en-GB"/>
        </w:rPr>
      </w:pPr>
      <w:r>
        <w:rPr>
          <w:lang w:val="en-GB"/>
        </w:rPr>
        <w:t xml:space="preserve">For the </w:t>
      </w:r>
      <w:proofErr w:type="spellStart"/>
      <w:r>
        <w:rPr>
          <w:lang w:val="en-GB"/>
        </w:rPr>
        <w:t>tumor</w:t>
      </w:r>
      <w:proofErr w:type="spellEnd"/>
      <w:r>
        <w:rPr>
          <w:lang w:val="en-GB"/>
        </w:rPr>
        <w:t xml:space="preserve"> endpoint, the prediction was </w:t>
      </w:r>
      <w:proofErr w:type="spellStart"/>
      <w:r>
        <w:rPr>
          <w:lang w:val="en-GB"/>
        </w:rPr>
        <w:t>modeled</w:t>
      </w:r>
      <w:proofErr w:type="spellEnd"/>
      <w:r>
        <w:rPr>
          <w:lang w:val="en-GB"/>
        </w:rPr>
        <w:t xml:space="preserve"> as a binary classification problem, and the </w:t>
      </w:r>
      <w:r w:rsidR="00CB4397" w:rsidRPr="00CB4397">
        <w:rPr>
          <w:i/>
          <w:lang w:val="en-GB"/>
        </w:rPr>
        <w:t>scikit-learn</w:t>
      </w:r>
      <w:r>
        <w:rPr>
          <w:lang w:val="en-GB"/>
        </w:rPr>
        <w:t xml:space="preserve"> Support Vector Machine model was used with a random seed of 0.</w:t>
      </w:r>
    </w:p>
    <w:p w14:paraId="78BDCFBE" w14:textId="57F3D06B" w:rsidR="00B666ED" w:rsidRDefault="00B666ED" w:rsidP="002D2DEC">
      <w:pPr>
        <w:rPr>
          <w:lang w:val="en-GB"/>
        </w:rPr>
      </w:pPr>
      <w:r>
        <w:rPr>
          <w:lang w:val="en-GB"/>
        </w:rPr>
        <w:t xml:space="preserve">For the </w:t>
      </w:r>
      <w:proofErr w:type="spellStart"/>
      <w:r>
        <w:rPr>
          <w:lang w:val="en-GB"/>
        </w:rPr>
        <w:t>tumor</w:t>
      </w:r>
      <w:proofErr w:type="spellEnd"/>
      <w:r>
        <w:rPr>
          <w:lang w:val="en-GB"/>
        </w:rPr>
        <w:t xml:space="preserve"> and stage, we compared the performance to the baseline of a random predictor.</w:t>
      </w:r>
    </w:p>
    <w:p w14:paraId="3F8F7509" w14:textId="2376CE63" w:rsidR="00B666ED" w:rsidRDefault="00B666ED" w:rsidP="002D2DEC">
      <w:pPr>
        <w:rPr>
          <w:lang w:val="en-GB"/>
        </w:rPr>
      </w:pPr>
      <w:r>
        <w:rPr>
          <w:lang w:val="en-GB"/>
        </w:rPr>
        <w:t xml:space="preserve">For </w:t>
      </w:r>
      <w:proofErr w:type="spellStart"/>
      <w:r>
        <w:rPr>
          <w:lang w:val="en-GB"/>
        </w:rPr>
        <w:t>tumor</w:t>
      </w:r>
      <w:proofErr w:type="spellEnd"/>
      <w:r>
        <w:rPr>
          <w:lang w:val="en-GB"/>
        </w:rPr>
        <w:t>, this is</w:t>
      </w:r>
    </w:p>
    <w:p w14:paraId="1FD85F71" w14:textId="4AD243B9" w:rsidR="00B666ED" w:rsidRDefault="00B666ED" w:rsidP="002D2DEC">
      <w:pPr>
        <w:rPr>
          <w:lang w:val="en-GB"/>
        </w:rPr>
      </w:pPr>
      <w:r>
        <w:rPr>
          <w:lang w:val="en-GB"/>
        </w:rPr>
        <w:t>for stage, this is</w:t>
      </w:r>
    </w:p>
    <w:p w14:paraId="0CF08623" w14:textId="3FA622C9" w:rsidR="00413B7B" w:rsidRDefault="00413B7B" w:rsidP="00413B7B">
      <w:pPr>
        <w:pStyle w:val="Heading4"/>
        <w:rPr>
          <w:lang w:val="en-GB"/>
        </w:rPr>
      </w:pPr>
      <w:r>
        <w:rPr>
          <w:lang w:val="en-GB"/>
        </w:rPr>
        <w:t>Prediction pipeline</w:t>
      </w:r>
    </w:p>
    <w:p w14:paraId="63914033" w14:textId="19FFCECA" w:rsidR="00413B7B" w:rsidRDefault="00413B7B" w:rsidP="00413B7B">
      <w:pPr>
        <w:rPr>
          <w:lang w:val="en-GB"/>
        </w:rPr>
      </w:pPr>
      <w:r>
        <w:rPr>
          <w:lang w:val="en-GB"/>
        </w:rPr>
        <w:t>For the prediction pipeline, each experiment was performed for each combination of cancers (i.e. COAD, ESCA, HNSC, STAD), for each modality (i.e. gene expression, genus and the concatenation of gene expression and genus).</w:t>
      </w:r>
    </w:p>
    <w:p w14:paraId="0A34779A" w14:textId="0349D7E3" w:rsidR="00231E22" w:rsidRDefault="00231E22" w:rsidP="00413B7B">
      <w:pPr>
        <w:rPr>
          <w:lang w:val="en-GB"/>
        </w:rPr>
      </w:pPr>
      <w:r>
        <w:rPr>
          <w:lang w:val="en-GB"/>
        </w:rPr>
        <w:t>We used a random sampling approach to obtain an estimation of how a prediction model performed when used on each data modality separately, compared to how the model performed when using a combination of the modalities using various integration methods.</w:t>
      </w:r>
    </w:p>
    <w:p w14:paraId="42EBD184" w14:textId="2EBEC9AA" w:rsidR="00AC1F18" w:rsidRDefault="00AC1F18" w:rsidP="00AC1F18">
      <w:pPr>
        <w:pStyle w:val="Heading3"/>
        <w:rPr>
          <w:lang w:val="en-GB"/>
        </w:rPr>
      </w:pPr>
      <w:r>
        <w:rPr>
          <w:lang w:val="en-GB"/>
        </w:rPr>
        <w:t>Feature selection</w:t>
      </w:r>
    </w:p>
    <w:p w14:paraId="68568DDE" w14:textId="51119ACE" w:rsidR="00AC1F18" w:rsidRDefault="00AC1F18" w:rsidP="00AC1F18">
      <w:pPr>
        <w:rPr>
          <w:lang w:val="en-GB"/>
        </w:rPr>
      </w:pPr>
      <w:r>
        <w:rPr>
          <w:lang w:val="en-GB"/>
        </w:rPr>
        <w:t xml:space="preserve">For the </w:t>
      </w:r>
      <w:proofErr w:type="spellStart"/>
      <w:r>
        <w:rPr>
          <w:lang w:val="en-GB"/>
        </w:rPr>
        <w:t>tumor</w:t>
      </w:r>
      <w:proofErr w:type="spellEnd"/>
      <w:r>
        <w:rPr>
          <w:lang w:val="en-GB"/>
        </w:rPr>
        <w:t xml:space="preserve"> prediction, we chose an SVM model as it is a well-established method for classification that has shown effectiveness across multiple prior studies </w:t>
      </w:r>
      <w:r>
        <w:rPr>
          <w:lang w:val="en-GB"/>
        </w:rPr>
        <w:fldChar w:fldCharType="begin"/>
      </w:r>
      <w:r w:rsidR="00DD56C8">
        <w:rPr>
          <w:lang w:val="en-GB"/>
        </w:rPr>
        <w:instrText xml:space="preserve"> ADDIN ZOTERO_ITEM CSL_CITATION {"citationID":"les632En","properties":{"formattedCitation":"\\super 24\\uc0\\u8211{}26\\nosupersub{}","plainCitation":"24–26","noteIndex":0},"citationItems":[{"id":2,"uris":["http://zotero.org/users/local/0zqklVfX/items/8AIFZLBI"],"itemData":{"id":2,"type":"article-journal","container-title":"Molecular Cancer Research","DOI":"10.1158/1541-7786.MCR-17-0378","ISSN":"1541-7786, 1557-3125","issue":"2","journalAbbreviation":"Mol Cancer Res","language":"en","page":"269-278","source":"DOI.org (Crossref)","title":"Precision Oncology beyond Targeted Therapy: Combining Omics Data with Machine Learning Matches the Majority of Cancer Cells to Effective Therapeutics","title-short":"Precision Oncology beyond Targeted Therapy","volume":"16","author":[{"family":"Ding","given":"Michael Q."},{"family":"Chen","given":"Lujia"},{"family":"Cooper","given":"Gregory F."},{"family":"Young","given":"Jonathan D."},{"family":"Lu","given":"Xinghua"}],"issued":{"date-parts":[["2018",2]]}}},{"id":28,"uris":["http://zotero.org/users/local/0zqklVfX/items/5BNPVZX7"],"itemData":{"id":28,"type":"article-journal","container-title":"Clinical Cancer Research","DOI":"10.1158/1078-0432.CCR-17-0853","ISSN":"1078-0432, 1557-3265","issue":"6","journalAbbreviation":"Clin Cancer Res","language":"en","page":"1248-1259","source":"DOI.org (Crossref)","title":"Deep Learning–Based Multi-Omics Integration Robustly Predicts Survival in Liver Cancer","volume":"24","author":[{"family":"Chaudhary","given":"Kumardeep"},{"family":"Poirion","given":"Olivier B."},{"family":"Lu","given":"Liangqun"},{"family":"Garmire","given":"Lana X."}],"issued":{"date-parts":[["2018",3,15]]}}},{"id":246,"uris":["http://zotero.org/users/local/0zqklVfX/items/GTHC5WZ2"],"itemData":{"id":246,"type":"article-journal","abstract":"Accurate characterization of the molecular nature of a tumour is important for its effective treatment. Therefore, the classification of tumours is an important research problem. The application of data science and machine learning techniques to the gene-expression data has enabled computational researchers to separate the gene-expression samples into different classes based on the difference in gene-expression patterns. This has also facilitated the discovery of new classes and new disease biomarkers. However, gene-expression data is very high-dimensional and noisy. The number of features is high in comparison to the number of samples. The classes in the data are often imbalanced. Out of thousands of genes, only a few are relevant to the disease. The machine learning approaches for the classification of gene-expression samples need to address all these issues to obtain reliable performance. This paper proposed a method using simulated annealing and partial least squares regression for gene selection from six open-source microarray cancer gene-expression datasets. Selected subset of genes was used to fit support-vector machines, random-forest, voting-classifiers, and multilayer-perceptron classifiers. A comparison with existing methods shows the superior performance of the proposed method.","collection-title":"International Conference on Intelligent Engineering Approach(ICIEA-2022)","container-title":"Global Transitions Proceedings","DOI":"10.1016/j.gltp.2022.03.001","ISSN":"2666-285X","issue":"1","journalAbbreviation":"Global Transitions Proceedings","language":"en","page":"251-256","source":"ScienceDirect","title":"Feature Selection From Gene Expression Data Using Simulated Annealing and Partial Least Squares Regression Coefficients","volume":"3","author":[{"family":"Koul","given":"Nimrita"},{"family":"Manvi","given":"Sunilkumar S"}],"issued":{"date-parts":[["2022",6,1]]}}}],"schema":"https://github.com/citation-style-language/schema/raw/master/csl-citation.json"} </w:instrText>
      </w:r>
      <w:r>
        <w:rPr>
          <w:lang w:val="en-GB"/>
        </w:rPr>
        <w:fldChar w:fldCharType="separate"/>
      </w:r>
      <w:r w:rsidR="00DD56C8" w:rsidRPr="00DD56C8">
        <w:rPr>
          <w:rFonts w:ascii="Calibri" w:hAnsi="Calibri" w:cs="Calibri"/>
          <w:szCs w:val="24"/>
          <w:vertAlign w:val="superscript"/>
        </w:rPr>
        <w:t>24–26</w:t>
      </w:r>
      <w:r>
        <w:rPr>
          <w:lang w:val="en-GB"/>
        </w:rPr>
        <w:fldChar w:fldCharType="end"/>
      </w:r>
      <w:r>
        <w:rPr>
          <w:lang w:val="en-GB"/>
        </w:rPr>
        <w:t xml:space="preserve"> and is well-suited for the particular case where there are more features than samples. For stage prediction, we model it as an ordinal categorical variable and chose an elastic net model for the same reason </w:t>
      </w:r>
      <w:r>
        <w:rPr>
          <w:lang w:val="en-GB"/>
        </w:rPr>
        <w:fldChar w:fldCharType="begin"/>
      </w:r>
      <w:r w:rsidR="00DD56C8">
        <w:rPr>
          <w:lang w:val="en-GB"/>
        </w:rPr>
        <w:instrText xml:space="preserve"> ADDIN ZOTERO_ITEM CSL_CITATION {"citationID":"Ype32vj8","properties":{"formattedCitation":"\\super 24\\nosupersub{}","plainCitation":"24","noteIndex":0},"citationItems":[{"id":2,"uris":["http://zotero.org/users/local/0zqklVfX/items/8AIFZLBI"],"itemData":{"id":2,"type":"article-journal","container-title":"Molecular Cancer Research","DOI":"10.1158/1541-7786.MCR-17-0378","ISSN":"1541-7786, 1557-3125","issue":"2","journalAbbreviation":"Mol Cancer Res","language":"en","page":"269-278","source":"DOI.org (Crossref)","title":"Precision Oncology beyond Targeted Therapy: Combining Omics Data with Machine Learning Matches the Majority of Cancer Cells to Effective Therapeutics","title-short":"Precision Oncology beyond Targeted Therapy","volume":"16","author":[{"family":"Ding","given":"Michael Q."},{"family":"Chen","given":"Lujia"},{"family":"Cooper","given":"Gregory F."},{"family":"Young","given":"Jonathan D."},{"family":"Lu","given":"Xinghua"}],"issued":{"date-parts":[["2018",2]]}}}],"schema":"https://github.com/citation-style-language/schema/raw/master/csl-citation.json"} </w:instrText>
      </w:r>
      <w:r>
        <w:rPr>
          <w:lang w:val="en-GB"/>
        </w:rPr>
        <w:fldChar w:fldCharType="separate"/>
      </w:r>
      <w:r w:rsidR="00DD56C8" w:rsidRPr="00DD56C8">
        <w:rPr>
          <w:rFonts w:ascii="Calibri" w:hAnsi="Calibri" w:cs="Calibri"/>
          <w:szCs w:val="24"/>
          <w:vertAlign w:val="superscript"/>
        </w:rPr>
        <w:t>24</w:t>
      </w:r>
      <w:r>
        <w:rPr>
          <w:lang w:val="en-GB"/>
        </w:rPr>
        <w:fldChar w:fldCharType="end"/>
      </w:r>
      <w:r>
        <w:rPr>
          <w:lang w:val="en-GB"/>
        </w:rPr>
        <w:t>.</w:t>
      </w:r>
    </w:p>
    <w:p w14:paraId="5B8D796E" w14:textId="58FF91B2" w:rsidR="00AC1F18" w:rsidRDefault="00AC1F18" w:rsidP="00AC1F18">
      <w:pPr>
        <w:rPr>
          <w:lang w:val="en-GB"/>
        </w:rPr>
      </w:pPr>
      <w:r>
        <w:rPr>
          <w:lang w:val="en-GB"/>
        </w:rPr>
        <w:t xml:space="preserve">Prior to generating a prediction model, we performed feature selection in order to reduce the effect of noisy variables and only include the most powerful predictors, which has been shown to improve prediction performance </w:t>
      </w:r>
      <w:r>
        <w:rPr>
          <w:lang w:val="en-GB"/>
        </w:rPr>
        <w:fldChar w:fldCharType="begin"/>
      </w:r>
      <w:r w:rsidR="00DD56C8">
        <w:rPr>
          <w:lang w:val="en-GB"/>
        </w:rPr>
        <w:instrText xml:space="preserve"> ADDIN ZOTERO_ITEM CSL_CITATION {"citationID":"3m2QeqeE","properties":{"formattedCitation":"\\super 27\\nosupersub{}","plainCitation":"27","noteIndex":0},"citationItems":[{"id":249,"uris":["http://zotero.org/users/local/0zqklVfX/items/XGL9MGUX"],"itemData":{"id":249,"type":"article-journal","abstract":"With the emergence of single-cell RNA sequencing (scRNA-seq) technology, scientists are able to examine gene expression at single-cell resolution. Analysis of scRNA-seq data has its own challenges, which stem from its high dimensionality. The method of machine learning comes with the potential of gene (feature) selection from the high-dimensional scRNA-seq data. Even though there exist multiple machine learning methods that appear to be suitable for feature selection, such as penalized regression, there is no rigorous comparison of their performances across data sets, where each poses its own challenges. Therefore, in this paper, we analyzed and compared multiple penalized regression methods for scRNA-seq data. Given the scRNA-seq data sets we analyzed, the results show that sparse group lasso (SGL) outperforms the other six methods (ridge, lasso, elastic net, drop lasso, group lasso, and big lasso) using the metrics area under the receiver operating curve (AUC) and computation time. Building on these findings, we proposed a new algorithm for feature selection using penalized regression methods. The proposed algorithm works by selecting a small subset of genes and applying SGL to select the differentially expressed genes in scRNA-seq data. By using hierarchical clustering to group genes, the proposed method bypasses the need for domain-specific knowledge for gene grouping information. In addition, the proposed algorithm provided consistently better AUC for the data sets used.","container-title":"Biology","DOI":"10.3390/biology11101495","ISSN":"2079-7737","issue":"10","journalAbbreviation":"Biology (Basel)","language":"eng","note":"PMID: 36290397\nPMCID: PMC9598401","page":"1495","source":"PubMed","title":"A Novel Algorithm for Feature Selection Using Penalized Regression with Applications to Single-Cell RNA Sequencing Data","volume":"11","author":[{"family":"Sen Puliparambil","given":"Bhavithry"},{"family":"Tomal","given":"Jabed H."},{"family":"Yan","given":"Yan"}],"issued":{"date-parts":[["2022",10,12]]}}}],"schema":"https://github.com/citation-style-language/schema/raw/master/csl-citation.json"} </w:instrText>
      </w:r>
      <w:r>
        <w:rPr>
          <w:lang w:val="en-GB"/>
        </w:rPr>
        <w:fldChar w:fldCharType="separate"/>
      </w:r>
      <w:r w:rsidR="00DD56C8" w:rsidRPr="00DD56C8">
        <w:rPr>
          <w:rFonts w:ascii="Calibri" w:hAnsi="Calibri" w:cs="Calibri"/>
          <w:szCs w:val="24"/>
          <w:vertAlign w:val="superscript"/>
        </w:rPr>
        <w:t>27</w:t>
      </w:r>
      <w:r>
        <w:rPr>
          <w:lang w:val="en-GB"/>
        </w:rPr>
        <w:fldChar w:fldCharType="end"/>
      </w:r>
      <w:r>
        <w:rPr>
          <w:lang w:val="en-GB"/>
        </w:rPr>
        <w:t>.</w:t>
      </w:r>
    </w:p>
    <w:p w14:paraId="5D784D7F" w14:textId="3A7E9ECE" w:rsidR="00AC1F18" w:rsidRDefault="00AC1F18" w:rsidP="00AC1F18">
      <w:pPr>
        <w:rPr>
          <w:lang w:val="en-GB"/>
        </w:rPr>
      </w:pPr>
      <w:r>
        <w:rPr>
          <w:lang w:val="en-GB"/>
        </w:rPr>
        <w:t xml:space="preserve">For </w:t>
      </w:r>
      <w:proofErr w:type="spellStart"/>
      <w:r>
        <w:rPr>
          <w:lang w:val="en-GB"/>
        </w:rPr>
        <w:t>tumor</w:t>
      </w:r>
      <w:proofErr w:type="spellEnd"/>
      <w:r>
        <w:rPr>
          <w:lang w:val="en-GB"/>
        </w:rPr>
        <w:t xml:space="preserve"> prediction, we used the Chi-square test, which is a commonly used feature selection method for categorical variables which has previously been successfully used to select important gene features </w:t>
      </w:r>
      <w:r>
        <w:rPr>
          <w:lang w:val="en-GB"/>
        </w:rPr>
        <w:fldChar w:fldCharType="begin"/>
      </w:r>
      <w:r w:rsidR="00DD56C8">
        <w:rPr>
          <w:lang w:val="en-GB"/>
        </w:rPr>
        <w:instrText xml:space="preserve"> ADDIN ZOTERO_ITEM CSL_CITATION {"citationID":"L6CI1zto","properties":{"formattedCitation":"\\super 28\\nosupersub{}","plainCitation":"28","noteIndex":0},"citationItems":[{"id":244,"uris":["http://zotero.org/users/local/0zqklVfX/items/UB7GZV7Q"],"itemData":{"id":244,"type":"article-journal","abstract":"Blood cancer has been a growing concern during the last decade and requires early diagnosis to start proper treatment. The diagnosis process is costly and time-consuming involving medical experts and several tests. Thus, an automatic diagnosis system for its accurate prediction is of significant importance. Diagnosis of blood cancer using leukemia microarray gene data and machine learning approach has become an important medical research today. Despite research efforts, desired accuracy and efficiency necessitate further enhancements. This study proposes an approach for blood cancer disease prediction using the supervised machine learning approach. For the current study, the leukemia microarray gene dataset containing 22,283 genes, is used. ADASYN resampling and Chi-squared (Chi2) features selection techniques are used to resolve imbalanced and high-dimensional dataset problems. ADASYN generates artificial data to make the dataset balanced for each target class, and Chi2 selects the best features out of 22,283 to train learning models. For classification, a hybrid logistics vector trees classifier (LVTrees) is proposed which utilizes logistic regression, support vector classifier, and extra tree classifier. Besides extensive experiments on the datasets, performance comparison with the state-of-the-art methods has been made for determining the significance of the proposed approach. LVTrees outperform all other models with ADASYN and Chi2 techniques with a significant 100% accuracy. Further, a statistical significance T-test is also performed to show the efficacy of the proposed approach. Results using k-fold cross-validation prove the supremacy of the proposed model.","container-title":"Scientific Reports","DOI":"10.1038/s41598-022-04835-6","ISSN":"2045-2322","issue":"1","journalAbbreviation":"Sci Rep","language":"en","license":"2022 The Author(s)","note":"number: 1\npublisher: Nature Publishing Group","page":"1000","source":"www.nature.com","title":"Blood cancer prediction using leukemia microarray gene data and hybrid logistic vector trees model","volume":"12","author":[{"family":"Rupapara","given":"Vaibhav"},{"family":"Rustam","given":"Furqan"},{"family":"Aljedaani","given":"Wajdi"},{"family":"Shahzad","given":"Hina Fatima"},{"family":"Lee","given":"Ernesto"},{"family":"Ashraf","given":"Imran"}],"issued":{"date-parts":[["2022",1,19]]}}}],"schema":"https://github.com/citation-style-language/schema/raw/master/csl-citation.json"} </w:instrText>
      </w:r>
      <w:r>
        <w:rPr>
          <w:lang w:val="en-GB"/>
        </w:rPr>
        <w:fldChar w:fldCharType="separate"/>
      </w:r>
      <w:r w:rsidR="00DD56C8" w:rsidRPr="00DD56C8">
        <w:rPr>
          <w:rFonts w:ascii="Calibri" w:hAnsi="Calibri" w:cs="Calibri"/>
          <w:szCs w:val="24"/>
          <w:vertAlign w:val="superscript"/>
        </w:rPr>
        <w:t>28</w:t>
      </w:r>
      <w:r>
        <w:rPr>
          <w:lang w:val="en-GB"/>
        </w:rPr>
        <w:fldChar w:fldCharType="end"/>
      </w:r>
      <w:r>
        <w:rPr>
          <w:lang w:val="en-GB"/>
        </w:rPr>
        <w:t>.</w:t>
      </w:r>
    </w:p>
    <w:p w14:paraId="6B41E77D" w14:textId="4231F3C3" w:rsidR="00AC1F18" w:rsidRDefault="00AC1F18" w:rsidP="00AC1F18">
      <w:pPr>
        <w:rPr>
          <w:lang w:val="en-GB"/>
        </w:rPr>
      </w:pPr>
      <w:r>
        <w:rPr>
          <w:lang w:val="en-GB"/>
        </w:rPr>
        <w:t xml:space="preserve">For dual class and multiclass prediction targets, partial least squares regression based methods have also seen some successful use for gene feature selection </w:t>
      </w:r>
      <w:r>
        <w:rPr>
          <w:lang w:val="en-GB"/>
        </w:rPr>
        <w:fldChar w:fldCharType="begin"/>
      </w:r>
      <w:r w:rsidR="00DD56C8">
        <w:rPr>
          <w:lang w:val="en-GB"/>
        </w:rPr>
        <w:instrText xml:space="preserve"> ADDIN ZOTERO_ITEM CSL_CITATION {"citationID":"f8iMGgox","properties":{"formattedCitation":"\\super 26\\nosupersub{}","plainCitation":"26","noteIndex":0},"citationItems":[{"id":246,"uris":["http://zotero.org/users/local/0zqklVfX/items/GTHC5WZ2"],"itemData":{"id":246,"type":"article-journal","abstract":"Accurate characterization of the molecular nature of a tumour is important for its effective treatment. Therefore, the classification of tumours is an important research problem. The application of data science and machine learning techniques to the gene-expression data has enabled computational researchers to separate the gene-expression samples into different classes based on the difference in gene-expression patterns. This has also facilitated the discovery of new classes and new disease biomarkers. However, gene-expression data is very high-dimensional and noisy. The number of features is high in comparison to the number of samples. The classes in the data are often imbalanced. Out of thousands of genes, only a few are relevant to the disease. The machine learning approaches for the classification of gene-expression samples need to address all these issues to obtain reliable performance. This paper proposed a method using simulated annealing and partial least squares regression for gene selection from six open-source microarray cancer gene-expression datasets. Selected subset of genes was used to fit support-vector machines, random-forest, voting-classifiers, and multilayer-perceptron classifiers. A comparison with existing methods shows the superior performance of the proposed method.","collection-title":"International Conference on Intelligent Engineering Approach(ICIEA-2022)","container-title":"Global Transitions Proceedings","DOI":"10.1016/j.gltp.2022.03.001","ISSN":"2666-285X","issue":"1","journalAbbreviation":"Global Transitions Proceedings","language":"en","page":"251-256","source":"ScienceDirect","title":"Feature Selection From Gene Expression Data Using Simulated Annealing and Partial Least Squares Regression Coefficients","volume":"3","author":[{"family":"Koul","given":"Nimrita"},{"family":"Manvi","given":"Sunilkumar S"}],"issued":{"date-parts":[["2022",6,1]]}}}],"schema":"https://github.com/citation-style-language/schema/raw/master/csl-citation.json"} </w:instrText>
      </w:r>
      <w:r>
        <w:rPr>
          <w:lang w:val="en-GB"/>
        </w:rPr>
        <w:fldChar w:fldCharType="separate"/>
      </w:r>
      <w:r w:rsidR="00DD56C8" w:rsidRPr="00DD56C8">
        <w:rPr>
          <w:rFonts w:ascii="Calibri" w:hAnsi="Calibri" w:cs="Calibri"/>
          <w:szCs w:val="24"/>
          <w:vertAlign w:val="superscript"/>
        </w:rPr>
        <w:t>26</w:t>
      </w:r>
      <w:r>
        <w:rPr>
          <w:lang w:val="en-GB"/>
        </w:rPr>
        <w:fldChar w:fldCharType="end"/>
      </w:r>
      <w:r>
        <w:rPr>
          <w:lang w:val="en-GB"/>
        </w:rPr>
        <w:t xml:space="preserve">. Penalized regression methods work well for biological data sets, where there are more features than samples </w:t>
      </w:r>
      <w:r>
        <w:rPr>
          <w:lang w:val="en-GB"/>
        </w:rPr>
        <w:fldChar w:fldCharType="begin"/>
      </w:r>
      <w:r w:rsidR="00DD56C8">
        <w:rPr>
          <w:lang w:val="en-GB"/>
        </w:rPr>
        <w:instrText xml:space="preserve"> ADDIN ZOTERO_ITEM CSL_CITATION {"citationID":"YkthWeb1","properties":{"formattedCitation":"\\super 27\\nosupersub{}","plainCitation":"27","noteIndex":0},"citationItems":[{"id":249,"uris":["http://zotero.org/users/local/0zqklVfX/items/XGL9MGUX"],"itemData":{"id":249,"type":"article-journal","abstract":"With the emergence of single-cell RNA sequencing (scRNA-seq) technology, scientists are able to examine gene expression at single-cell resolution. Analysis of scRNA-seq data has its own challenges, which stem from its high dimensionality. The method of machine learning comes with the potential of gene (feature) selection from the high-dimensional scRNA-seq data. Even though there exist multiple machine learning methods that appear to be suitable for feature selection, such as penalized regression, there is no rigorous comparison of their performances across data sets, where each poses its own challenges. Therefore, in this paper, we analyzed and compared multiple penalized regression methods for scRNA-seq data. Given the scRNA-seq data sets we analyzed, the results show that sparse group lasso (SGL) outperforms the other six methods (ridge, lasso, elastic net, drop lasso, group lasso, and big lasso) using the metrics area under the receiver operating curve (AUC) and computation time. Building on these findings, we proposed a new algorithm for feature selection using penalized regression methods. The proposed algorithm works by selecting a small subset of genes and applying SGL to select the differentially expressed genes in scRNA-seq data. By using hierarchical clustering to group genes, the proposed method bypasses the need for domain-specific knowledge for gene grouping information. In addition, the proposed algorithm provided consistently better AUC for the data sets used.","container-title":"Biology","DOI":"10.3390/biology11101495","ISSN":"2079-7737","issue":"10","journalAbbreviation":"Biology (Basel)","language":"eng","note":"PMID: 36290397\nPMCID: PMC9598401","page":"1495","source":"PubMed","title":"A Novel Algorithm for Feature Selection Using Penalized Regression with Applications to Single-Cell RNA Sequencing Data","volume":"11","author":[{"family":"Sen Puliparambil","given":"Bhavithry"},{"family":"Tomal","given":"Jabed H."},{"family":"Yan","given":"Yan"}],"issued":{"date-parts":[["2022",10,12]]}}}],"schema":"https://github.com/citation-style-language/schema/raw/master/csl-citation.json"} </w:instrText>
      </w:r>
      <w:r>
        <w:rPr>
          <w:lang w:val="en-GB"/>
        </w:rPr>
        <w:fldChar w:fldCharType="separate"/>
      </w:r>
      <w:r w:rsidR="00DD56C8" w:rsidRPr="00DD56C8">
        <w:rPr>
          <w:rFonts w:ascii="Calibri" w:hAnsi="Calibri" w:cs="Calibri"/>
          <w:szCs w:val="24"/>
          <w:vertAlign w:val="superscript"/>
        </w:rPr>
        <w:t>27</w:t>
      </w:r>
      <w:r>
        <w:rPr>
          <w:lang w:val="en-GB"/>
        </w:rPr>
        <w:fldChar w:fldCharType="end"/>
      </w:r>
      <w:r>
        <w:rPr>
          <w:lang w:val="en-GB"/>
        </w:rPr>
        <w:t xml:space="preserve">. In particular LASSO seems to work particularly well </w:t>
      </w:r>
      <w:r>
        <w:rPr>
          <w:lang w:val="en-GB"/>
        </w:rPr>
        <w:fldChar w:fldCharType="begin"/>
      </w:r>
      <w:r w:rsidR="00DD56C8">
        <w:rPr>
          <w:lang w:val="en-GB"/>
        </w:rPr>
        <w:instrText xml:space="preserve"> ADDIN ZOTERO_ITEM CSL_CITATION {"citationID":"dksbNIlE","properties":{"formattedCitation":"\\super 27\\nosupersub{}","plainCitation":"27","noteIndex":0},"citationItems":[{"id":249,"uris":["http://zotero.org/users/local/0zqklVfX/items/XGL9MGUX"],"itemData":{"id":249,"type":"article-journal","abstract":"With the emergence of single-cell RNA sequencing (scRNA-seq) technology, scientists are able to examine gene expression at single-cell resolution. Analysis of scRNA-seq data has its own challenges, which stem from its high dimensionality. The method of machine learning comes with the potential of gene (feature) selection from the high-dimensional scRNA-seq data. Even though there exist multiple machine learning methods that appear to be suitable for feature selection, such as penalized regression, there is no rigorous comparison of their performances across data sets, where each poses its own challenges. Therefore, in this paper, we analyzed and compared multiple penalized regression methods for scRNA-seq data. Given the scRNA-seq data sets we analyzed, the results show that sparse group lasso (SGL) outperforms the other six methods (ridge, lasso, elastic net, drop lasso, group lasso, and big lasso) using the metrics area under the receiver operating curve (AUC) and computation time. Building on these findings, we proposed a new algorithm for feature selection using penalized regression methods. The proposed algorithm works by selecting a small subset of genes and applying SGL to select the differentially expressed genes in scRNA-seq data. By using hierarchical clustering to group genes, the proposed method bypasses the need for domain-specific knowledge for gene grouping information. In addition, the proposed algorithm provided consistently better AUC for the data sets used.","container-title":"Biology","DOI":"10.3390/biology11101495","ISSN":"2079-7737","issue":"10","journalAbbreviation":"Biology (Basel)","language":"eng","note":"PMID: 36290397\nPMCID: PMC9598401","page":"1495","source":"PubMed","title":"A Novel Algorithm for Feature Selection Using Penalized Regression with Applications to Single-Cell RNA Sequencing Data","volume":"11","author":[{"family":"Sen Puliparambil","given":"Bhavithry"},{"family":"Tomal","given":"Jabed H."},{"family":"Yan","given":"Yan"}],"issued":{"date-parts":[["2022",10,12]]}}}],"schema":"https://github.com/citation-style-language/schema/raw/master/csl-citation.json"} </w:instrText>
      </w:r>
      <w:r>
        <w:rPr>
          <w:lang w:val="en-GB"/>
        </w:rPr>
        <w:fldChar w:fldCharType="separate"/>
      </w:r>
      <w:r w:rsidR="00DD56C8" w:rsidRPr="00DD56C8">
        <w:rPr>
          <w:rFonts w:ascii="Calibri" w:hAnsi="Calibri" w:cs="Calibri"/>
          <w:szCs w:val="24"/>
          <w:vertAlign w:val="superscript"/>
        </w:rPr>
        <w:t>27</w:t>
      </w:r>
      <w:r>
        <w:rPr>
          <w:lang w:val="en-GB"/>
        </w:rPr>
        <w:fldChar w:fldCharType="end"/>
      </w:r>
      <w:r>
        <w:rPr>
          <w:lang w:val="en-GB"/>
        </w:rPr>
        <w:t xml:space="preserve">, as well as LASSO-based methods </w:t>
      </w:r>
      <w:r>
        <w:rPr>
          <w:lang w:val="en-GB"/>
        </w:rPr>
        <w:fldChar w:fldCharType="begin"/>
      </w:r>
      <w:r w:rsidR="00DD56C8">
        <w:rPr>
          <w:lang w:val="en-GB"/>
        </w:rPr>
        <w:instrText xml:space="preserve"> ADDIN ZOTERO_ITEM CSL_CITATION {"citationID":"bjPFyF4u","properties":{"formattedCitation":"\\super 29\\nosupersub{}","plainCitation":"29","noteIndex":0},"citationItems":[{"id":252,"uris":["http://zotero.org/users/local/0zqklVfX/items/URD8UIVQ"],"itemData":{"id":252,"type":"book","abstract":"Breast cancer is the most common cancer among women due to many factors such as heredity and unhealthy lifestyles. Early and accurate diagnosis of this cancer improves the patient quality of life and increases the survival rate. Microarray technology provides effective way to early diagnosis cancer. However, the nature of its data complicates the classification process. A hybrid approach of mutual information (MI), least absolute shrinkage and selection operator (LASSO) and genetic algorithm (GA) is proposed to face this challenge. The proposed approach is assessed using logistic regression (LR), support vector machine (SVM), K-nearest neighbor (KNN), and random forest (RF). Compared to the state-of-the-art models, the proposed approach can effectively diagnose the breast cancer with few numbers of genes. For the benchmarked Van't veer dataset, it obtained a classification accuracy of 96% with only 23 features.","ISBN":"9789811622748","note":"DOI: 10.1007/978-981-16-2275-5_36","source":"ResearchGate","title":"A Hybrid Mutual Information-LASSO-Genetic Algorithm Selection Approach for Classifying Breast Cancer","author":[{"family":"Abdelnaby","given":"Mohammed"},{"family":"Alfonse","given":"Marco"},{"family":"Roushdy","given":"Mohamed"}],"issued":{"date-parts":[["2021",9,3]]}}}],"schema":"https://github.com/citation-style-language/schema/raw/master/csl-citation.json"} </w:instrText>
      </w:r>
      <w:r>
        <w:rPr>
          <w:lang w:val="en-GB"/>
        </w:rPr>
        <w:fldChar w:fldCharType="separate"/>
      </w:r>
      <w:r w:rsidR="00DD56C8" w:rsidRPr="00DD56C8">
        <w:rPr>
          <w:rFonts w:ascii="Calibri" w:hAnsi="Calibri" w:cs="Calibri"/>
          <w:szCs w:val="24"/>
          <w:vertAlign w:val="superscript"/>
        </w:rPr>
        <w:t>29</w:t>
      </w:r>
      <w:r>
        <w:rPr>
          <w:lang w:val="en-GB"/>
        </w:rPr>
        <w:fldChar w:fldCharType="end"/>
      </w:r>
    </w:p>
    <w:p w14:paraId="55AE3861" w14:textId="77777777" w:rsidR="00AC1F18" w:rsidRDefault="00AC1F18" w:rsidP="00AC1F18">
      <w:pPr>
        <w:rPr>
          <w:lang w:val="en-GB"/>
        </w:rPr>
      </w:pPr>
    </w:p>
    <w:p w14:paraId="5B09FD46" w14:textId="77777777" w:rsidR="00B216F9" w:rsidRDefault="00B216F9" w:rsidP="00B216F9">
      <w:pPr>
        <w:keepNext/>
      </w:pPr>
      <w:r w:rsidRPr="00472ECD">
        <w:rPr>
          <w:noProof/>
          <w:lang w:val="en-GB"/>
        </w:rPr>
        <w:lastRenderedPageBreak/>
        <w:drawing>
          <wp:inline distT="0" distB="0" distL="0" distR="0" wp14:anchorId="0B975524" wp14:editId="47A9FE6D">
            <wp:extent cx="3718560" cy="2631337"/>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9"/>
                    <a:stretch>
                      <a:fillRect/>
                    </a:stretch>
                  </pic:blipFill>
                  <pic:spPr>
                    <a:xfrm>
                      <a:off x="0" y="0"/>
                      <a:ext cx="3727818" cy="2637888"/>
                    </a:xfrm>
                    <a:prstGeom prst="rect">
                      <a:avLst/>
                    </a:prstGeom>
                  </pic:spPr>
                </pic:pic>
              </a:graphicData>
            </a:graphic>
          </wp:inline>
        </w:drawing>
      </w:r>
    </w:p>
    <w:p w14:paraId="29465E2B" w14:textId="4CB01D9A" w:rsidR="00B216F9" w:rsidRDefault="00B216F9" w:rsidP="00B216F9">
      <w:pPr>
        <w:pStyle w:val="Caption"/>
        <w:rPr>
          <w:lang w:val="en-GB"/>
        </w:rPr>
      </w:pPr>
      <w:bookmarkStart w:id="0" w:name="_Ref129571161"/>
      <w:r>
        <w:t xml:space="preserve">Figure </w:t>
      </w:r>
      <w:fldSimple w:instr=" SEQ Figure \* ARABIC ">
        <w:r w:rsidR="00BD1C61">
          <w:rPr>
            <w:noProof/>
          </w:rPr>
          <w:t>1</w:t>
        </w:r>
      </w:fldSimple>
      <w:bookmarkEnd w:id="0"/>
      <w:r>
        <w:t xml:space="preserve">: </w:t>
      </w:r>
      <w:r w:rsidRPr="00630E4B">
        <w:t>the different combinatorial options of the predictions pipeline</w:t>
      </w:r>
    </w:p>
    <w:p w14:paraId="2DA2D674" w14:textId="77777777" w:rsidR="00B216F9" w:rsidRDefault="00B216F9" w:rsidP="00413B7B">
      <w:pPr>
        <w:rPr>
          <w:lang w:val="en-GB"/>
        </w:rPr>
      </w:pPr>
    </w:p>
    <w:p w14:paraId="05ACDEE6" w14:textId="30375029" w:rsidR="00413B7B" w:rsidRDefault="00413B7B" w:rsidP="00413B7B">
      <w:pPr>
        <w:rPr>
          <w:lang w:val="en-GB"/>
        </w:rPr>
      </w:pPr>
      <w:r>
        <w:rPr>
          <w:lang w:val="en-GB"/>
        </w:rPr>
        <w:t>For each of these combinations,</w:t>
      </w:r>
      <w:r w:rsidR="00231E22">
        <w:rPr>
          <w:lang w:val="en-GB"/>
        </w:rPr>
        <w:t xml:space="preserve"> a random stratified split was performed to split</w:t>
      </w:r>
      <w:r>
        <w:rPr>
          <w:lang w:val="en-GB"/>
        </w:rPr>
        <w:t xml:space="preserve"> the data </w:t>
      </w:r>
      <w:r w:rsidR="00231E22">
        <w:rPr>
          <w:lang w:val="en-GB"/>
        </w:rPr>
        <w:t xml:space="preserve">into 80% training and 20% testing. This split was performed 200 hundred times by using the </w:t>
      </w:r>
      <w:r w:rsidR="00CB4397" w:rsidRPr="00CB4397">
        <w:rPr>
          <w:i/>
          <w:lang w:val="en-GB"/>
        </w:rPr>
        <w:t>scikit-learn</w:t>
      </w:r>
      <w:r w:rsidR="00231E22">
        <w:rPr>
          <w:lang w:val="en-GB"/>
        </w:rPr>
        <w:t xml:space="preserve"> </w:t>
      </w:r>
      <w:proofErr w:type="spellStart"/>
      <w:r w:rsidR="00231E22">
        <w:rPr>
          <w:lang w:val="en-GB"/>
        </w:rPr>
        <w:t>train_test_split</w:t>
      </w:r>
      <w:proofErr w:type="spellEnd"/>
      <w:r w:rsidR="00231E22">
        <w:rPr>
          <w:lang w:val="en-GB"/>
        </w:rPr>
        <w:t xml:space="preserve"> function. Each split iteration was assigned a custom seed to ensure consistency between experiment runs. </w:t>
      </w:r>
    </w:p>
    <w:p w14:paraId="7AFE6C75" w14:textId="234BAAA7" w:rsidR="00231E22" w:rsidRDefault="00231E22" w:rsidP="00413B7B">
      <w:pPr>
        <w:rPr>
          <w:lang w:val="en-GB"/>
        </w:rPr>
      </w:pPr>
      <w:r>
        <w:rPr>
          <w:lang w:val="en-GB"/>
        </w:rPr>
        <w:t>Using 80% of the data, this data set portion was used to performed feature selection for various feature amounts (i.e.</w:t>
      </w:r>
      <w:r w:rsidR="00E955FC">
        <w:rPr>
          <w:lang w:val="en-GB"/>
        </w:rPr>
        <w:t xml:space="preserve"> 6, 10, 26, 50, 100, 200</w:t>
      </w:r>
      <w:r>
        <w:rPr>
          <w:lang w:val="en-GB"/>
        </w:rPr>
        <w:t>)</w:t>
      </w:r>
      <w:r w:rsidR="00846C31">
        <w:rPr>
          <w:lang w:val="en-GB"/>
        </w:rPr>
        <w:t>, up to the maximum amount of features present within the modality</w:t>
      </w:r>
      <w:r w:rsidR="00E955FC">
        <w:rPr>
          <w:lang w:val="en-GB"/>
        </w:rPr>
        <w:t>. Each experiment was also carried out when using no feature selection. The selected feature amounts of the top selected features and thus are subsets of each other. For example, the top 6 features are contained within the top 10 features which are in turn contained within the top 26 features etc.</w:t>
      </w:r>
    </w:p>
    <w:p w14:paraId="28DE8630" w14:textId="1E902658" w:rsidR="00B216F9" w:rsidRDefault="00B216F9" w:rsidP="00413B7B">
      <w:pPr>
        <w:rPr>
          <w:lang w:val="en-GB"/>
        </w:rPr>
      </w:pPr>
      <w:r>
        <w:rPr>
          <w:lang w:val="en-GB"/>
        </w:rPr>
        <w:t>The prediction models are then evaluated using the precision, recall and f1-score. This pipeline thus generates n different sets of values for these evaluation metrics. For the evaluation, we consider the average of the metric across each class value. For each combination of the value types above, the average of across the n random sampling iterations are then plotted along with their standard deviation across these iterations.</w:t>
      </w:r>
    </w:p>
    <w:p w14:paraId="76DB631F" w14:textId="4E61BD8B" w:rsidR="00E955FC" w:rsidRDefault="00E955FC" w:rsidP="00413B7B">
      <w:pPr>
        <w:rPr>
          <w:lang w:val="en-GB"/>
        </w:rPr>
      </w:pPr>
      <w:r>
        <w:rPr>
          <w:lang w:val="en-GB"/>
        </w:rPr>
        <w:t>The feature selection was performed using linear regression and the chi-squared test. For the linear regression, a model was trained using the feature values of the samples along with the targets. The magnitude of the coefficients for each feature value was then used to obtain a feature ranking.</w:t>
      </w:r>
    </w:p>
    <w:p w14:paraId="16B163ED" w14:textId="272B9B5F" w:rsidR="00E955FC" w:rsidRDefault="00E955FC" w:rsidP="00413B7B">
      <w:pPr>
        <w:rPr>
          <w:lang w:val="en-GB"/>
        </w:rPr>
      </w:pPr>
      <w:r>
        <w:rPr>
          <w:lang w:val="en-GB"/>
        </w:rPr>
        <w:t>For the chi-squared test, the chi-squared test is simply used to obtain the feature rankings.</w:t>
      </w:r>
    </w:p>
    <w:p w14:paraId="4EF44F2C" w14:textId="07C2ACE3" w:rsidR="00E955FC" w:rsidRDefault="00E955FC" w:rsidP="00413B7B">
      <w:pPr>
        <w:rPr>
          <w:lang w:val="en-GB"/>
        </w:rPr>
      </w:pPr>
      <w:r>
        <w:rPr>
          <w:lang w:val="en-GB"/>
        </w:rPr>
        <w:t>After obtaining these top features, a prediction model is trained on the 80% training set using only the</w:t>
      </w:r>
      <w:r w:rsidR="002B63E5">
        <w:rPr>
          <w:lang w:val="en-GB"/>
        </w:rPr>
        <w:t xml:space="preserve"> top features that were selected.</w:t>
      </w:r>
    </w:p>
    <w:p w14:paraId="526F4087" w14:textId="2321A0E7" w:rsidR="002B63E5" w:rsidRDefault="002B63E5" w:rsidP="00413B7B">
      <w:pPr>
        <w:rPr>
          <w:lang w:val="en-GB"/>
        </w:rPr>
      </w:pPr>
      <w:r>
        <w:rPr>
          <w:lang w:val="en-GB"/>
        </w:rPr>
        <w:t xml:space="preserve">If hyper parameter tuning is used, then a stratified 5-fold cross validation split is used on the 80% training set to tune hyperparameters using the </w:t>
      </w:r>
      <w:r w:rsidR="00CB4397" w:rsidRPr="00CB4397">
        <w:rPr>
          <w:i/>
          <w:lang w:val="en-GB"/>
        </w:rPr>
        <w:t>scikit-learn</w:t>
      </w:r>
      <w:r>
        <w:rPr>
          <w:lang w:val="en-GB"/>
        </w:rPr>
        <w:t xml:space="preserve"> </w:t>
      </w:r>
      <w:proofErr w:type="spellStart"/>
      <w:r>
        <w:rPr>
          <w:lang w:val="en-GB"/>
        </w:rPr>
        <w:t>RandomizedSearchCV</w:t>
      </w:r>
      <w:proofErr w:type="spellEnd"/>
      <w:r>
        <w:rPr>
          <w:lang w:val="en-GB"/>
        </w:rPr>
        <w:t xml:space="preserve"> package</w:t>
      </w:r>
      <w:r w:rsidR="00846C31">
        <w:rPr>
          <w:lang w:val="en-GB"/>
        </w:rPr>
        <w:t xml:space="preserve"> the RMSE score.</w:t>
      </w:r>
      <w:r>
        <w:rPr>
          <w:lang w:val="en-GB"/>
        </w:rPr>
        <w:t xml:space="preserve"> </w:t>
      </w:r>
      <w:r w:rsidR="00846C31">
        <w:rPr>
          <w:lang w:val="en-GB"/>
        </w:rPr>
        <w:t xml:space="preserve">A random seed is used which is equal to the random seed used for the current random sampling iteration which initiated the hyper parameter tuning. The optimal hyper parameters are then found using 100 random search iterations and the hyper parameter set which obtained the </w:t>
      </w:r>
      <w:r w:rsidR="00846C31">
        <w:rPr>
          <w:lang w:val="en-GB"/>
        </w:rPr>
        <w:lastRenderedPageBreak/>
        <w:t xml:space="preserve">best performance during the cross validation procedure is then used to train on the entire 80% training set.  </w:t>
      </w:r>
    </w:p>
    <w:p w14:paraId="32AD80EA" w14:textId="2926E19C" w:rsidR="00846C31" w:rsidRDefault="00846C31" w:rsidP="00413B7B">
      <w:pPr>
        <w:rPr>
          <w:lang w:val="en-GB"/>
        </w:rPr>
      </w:pPr>
      <w:r>
        <w:rPr>
          <w:lang w:val="en-GB"/>
        </w:rPr>
        <w:t xml:space="preserve">After obtaining this final model trained on the 80% training set, it is tested on the 20% testing set. </w:t>
      </w:r>
    </w:p>
    <w:p w14:paraId="14DDD162" w14:textId="70C63E5D" w:rsidR="00231E22" w:rsidRDefault="00231E22" w:rsidP="00231E22">
      <w:pPr>
        <w:pStyle w:val="Heading4"/>
        <w:rPr>
          <w:lang w:val="en-GB"/>
        </w:rPr>
      </w:pPr>
      <w:r>
        <w:rPr>
          <w:lang w:val="en-GB"/>
        </w:rPr>
        <w:t>Modality enforcement</w:t>
      </w:r>
    </w:p>
    <w:p w14:paraId="4334ADCE" w14:textId="40110A6F" w:rsidR="00BD5559" w:rsidRPr="005274B2" w:rsidRDefault="008C7C5E" w:rsidP="005274B2">
      <w:pPr>
        <w:rPr>
          <w:rFonts w:ascii="Calibri Light" w:hAnsi="Calibri Light" w:cs="Calibri Light"/>
          <w:color w:val="000080"/>
          <w:sz w:val="24"/>
          <w:lang w:val="en-GB"/>
        </w:rPr>
      </w:pPr>
      <w:r>
        <w:rPr>
          <w:lang w:val="en-GB"/>
        </w:rPr>
        <w:t>Modality enforcement was performed by separating the GE and Genus modality and performing feature selection for each feature amount separately for each modality before concatenating the selected features again and then training and evaluating a model.</w:t>
      </w:r>
      <w:r w:rsidR="00C70411">
        <w:rPr>
          <w:lang w:val="en-GB"/>
        </w:rPr>
        <w:t xml:space="preserve"> If</w:t>
      </w:r>
    </w:p>
    <w:p w14:paraId="5FE5F58E" w14:textId="5808E979" w:rsidR="00C32DE8" w:rsidRDefault="003956A4" w:rsidP="003956A4">
      <w:pPr>
        <w:pStyle w:val="Heading1"/>
        <w:rPr>
          <w:lang w:val="en-GB"/>
        </w:rPr>
      </w:pPr>
      <w:r>
        <w:rPr>
          <w:lang w:val="en-GB"/>
        </w:rPr>
        <w:t>Results</w:t>
      </w:r>
    </w:p>
    <w:p w14:paraId="140C1E76" w14:textId="2A21DCDA" w:rsidR="008E44A0" w:rsidRDefault="00A2544B" w:rsidP="008E44A0">
      <w:pPr>
        <w:pStyle w:val="Heading2"/>
        <w:rPr>
          <w:lang w:val="en-GB"/>
        </w:rPr>
      </w:pPr>
      <w:r>
        <w:rPr>
          <w:lang w:val="en-GB"/>
        </w:rPr>
        <w:t>Characterization of d</w:t>
      </w:r>
      <w:r w:rsidR="008E44A0">
        <w:rPr>
          <w:lang w:val="en-GB"/>
        </w:rPr>
        <w:t>ata</w:t>
      </w:r>
    </w:p>
    <w:p w14:paraId="2023CEC6" w14:textId="5E3933F5" w:rsidR="004C5EFA" w:rsidRPr="004C5EFA" w:rsidRDefault="004C5EFA" w:rsidP="004C5EFA">
      <w:pPr>
        <w:rPr>
          <w:lang w:val="en-GB"/>
        </w:rPr>
      </w:pPr>
      <w:r>
        <w:rPr>
          <w:lang w:val="en-GB"/>
        </w:rPr>
        <w:t xml:space="preserve">To investigate the effects of </w:t>
      </w:r>
      <w:r w:rsidR="00BE624C">
        <w:rPr>
          <w:lang w:val="en-GB"/>
        </w:rPr>
        <w:t xml:space="preserve">the host-omics approach, we used </w:t>
      </w:r>
      <w:proofErr w:type="spellStart"/>
      <w:r w:rsidR="00BE624C">
        <w:rPr>
          <w:lang w:val="en-GB"/>
        </w:rPr>
        <w:t>preprocessed</w:t>
      </w:r>
      <w:proofErr w:type="spellEnd"/>
      <w:r w:rsidR="00BE624C">
        <w:rPr>
          <w:lang w:val="en-GB"/>
        </w:rPr>
        <w:t xml:space="preserve"> samples from the Cancer Genome Atlas (TCGA). It turns out that gene expression and DNA methylation data works well with multiple cancers </w:t>
      </w:r>
      <w:r w:rsidR="00BE624C">
        <w:rPr>
          <w:lang w:val="en-GB"/>
        </w:rPr>
        <w:fldChar w:fldCharType="begin"/>
      </w:r>
      <w:r w:rsidR="00DD56C8">
        <w:rPr>
          <w:lang w:val="en-GB"/>
        </w:rPr>
        <w:instrText xml:space="preserve"> ADDIN ZOTERO_ITEM CSL_CITATION {"citationID":"ouW8Icbu","properties":{"formattedCitation":"\\super 30\\nosupersub{}","plainCitation":"30","noteIndex":0},"citationItems":[{"id":118,"uris":["http://zotero.org/users/local/0zqklVfX/items/B4HDCDPT"],"itemData":{"id":118,"type":"article-journal","abstract":"Computational integrative analysis has become a significant approach in the data-driven exploration of biological problems. Many integration methods for cancer subtyping have been proposed, but evaluating these methods has become a complicated problem due to the lack of gold standards. Moreover, questions of practical importance remain to be addressed regarding the impact of selecting appropriate data types and combinations on the performance of integrative studies. Here, we constructed three classes of benchmarking datasets of nine cancers in TCGA by considering all the eleven combinations of four multi-omics data types. Using these datasets, we conducted a comprehensive evaluation of ten representative integration methods for cancer subtyping in terms of accuracy measured by combining both clustering accuracy and clinical significance, robustness, and computational efficiency. We subsequently investigated the influence of different omics data on cancer subtyping and the effectiveness of their combinations. Refuting the widely held intuition that incorporating more types of omics data always produces better results, our analyses showed that there are situations where integrating more omics data negatively impacts the performance of integration methods. Our analyses also suggested several effective combinations for most cancers under our studies, which may be of particular interest to researchers in omics data analysis.","container-title":"PLOS Computational Biology","DOI":"10.1371/journal.pcbi.1009224","ISSN":"1553-7358","issue":"8","journalAbbreviation":"PLOS Computational Biology","language":"en","note":"publisher: Public Library of Science","page":"e1009224","source":"PLoS Journals","title":"Evaluation and comparison of multi-omics data integration methods for cancer subtyping","volume":"17","author":[{"family":"Duan","given":"Ran"},{"family":"Gao","given":"Lin"},{"family":"Gao","given":"Yong"},{"family":"Hu","given":"Yuxuan"},{"family":"Xu","given":"Han"},{"family":"Huang","given":"Mingfeng"},{"family":"Song","given":"Kuo"},{"family":"Wang","given":"Hongda"},{"family":"Dong","given":"Yongqiang"},{"family":"Jiang","given":"Chaoqun"},{"family":"Zhang","given":"Chenxing"},{"family":"Jia","given":"Songwei"}],"issued":{"date-parts":[["2021",8,12]]}}}],"schema":"https://github.com/citation-style-language/schema/raw/master/csl-citation.json"} </w:instrText>
      </w:r>
      <w:r w:rsidR="00BE624C">
        <w:rPr>
          <w:lang w:val="en-GB"/>
        </w:rPr>
        <w:fldChar w:fldCharType="separate"/>
      </w:r>
      <w:r w:rsidR="00DD56C8" w:rsidRPr="00DD56C8">
        <w:rPr>
          <w:rFonts w:ascii="Calibri" w:hAnsi="Calibri" w:cs="Calibri"/>
          <w:szCs w:val="24"/>
          <w:vertAlign w:val="superscript"/>
        </w:rPr>
        <w:t>30</w:t>
      </w:r>
      <w:r w:rsidR="00BE624C">
        <w:rPr>
          <w:lang w:val="en-GB"/>
        </w:rPr>
        <w:fldChar w:fldCharType="end"/>
      </w:r>
      <w:r w:rsidR="00BE624C">
        <w:rPr>
          <w:lang w:val="en-GB"/>
        </w:rPr>
        <w:t xml:space="preserve">. </w:t>
      </w:r>
      <w:r w:rsidR="00C70411">
        <w:rPr>
          <w:lang w:val="en-GB"/>
        </w:rPr>
        <w:t xml:space="preserve"> [Insert more evidence of why GE without other stuff is good] </w:t>
      </w:r>
      <w:r w:rsidR="00BE624C">
        <w:rPr>
          <w:lang w:val="en-GB"/>
        </w:rPr>
        <w:t>Thus, in order to examine the benefits of a holistic view on omics data for cancer diagnostics, gene expression features from TCGA are used. This set contains 5000 features for each sample.</w:t>
      </w:r>
    </w:p>
    <w:p w14:paraId="09C18FC8" w14:textId="669AA4A8" w:rsidR="00C023E2" w:rsidRPr="00C023E2" w:rsidRDefault="00BE624C" w:rsidP="00C023E2">
      <w:pPr>
        <w:rPr>
          <w:lang w:val="en-GB"/>
        </w:rPr>
      </w:pPr>
      <w:r>
        <w:rPr>
          <w:lang w:val="en-GB"/>
        </w:rPr>
        <w:t>To investigate the effects of the microbial omics approach, we used the Cancer Microbiome Atlas</w:t>
      </w:r>
      <w:r w:rsidR="00C023E2">
        <w:rPr>
          <w:lang w:val="en-GB"/>
        </w:rPr>
        <w:t xml:space="preserve"> (TCMA)</w:t>
      </w:r>
      <w:r>
        <w:rPr>
          <w:lang w:val="en-GB"/>
        </w:rPr>
        <w:t>. This i</w:t>
      </w:r>
      <w:r w:rsidR="00C023E2">
        <w:rPr>
          <w:lang w:val="en-GB"/>
        </w:rPr>
        <w:t xml:space="preserve">s a microbial database which is based on data that is mined and processed from reads contained in TCGA, which attempts to identify microbial species in tissue and blood samples while dealing with contaminants </w:t>
      </w:r>
      <w:r w:rsidR="00C023E2">
        <w:rPr>
          <w:lang w:val="en-GB"/>
        </w:rPr>
        <w:fldChar w:fldCharType="begin"/>
      </w:r>
      <w:r w:rsidR="007276F0">
        <w:rPr>
          <w:lang w:val="en-GB"/>
        </w:rPr>
        <w:instrText xml:space="preserve"> ADDIN ZOTERO_ITEM CSL_CITATION {"citationID":"mYrocQYk","properties":{"formattedCitation":"\\super 3\\nosupersub{}","plainCitation":"3","noteIndex":0},"citationItems":[{"id":185,"uris":["http://zotero.org/users/local/0zqklVfX/items/6YDSX49Y"],"itemData":{"id":185,"type":"article-journal","abstract":"Studying the microbial composition of internal organs and their associations with disease remains challenging due to the difficulty of acquiring clinical biopsies. We designed a statistical model to analyze the prevalence of species across sample types from The Cancer Genome Atlas (TCGA), revealing that species equiprevalent across sample types are predominantly contaminants, bearing unique signatures from each TCGA-designated sequencing center. Removing such species mitigated batch effects and isolated the tissue-resident microbiome, which was validated by original matched TCGA samples. Gene copies and nucleotide variants can further distinguish mixed-evidence species. We, thus, present The Cancer Microbiome Atlas (TCMA), a collection of curated, decontaminated microbial compositions of oropharyngeal, esophageal, gastrointestinal, and colorectal tissues. This led to the discovery of prognostic species and blood signatures of mucosal barrier injuries and enabled systematic matched microbe-host multi-omic analyses, which will help guide future studies of the microbiome’s role in human health and disease.","container-title":"Cell Host &amp; Microbe","DOI":"10.1016/j.chom.2020.12.001","ISSN":"1931-3128","issue":"2","journalAbbreviation":"Cell Host &amp; Microbe","language":"en","page":"281-298.e5","source":"ScienceDirect","title":"The cancer microbiome atlas: a pan-cancer comparative analysis to distinguish tissue-resident microbiota from contaminants","title-short":"The cancer microbiome atlas","volume":"29","author":[{"family":"Dohlman","given":"Anders B."},{"family":"Arguijo Mendoza","given":"Diana"},{"family":"Ding","given":"Shengli"},{"family":"Gao","given":"Michael"},{"family":"Dressman","given":"Holly"},{"family":"Iliev","given":"Iliyan D."},{"family":"Lipkin","given":"Steven M."},{"family":"Shen","given":"Xiling"}],"issued":{"date-parts":[["2021",2,10]]}}}],"schema":"https://github.com/citation-style-language/schema/raw/master/csl-citation.json"} </w:instrText>
      </w:r>
      <w:r w:rsidR="00C023E2">
        <w:rPr>
          <w:lang w:val="en-GB"/>
        </w:rPr>
        <w:fldChar w:fldCharType="separate"/>
      </w:r>
      <w:r w:rsidR="007276F0" w:rsidRPr="007276F0">
        <w:rPr>
          <w:rFonts w:ascii="Calibri" w:hAnsi="Calibri" w:cs="Calibri"/>
          <w:szCs w:val="24"/>
          <w:vertAlign w:val="superscript"/>
        </w:rPr>
        <w:t>3</w:t>
      </w:r>
      <w:r w:rsidR="00C023E2">
        <w:rPr>
          <w:lang w:val="en-GB"/>
        </w:rPr>
        <w:fldChar w:fldCharType="end"/>
      </w:r>
      <w:r w:rsidR="00C023E2">
        <w:rPr>
          <w:lang w:val="en-GB"/>
        </w:rPr>
        <w:t xml:space="preserve">. </w:t>
      </w:r>
      <w:r>
        <w:rPr>
          <w:lang w:val="en-GB"/>
        </w:rPr>
        <w:t>TCMA contains</w:t>
      </w:r>
      <w:r w:rsidR="00C023E2">
        <w:rPr>
          <w:lang w:val="en-GB"/>
        </w:rPr>
        <w:t xml:space="preserve"> microbial data available from multiple cancers allowing for cross cancer analyses using the same source with common methodologies.</w:t>
      </w:r>
      <w:r w:rsidR="00165CD6">
        <w:rPr>
          <w:lang w:val="en-GB"/>
        </w:rPr>
        <w:t xml:space="preserve"> (n = 10, R = 7, NR = 3????)</w:t>
      </w:r>
    </w:p>
    <w:p w14:paraId="52D8EB3E" w14:textId="20E45536" w:rsidR="008E44A0" w:rsidRPr="008E44A0" w:rsidRDefault="00BE624C" w:rsidP="008E44A0">
      <w:pPr>
        <w:rPr>
          <w:lang w:val="en-GB"/>
        </w:rPr>
      </w:pPr>
      <w:r>
        <w:rPr>
          <w:lang w:val="en-GB"/>
        </w:rPr>
        <w:t>Finally, for the holo-</w:t>
      </w:r>
      <w:proofErr w:type="spellStart"/>
      <w:r>
        <w:rPr>
          <w:lang w:val="en-GB"/>
        </w:rPr>
        <w:t>omic</w:t>
      </w:r>
      <w:proofErr w:type="spellEnd"/>
      <w:r>
        <w:rPr>
          <w:lang w:val="en-GB"/>
        </w:rPr>
        <w:t xml:space="preserve"> approach, we overlapped samples for which there is both host omics and microbial omics data available.</w:t>
      </w:r>
    </w:p>
    <w:p w14:paraId="4815D36A" w14:textId="7236491D" w:rsidR="009105F3" w:rsidRDefault="00CF5CC5" w:rsidP="008D7EC1">
      <w:pPr>
        <w:pStyle w:val="Heading2"/>
        <w:rPr>
          <w:lang w:val="en-GB"/>
        </w:rPr>
      </w:pPr>
      <w:r>
        <w:rPr>
          <w:lang w:val="en-GB"/>
        </w:rPr>
        <w:t>There is little quantitative performance improvement with the h</w:t>
      </w:r>
      <w:r w:rsidR="008D7EC1">
        <w:rPr>
          <w:lang w:val="en-GB"/>
        </w:rPr>
        <w:t>olo-</w:t>
      </w:r>
      <w:proofErr w:type="spellStart"/>
      <w:r w:rsidR="008D7EC1">
        <w:rPr>
          <w:lang w:val="en-GB"/>
        </w:rPr>
        <w:t>omic</w:t>
      </w:r>
      <w:proofErr w:type="spellEnd"/>
      <w:r>
        <w:rPr>
          <w:lang w:val="en-GB"/>
        </w:rPr>
        <w:t xml:space="preserve"> approach</w:t>
      </w:r>
    </w:p>
    <w:p w14:paraId="69E3D146" w14:textId="3F5768FA" w:rsidR="00323235" w:rsidRDefault="00194A83" w:rsidP="00194A83">
      <w:pPr>
        <w:rPr>
          <w:lang w:val="en-GB"/>
        </w:rPr>
      </w:pPr>
      <w:r>
        <w:rPr>
          <w:lang w:val="en-GB"/>
        </w:rPr>
        <w:t xml:space="preserve">To investigate the possible benefits of a holistic view of omics integration, we used </w:t>
      </w:r>
      <w:r w:rsidR="006C4AE9">
        <w:rPr>
          <w:lang w:val="en-GB"/>
        </w:rPr>
        <w:t xml:space="preserve">gene expression </w:t>
      </w:r>
      <w:r>
        <w:rPr>
          <w:lang w:val="en-GB"/>
        </w:rPr>
        <w:t xml:space="preserve">omics </w:t>
      </w:r>
      <w:r w:rsidR="006C4AE9">
        <w:rPr>
          <w:lang w:val="en-GB"/>
        </w:rPr>
        <w:t xml:space="preserve">data </w:t>
      </w:r>
      <w:r>
        <w:rPr>
          <w:lang w:val="en-GB"/>
        </w:rPr>
        <w:t xml:space="preserve">and microbial </w:t>
      </w:r>
      <w:r w:rsidR="006C4AE9">
        <w:rPr>
          <w:lang w:val="en-GB"/>
        </w:rPr>
        <w:t xml:space="preserve">abundance </w:t>
      </w:r>
      <w:r>
        <w:rPr>
          <w:lang w:val="en-GB"/>
        </w:rPr>
        <w:t xml:space="preserve">data </w:t>
      </w:r>
      <w:r w:rsidR="00E918F6">
        <w:rPr>
          <w:lang w:val="en-GB"/>
        </w:rPr>
        <w:t xml:space="preserve">of various cancers </w:t>
      </w:r>
      <w:r>
        <w:rPr>
          <w:lang w:val="en-GB"/>
        </w:rPr>
        <w:t xml:space="preserve">in a predictive model for </w:t>
      </w:r>
      <w:r w:rsidR="006C4AE9">
        <w:rPr>
          <w:lang w:val="en-GB"/>
        </w:rPr>
        <w:t xml:space="preserve">the </w:t>
      </w:r>
      <w:r>
        <w:rPr>
          <w:lang w:val="en-GB"/>
        </w:rPr>
        <w:t>cancer diagnostic</w:t>
      </w:r>
      <w:r w:rsidR="006C4AE9">
        <w:rPr>
          <w:lang w:val="en-GB"/>
        </w:rPr>
        <w:t xml:space="preserve">s prediction tasks of </w:t>
      </w:r>
      <w:proofErr w:type="spellStart"/>
      <w:r w:rsidR="006C4AE9">
        <w:rPr>
          <w:lang w:val="en-GB"/>
        </w:rPr>
        <w:t>tumor</w:t>
      </w:r>
      <w:proofErr w:type="spellEnd"/>
      <w:r w:rsidR="006C4AE9">
        <w:rPr>
          <w:lang w:val="en-GB"/>
        </w:rPr>
        <w:t xml:space="preserve"> versus normal prediction and </w:t>
      </w:r>
      <w:proofErr w:type="spellStart"/>
      <w:r w:rsidR="006C4AE9">
        <w:rPr>
          <w:lang w:val="en-GB"/>
        </w:rPr>
        <w:t>tumor</w:t>
      </w:r>
      <w:proofErr w:type="spellEnd"/>
      <w:r w:rsidR="006C4AE9">
        <w:rPr>
          <w:lang w:val="en-GB"/>
        </w:rPr>
        <w:t xml:space="preserve"> stage classification.</w:t>
      </w:r>
      <w:r>
        <w:rPr>
          <w:lang w:val="en-GB"/>
        </w:rPr>
        <w:t xml:space="preserve"> </w:t>
      </w:r>
      <w:r w:rsidR="00E918F6">
        <w:rPr>
          <w:lang w:val="en-GB"/>
        </w:rPr>
        <w:t>To establish a baseline, we built prediction models on the gene expression (GE) data set and the microbial abundance data (GENUS) separately and evaluated the prediction performance. We then built prediction models on the concatenation of both of these data sets and compared it to the established baseline.</w:t>
      </w:r>
    </w:p>
    <w:p w14:paraId="0A692F77" w14:textId="4D90407D" w:rsidR="00194A83" w:rsidRDefault="00323235" w:rsidP="00194A83">
      <w:pPr>
        <w:rPr>
          <w:lang w:val="en-GB"/>
        </w:rPr>
      </w:pPr>
      <w:r>
        <w:rPr>
          <w:lang w:val="en-GB"/>
        </w:rPr>
        <w:t>We</w:t>
      </w:r>
      <w:r w:rsidR="00E34420">
        <w:rPr>
          <w:lang w:val="en-GB"/>
        </w:rPr>
        <w:t xml:space="preserve"> use</w:t>
      </w:r>
      <w:r w:rsidR="00004299">
        <w:rPr>
          <w:lang w:val="en-GB"/>
        </w:rPr>
        <w:t>d</w:t>
      </w:r>
      <w:r w:rsidR="00E34420">
        <w:rPr>
          <w:lang w:val="en-GB"/>
        </w:rPr>
        <w:t xml:space="preserve"> random sampling to</w:t>
      </w:r>
      <w:r>
        <w:rPr>
          <w:lang w:val="en-GB"/>
        </w:rPr>
        <w:t xml:space="preserve"> </w:t>
      </w:r>
      <w:r w:rsidR="006C4AE9">
        <w:rPr>
          <w:lang w:val="en-GB"/>
        </w:rPr>
        <w:t xml:space="preserve">perform a random stratified </w:t>
      </w:r>
      <w:r w:rsidR="00194A83">
        <w:rPr>
          <w:lang w:val="en-GB"/>
        </w:rPr>
        <w:t xml:space="preserve">split </w:t>
      </w:r>
      <w:r w:rsidR="006C4AE9">
        <w:rPr>
          <w:lang w:val="en-GB"/>
        </w:rPr>
        <w:t>of each</w:t>
      </w:r>
      <w:r w:rsidR="00194A83">
        <w:rPr>
          <w:lang w:val="en-GB"/>
        </w:rPr>
        <w:t xml:space="preserve"> data set </w:t>
      </w:r>
      <w:r w:rsidR="006C4AE9">
        <w:rPr>
          <w:lang w:val="en-GB"/>
        </w:rPr>
        <w:t xml:space="preserve">into </w:t>
      </w:r>
      <w:r w:rsidR="00194A83">
        <w:rPr>
          <w:lang w:val="en-GB"/>
        </w:rPr>
        <w:t xml:space="preserve">80% training and 20% testing </w:t>
      </w:r>
      <w:r w:rsidR="00004299">
        <w:rPr>
          <w:lang w:val="en-GB"/>
        </w:rPr>
        <w:t xml:space="preserve">200 </w:t>
      </w:r>
      <w:r w:rsidR="00194A83">
        <w:rPr>
          <w:lang w:val="en-GB"/>
        </w:rPr>
        <w:t xml:space="preserve">times. In each </w:t>
      </w:r>
      <w:r w:rsidR="00E918F6">
        <w:rPr>
          <w:lang w:val="en-GB"/>
        </w:rPr>
        <w:t xml:space="preserve">random sampling </w:t>
      </w:r>
      <w:r w:rsidR="00194A83">
        <w:rPr>
          <w:lang w:val="en-GB"/>
        </w:rPr>
        <w:t xml:space="preserve">iteration, </w:t>
      </w:r>
      <w:r w:rsidR="00E918F6">
        <w:rPr>
          <w:lang w:val="en-GB"/>
        </w:rPr>
        <w:t>we also used a</w:t>
      </w:r>
      <w:r w:rsidR="00194A83">
        <w:rPr>
          <w:lang w:val="en-GB"/>
        </w:rPr>
        <w:t xml:space="preserve"> feature selection method on the training set</w:t>
      </w:r>
      <w:r w:rsidR="00E918F6">
        <w:rPr>
          <w:lang w:val="en-GB"/>
        </w:rPr>
        <w:t xml:space="preserve"> beforehand to select the most important features</w:t>
      </w:r>
      <w:r w:rsidR="00194A83">
        <w:rPr>
          <w:lang w:val="en-GB"/>
        </w:rPr>
        <w:t xml:space="preserve">. These features </w:t>
      </w:r>
      <w:r w:rsidR="006C4AE9">
        <w:rPr>
          <w:lang w:val="en-GB"/>
        </w:rPr>
        <w:t>were</w:t>
      </w:r>
      <w:r w:rsidR="00194A83">
        <w:rPr>
          <w:lang w:val="en-GB"/>
        </w:rPr>
        <w:t xml:space="preserve"> then used to train a model on this same training set</w:t>
      </w:r>
      <w:r w:rsidR="006C4AE9">
        <w:rPr>
          <w:lang w:val="en-GB"/>
        </w:rPr>
        <w:t xml:space="preserve"> and the</w:t>
      </w:r>
      <w:r w:rsidR="00194A83">
        <w:rPr>
          <w:lang w:val="en-GB"/>
        </w:rPr>
        <w:t xml:space="preserve"> performance of the model </w:t>
      </w:r>
      <w:r w:rsidR="006C4AE9">
        <w:rPr>
          <w:lang w:val="en-GB"/>
        </w:rPr>
        <w:t>was</w:t>
      </w:r>
      <w:r w:rsidR="00194A83">
        <w:rPr>
          <w:lang w:val="en-GB"/>
        </w:rPr>
        <w:t xml:space="preserve"> then tested on the testing set for the available </w:t>
      </w:r>
      <w:r w:rsidR="006C4AE9">
        <w:rPr>
          <w:lang w:val="en-GB"/>
        </w:rPr>
        <w:t xml:space="preserve">prediction </w:t>
      </w:r>
      <w:r w:rsidR="00194A83">
        <w:rPr>
          <w:lang w:val="en-GB"/>
        </w:rPr>
        <w:t xml:space="preserve">endpoints. This </w:t>
      </w:r>
      <w:r w:rsidR="006C4AE9">
        <w:rPr>
          <w:lang w:val="en-GB"/>
        </w:rPr>
        <w:t>was</w:t>
      </w:r>
      <w:r w:rsidR="00194A83">
        <w:rPr>
          <w:lang w:val="en-GB"/>
        </w:rPr>
        <w:t xml:space="preserve"> repeated for each cancer, </w:t>
      </w:r>
      <w:r w:rsidR="00E918F6">
        <w:rPr>
          <w:lang w:val="en-GB"/>
        </w:rPr>
        <w:t xml:space="preserve">modality </w:t>
      </w:r>
      <w:r w:rsidR="00194A83">
        <w:rPr>
          <w:lang w:val="en-GB"/>
        </w:rPr>
        <w:t xml:space="preserve">and feature </w:t>
      </w:r>
      <w:r w:rsidR="00E918F6">
        <w:rPr>
          <w:lang w:val="en-GB"/>
        </w:rPr>
        <w:t xml:space="preserve">selection </w:t>
      </w:r>
      <w:r w:rsidR="00194A83">
        <w:rPr>
          <w:lang w:val="en-GB"/>
        </w:rPr>
        <w:t>amount</w:t>
      </w:r>
      <w:r w:rsidR="00E918F6">
        <w:rPr>
          <w:lang w:val="en-GB"/>
        </w:rPr>
        <w:t>, including when performing no feature selection</w:t>
      </w:r>
      <w:r w:rsidR="00194A83">
        <w:rPr>
          <w:lang w:val="en-GB"/>
        </w:rPr>
        <w:t xml:space="preserve">. </w:t>
      </w:r>
      <w:r w:rsidR="00E918F6">
        <w:rPr>
          <w:lang w:val="en-GB"/>
        </w:rPr>
        <w:t xml:space="preserve">Additional details are described in the materials and methods section </w:t>
      </w:r>
      <w:r w:rsidR="00004299">
        <w:rPr>
          <w:lang w:val="en-GB"/>
        </w:rPr>
        <w:t>(</w:t>
      </w:r>
      <w:r w:rsidR="00E4256B">
        <w:rPr>
          <w:lang w:val="en-GB"/>
        </w:rPr>
        <w:fldChar w:fldCharType="begin"/>
      </w:r>
      <w:r w:rsidR="00E4256B">
        <w:rPr>
          <w:lang w:val="en-GB"/>
        </w:rPr>
        <w:instrText xml:space="preserve"> REF _Ref129571161 \h </w:instrText>
      </w:r>
      <w:r w:rsidR="00E4256B">
        <w:rPr>
          <w:lang w:val="en-GB"/>
        </w:rPr>
      </w:r>
      <w:r w:rsidR="00E4256B">
        <w:rPr>
          <w:lang w:val="en-GB"/>
        </w:rPr>
        <w:fldChar w:fldCharType="separate"/>
      </w:r>
      <w:r w:rsidR="00BD1C61">
        <w:t xml:space="preserve">Figure </w:t>
      </w:r>
      <w:r w:rsidR="00BD1C61">
        <w:rPr>
          <w:noProof/>
        </w:rPr>
        <w:t>1</w:t>
      </w:r>
      <w:r w:rsidR="00E4256B">
        <w:rPr>
          <w:lang w:val="en-GB"/>
        </w:rPr>
        <w:fldChar w:fldCharType="end"/>
      </w:r>
      <w:r w:rsidR="00004299">
        <w:rPr>
          <w:lang w:val="en-GB"/>
        </w:rPr>
        <w:t>)</w:t>
      </w:r>
      <w:r w:rsidR="00194A83">
        <w:rPr>
          <w:lang w:val="en-GB"/>
        </w:rPr>
        <w:t>.</w:t>
      </w:r>
    </w:p>
    <w:p w14:paraId="012049EE" w14:textId="0B73DC65" w:rsidR="0048780E" w:rsidRDefault="0048780E" w:rsidP="00194A83">
      <w:pPr>
        <w:rPr>
          <w:lang w:val="en-GB"/>
        </w:rPr>
      </w:pPr>
      <w:r>
        <w:rPr>
          <w:lang w:val="en-GB"/>
        </w:rPr>
        <w:t xml:space="preserve">Throughout this paper, we chose to only continue displaying the following experiments for STAD </w:t>
      </w:r>
      <w:r w:rsidRPr="00DF10C4">
        <w:rPr>
          <w:lang w:val="en-GB"/>
        </w:rPr>
        <w:t>(stomach adenocarcinoma</w:t>
      </w:r>
      <w:r>
        <w:rPr>
          <w:lang w:val="en-GB"/>
        </w:rPr>
        <w:t>), as it is the cancer within the available data set with the most simple aetiology and the highest amount of samples and balance between classes. However, the same experiments have also been run for other cancers, and the results of these can be found in the appendix.</w:t>
      </w:r>
    </w:p>
    <w:p w14:paraId="7E806A0C" w14:textId="0A38D98A" w:rsidR="000E1B94" w:rsidRPr="00194A83" w:rsidRDefault="000E1B94" w:rsidP="000E1B94">
      <w:pPr>
        <w:pStyle w:val="Heading3"/>
        <w:rPr>
          <w:lang w:val="en-GB"/>
        </w:rPr>
      </w:pPr>
      <w:r>
        <w:rPr>
          <w:lang w:val="en-GB"/>
        </w:rPr>
        <w:lastRenderedPageBreak/>
        <w:t>Holo-</w:t>
      </w:r>
      <w:proofErr w:type="spellStart"/>
      <w:r>
        <w:rPr>
          <w:lang w:val="en-GB"/>
        </w:rPr>
        <w:t>omic</w:t>
      </w:r>
      <w:proofErr w:type="spellEnd"/>
      <w:r>
        <w:rPr>
          <w:lang w:val="en-GB"/>
        </w:rPr>
        <w:t xml:space="preserve"> approach does not lead to improved prediction performance</w:t>
      </w:r>
      <w:r w:rsidR="00AC1F18">
        <w:rPr>
          <w:lang w:val="en-GB"/>
        </w:rPr>
        <w:t xml:space="preserve"> for either prediction target </w:t>
      </w:r>
    </w:p>
    <w:p w14:paraId="44DA00F6" w14:textId="3D60F5DB" w:rsidR="00AC1F18" w:rsidRDefault="00156EA2" w:rsidP="008D7EC1">
      <w:pPr>
        <w:rPr>
          <w:lang w:val="en-GB"/>
        </w:rPr>
      </w:pPr>
      <w:r>
        <w:rPr>
          <w:lang w:val="en-GB"/>
        </w:rPr>
        <w:t>To investigate the utility of a holo-</w:t>
      </w:r>
      <w:proofErr w:type="spellStart"/>
      <w:r>
        <w:rPr>
          <w:lang w:val="en-GB"/>
        </w:rPr>
        <w:t>omic</w:t>
      </w:r>
      <w:proofErr w:type="spellEnd"/>
      <w:r>
        <w:rPr>
          <w:lang w:val="en-GB"/>
        </w:rPr>
        <w:t xml:space="preserve"> approach, we built a prediction model using data of each modality for the prediction targets </w:t>
      </w:r>
      <w:proofErr w:type="spellStart"/>
      <w:r>
        <w:rPr>
          <w:lang w:val="en-GB"/>
        </w:rPr>
        <w:t>tumor</w:t>
      </w:r>
      <w:proofErr w:type="spellEnd"/>
      <w:r>
        <w:rPr>
          <w:lang w:val="en-GB"/>
        </w:rPr>
        <w:t xml:space="preserve"> versus normal prediction and stage prediction. </w:t>
      </w:r>
      <w:r w:rsidR="00AC1F18">
        <w:rPr>
          <w:lang w:val="en-GB"/>
        </w:rPr>
        <w:t xml:space="preserve">For </w:t>
      </w:r>
      <w:proofErr w:type="spellStart"/>
      <w:r w:rsidR="00AC1F18">
        <w:rPr>
          <w:lang w:val="en-GB"/>
        </w:rPr>
        <w:t>tumor</w:t>
      </w:r>
      <w:proofErr w:type="spellEnd"/>
      <w:r w:rsidR="00AC1F18">
        <w:rPr>
          <w:lang w:val="en-GB"/>
        </w:rPr>
        <w:t xml:space="preserve"> </w:t>
      </w:r>
      <w:r w:rsidR="00B106E6">
        <w:rPr>
          <w:lang w:val="en-GB"/>
        </w:rPr>
        <w:t>versus normal prediction</w:t>
      </w:r>
      <w:r w:rsidR="00AC1F18">
        <w:rPr>
          <w:lang w:val="en-GB"/>
        </w:rPr>
        <w:t xml:space="preserve">, we </w:t>
      </w:r>
      <w:r w:rsidR="00B106E6">
        <w:rPr>
          <w:lang w:val="en-GB"/>
        </w:rPr>
        <w:t xml:space="preserve">used </w:t>
      </w:r>
      <w:r w:rsidR="00AC1F18">
        <w:rPr>
          <w:lang w:val="en-GB"/>
        </w:rPr>
        <w:t>a</w:t>
      </w:r>
      <w:r w:rsidR="00B106E6">
        <w:rPr>
          <w:lang w:val="en-GB"/>
        </w:rPr>
        <w:t xml:space="preserve"> support vector machine (</w:t>
      </w:r>
      <w:r w:rsidR="00AC1F18">
        <w:rPr>
          <w:lang w:val="en-GB"/>
        </w:rPr>
        <w:t>SVM</w:t>
      </w:r>
      <w:r w:rsidR="00B106E6">
        <w:rPr>
          <w:lang w:val="en-GB"/>
        </w:rPr>
        <w:t>) as the</w:t>
      </w:r>
      <w:r w:rsidR="00AC1F18">
        <w:rPr>
          <w:lang w:val="en-GB"/>
        </w:rPr>
        <w:t xml:space="preserve"> classifier</w:t>
      </w:r>
      <w:r w:rsidR="00B106E6">
        <w:rPr>
          <w:lang w:val="en-GB"/>
        </w:rPr>
        <w:t xml:space="preserve"> and the ANOVA f-test for the feature selection, while for stage prediction we used an elastic net model (</w:t>
      </w:r>
      <w:proofErr w:type="spellStart"/>
      <w:r w:rsidR="00B106E6">
        <w:rPr>
          <w:lang w:val="en-GB"/>
        </w:rPr>
        <w:t>enet</w:t>
      </w:r>
      <w:proofErr w:type="spellEnd"/>
      <w:r w:rsidR="00B106E6">
        <w:rPr>
          <w:lang w:val="en-GB"/>
        </w:rPr>
        <w:t xml:space="preserve">) as both the regression model and the feature selector. </w:t>
      </w:r>
    </w:p>
    <w:p w14:paraId="77DC767F" w14:textId="151D8672" w:rsidR="00E54A00" w:rsidRPr="008D7032" w:rsidRDefault="008D7EC1" w:rsidP="008D7032">
      <w:pPr>
        <w:rPr>
          <w:lang w:val="en-GB"/>
        </w:rPr>
      </w:pPr>
      <w:r>
        <w:rPr>
          <w:lang w:val="en-GB"/>
        </w:rPr>
        <w:t>The results indicate that integrating gene expression with microbial</w:t>
      </w:r>
      <w:r w:rsidR="00AC1F18">
        <w:rPr>
          <w:lang w:val="en-GB"/>
        </w:rPr>
        <w:t xml:space="preserve"> abundance </w:t>
      </w:r>
      <w:r>
        <w:rPr>
          <w:lang w:val="en-GB"/>
        </w:rPr>
        <w:t>data does not lead to a significant improvement in prediction performance over using gene expression data alone</w:t>
      </w:r>
      <w:r w:rsidR="00AC1F18">
        <w:rPr>
          <w:lang w:val="en-GB"/>
        </w:rPr>
        <w:t xml:space="preserve"> for </w:t>
      </w:r>
      <w:proofErr w:type="spellStart"/>
      <w:r w:rsidR="00AC1F18">
        <w:rPr>
          <w:lang w:val="en-GB"/>
        </w:rPr>
        <w:t>tumor</w:t>
      </w:r>
      <w:proofErr w:type="spellEnd"/>
      <w:r w:rsidR="00AC1F18">
        <w:rPr>
          <w:lang w:val="en-GB"/>
        </w:rPr>
        <w:t xml:space="preserve"> versus normal prediction</w:t>
      </w:r>
      <w:r w:rsidR="00E34420">
        <w:rPr>
          <w:lang w:val="en-GB"/>
        </w:rPr>
        <w:t xml:space="preserve"> (</w:t>
      </w:r>
      <w:r w:rsidR="00E34420">
        <w:rPr>
          <w:lang w:val="en-GB"/>
        </w:rPr>
        <w:fldChar w:fldCharType="begin"/>
      </w:r>
      <w:r w:rsidR="00E34420">
        <w:rPr>
          <w:lang w:val="en-GB"/>
        </w:rPr>
        <w:instrText xml:space="preserve"> REF _Ref121922446 \h </w:instrText>
      </w:r>
      <w:r w:rsidR="00E34420">
        <w:rPr>
          <w:lang w:val="en-GB"/>
        </w:rPr>
      </w:r>
      <w:r w:rsidR="00E34420">
        <w:rPr>
          <w:lang w:val="en-GB"/>
        </w:rPr>
        <w:fldChar w:fldCharType="separate"/>
      </w:r>
      <w:r w:rsidR="00BD1C61">
        <w:t xml:space="preserve">Figure </w:t>
      </w:r>
      <w:r w:rsidR="00BD1C61">
        <w:rPr>
          <w:noProof/>
        </w:rPr>
        <w:t>2</w:t>
      </w:r>
      <w:r w:rsidR="00E34420">
        <w:rPr>
          <w:lang w:val="en-GB"/>
        </w:rPr>
        <w:fldChar w:fldCharType="end"/>
      </w:r>
      <w:r w:rsidR="00E34420">
        <w:rPr>
          <w:lang w:val="en-GB"/>
        </w:rPr>
        <w:t>)</w:t>
      </w:r>
      <w:r>
        <w:rPr>
          <w:lang w:val="en-GB"/>
        </w:rPr>
        <w:t>.</w:t>
      </w:r>
      <w:r w:rsidR="00E34420">
        <w:rPr>
          <w:lang w:val="en-GB"/>
        </w:rPr>
        <w:t xml:space="preserve"> </w:t>
      </w:r>
      <w:r w:rsidR="00AC1F18">
        <w:rPr>
          <w:lang w:val="en-GB"/>
        </w:rPr>
        <w:t>The difference in performance of the prediction model when using the gene expression data (GE) compared to the overlapped data (</w:t>
      </w:r>
      <w:r w:rsidR="00AC1F18">
        <w:t xml:space="preserve">GE </w:t>
      </w:r>
      <w:r w:rsidR="00AC1F18" w:rsidRPr="004D301D">
        <w:t>∩</w:t>
      </w:r>
      <w:r w:rsidR="00AC1F18">
        <w:t xml:space="preserve"> GENUS</w:t>
      </w:r>
      <w:r w:rsidR="00AC1F18">
        <w:rPr>
          <w:lang w:val="en-GB"/>
        </w:rPr>
        <w:t xml:space="preserve">) is statistically insignificant (p=0.0??). </w:t>
      </w:r>
    </w:p>
    <w:p w14:paraId="032E22C0" w14:textId="77777777" w:rsidR="008D7032" w:rsidRDefault="008D7032" w:rsidP="002B10C8">
      <w:pPr>
        <w:keepNext/>
        <w:rPr>
          <w:noProof/>
        </w:rPr>
      </w:pPr>
    </w:p>
    <w:p w14:paraId="645F8F4E" w14:textId="6395C186" w:rsidR="002B10C8" w:rsidRDefault="008D7EC1" w:rsidP="002B10C8">
      <w:pPr>
        <w:keepNext/>
      </w:pPr>
      <w:r w:rsidRPr="00E54A00">
        <w:rPr>
          <w:noProof/>
        </w:rPr>
        <w:drawing>
          <wp:inline distT="0" distB="0" distL="0" distR="0" wp14:anchorId="3F433CE1" wp14:editId="5C6C1670">
            <wp:extent cx="2203566" cy="2221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0">
                      <a:extLst>
                        <a:ext uri="{28A0092B-C50C-407E-A947-70E740481C1C}">
                          <a14:useLocalDpi xmlns:a14="http://schemas.microsoft.com/office/drawing/2010/main" val="0"/>
                        </a:ext>
                      </a:extLst>
                    </a:blip>
                    <a:srcRect l="74814"/>
                    <a:stretch/>
                  </pic:blipFill>
                  <pic:spPr bwMode="auto">
                    <a:xfrm>
                      <a:off x="0" y="0"/>
                      <a:ext cx="2203566" cy="2221200"/>
                    </a:xfrm>
                    <a:prstGeom prst="rect">
                      <a:avLst/>
                    </a:prstGeom>
                    <a:ln>
                      <a:noFill/>
                    </a:ln>
                    <a:extLst>
                      <a:ext uri="{53640926-AAD7-44D8-BBD7-CCE9431645EC}">
                        <a14:shadowObscured xmlns:a14="http://schemas.microsoft.com/office/drawing/2010/main"/>
                      </a:ext>
                    </a:extLst>
                  </pic:spPr>
                </pic:pic>
              </a:graphicData>
            </a:graphic>
          </wp:inline>
        </w:drawing>
      </w:r>
    </w:p>
    <w:p w14:paraId="11568389" w14:textId="41A9FAF0" w:rsidR="008D7EC1" w:rsidRPr="00C66F73" w:rsidRDefault="002B10C8" w:rsidP="002B10C8">
      <w:pPr>
        <w:pStyle w:val="Caption"/>
      </w:pPr>
      <w:bookmarkStart w:id="1" w:name="_Ref121922446"/>
      <w:r>
        <w:t xml:space="preserve">Figure </w:t>
      </w:r>
      <w:fldSimple w:instr=" SEQ Figure \* ARABIC ">
        <w:r w:rsidR="00BD1C61">
          <w:rPr>
            <w:noProof/>
          </w:rPr>
          <w:t>2</w:t>
        </w:r>
      </w:fldSimple>
      <w:bookmarkEnd w:id="1"/>
      <w:r>
        <w:t xml:space="preserve">: </w:t>
      </w:r>
      <w:r w:rsidR="00C66F73">
        <w:t xml:space="preserve">f1-score for the tumor versus normal prediction endpoint for </w:t>
      </w:r>
      <w:bookmarkStart w:id="2" w:name="_Hlk125317156"/>
      <w:r w:rsidR="00C66F73">
        <w:t xml:space="preserve">STAD </w:t>
      </w:r>
      <w:bookmarkStart w:id="3" w:name="_Hlk129018198"/>
      <w:r w:rsidR="00C66F73">
        <w:t>(stomach adenocarcinoma)</w:t>
      </w:r>
      <w:bookmarkEnd w:id="2"/>
      <w:bookmarkEnd w:id="3"/>
      <w:r w:rsidR="0080063F">
        <w:t xml:space="preserve">. </w:t>
      </w:r>
      <w:r w:rsidR="00DF4F25">
        <w:t xml:space="preserve">Each </w:t>
      </w:r>
      <w:r w:rsidR="0080063F">
        <w:t>line</w:t>
      </w:r>
      <w:r w:rsidR="00C66F73">
        <w:t xml:space="preserve"> contains the</w:t>
      </w:r>
      <w:r w:rsidR="00DF4F25">
        <w:t xml:space="preserve"> f1-score for</w:t>
      </w:r>
      <w:r w:rsidR="0080063F">
        <w:t xml:space="preserve"> a support vector machine trained and tested on a different modality, namely on the</w:t>
      </w:r>
      <w:r w:rsidR="00DF4F25">
        <w:t xml:space="preserve"> </w:t>
      </w:r>
      <w:r w:rsidR="00C66F73">
        <w:t>genus abundance data (GENUS),</w:t>
      </w:r>
      <w:r w:rsidR="0080063F">
        <w:t xml:space="preserve"> the</w:t>
      </w:r>
      <w:r w:rsidR="00C66F73">
        <w:t xml:space="preserve"> gene expression data (GE) and</w:t>
      </w:r>
      <w:r w:rsidR="00DF4F25">
        <w:t xml:space="preserve"> the concatenated</w:t>
      </w:r>
      <w:r w:rsidR="00C66F73">
        <w:t xml:space="preserve"> genus + gene expression </w:t>
      </w:r>
      <w:r w:rsidR="0080063F">
        <w:t>data</w:t>
      </w:r>
      <w:r w:rsidR="00C66F73">
        <w:t xml:space="preserve"> (GE </w:t>
      </w:r>
      <w:r w:rsidR="00C66F73" w:rsidRPr="004D301D">
        <w:t>∩</w:t>
      </w:r>
      <w:r w:rsidR="00C66F73">
        <w:t xml:space="preserve"> GENUS). </w:t>
      </w:r>
      <w:r w:rsidR="00DF4F25">
        <w:t>The endpoints of each horizontal line segment indicate the average f1-score across every random sampl</w:t>
      </w:r>
      <w:r w:rsidR="0080063F">
        <w:t>ing</w:t>
      </w:r>
      <w:r w:rsidR="00DF4F25">
        <w:t xml:space="preserve"> iteration, while the vertical line segments indicates the standard deviation of the f1-score across these iterations.</w:t>
      </w:r>
      <w:r w:rsidR="00A94BE5">
        <w:t xml:space="preserve"> The last point of each line indicates</w:t>
      </w:r>
      <w:r w:rsidR="008B1FA8">
        <w:t xml:space="preserve"> the prediction performance when all the features of the relevant modality are included (i.e. when there is no feature selection).</w:t>
      </w:r>
    </w:p>
    <w:p w14:paraId="1E9A9C00" w14:textId="123692C2" w:rsidR="008D7EC1" w:rsidRDefault="00E34420" w:rsidP="008D7EC1">
      <w:pPr>
        <w:rPr>
          <w:lang w:val="en-GB"/>
        </w:rPr>
      </w:pPr>
      <w:r>
        <w:t>T</w:t>
      </w:r>
      <w:r w:rsidR="00F30F05">
        <w:rPr>
          <w:lang w:val="en-GB"/>
        </w:rPr>
        <w:t>his result is</w:t>
      </w:r>
      <w:r w:rsidR="00AC1F18">
        <w:rPr>
          <w:lang w:val="en-GB"/>
        </w:rPr>
        <w:t xml:space="preserve"> also</w:t>
      </w:r>
      <w:r w:rsidR="00F30F05">
        <w:rPr>
          <w:lang w:val="en-GB"/>
        </w:rPr>
        <w:t xml:space="preserve"> consistent </w:t>
      </w:r>
      <w:r w:rsidR="00AC1F18">
        <w:rPr>
          <w:lang w:val="en-GB"/>
        </w:rPr>
        <w:t>(</w:t>
      </w:r>
      <w:r w:rsidR="00C2294D">
        <w:rPr>
          <w:lang w:val="en-GB"/>
        </w:rPr>
        <w:t>across all cancers</w:t>
      </w:r>
      <w:r w:rsidR="00AC1F18">
        <w:rPr>
          <w:lang w:val="en-GB"/>
        </w:rPr>
        <w:t>)</w:t>
      </w:r>
      <w:r w:rsidR="00C2294D">
        <w:rPr>
          <w:lang w:val="en-GB"/>
        </w:rPr>
        <w:t xml:space="preserve"> for</w:t>
      </w:r>
      <w:r w:rsidR="00F30F05">
        <w:rPr>
          <w:lang w:val="en-GB"/>
        </w:rPr>
        <w:t xml:space="preserve"> stage prediction</w:t>
      </w:r>
      <w:r>
        <w:rPr>
          <w:lang w:val="en-GB"/>
        </w:rPr>
        <w:t xml:space="preserve"> </w:t>
      </w:r>
      <w:r w:rsidR="001D01D0">
        <w:rPr>
          <w:lang w:val="en-GB"/>
        </w:rPr>
        <w:t>(</w:t>
      </w:r>
      <w:r>
        <w:rPr>
          <w:lang w:val="en-GB"/>
        </w:rPr>
        <w:fldChar w:fldCharType="begin"/>
      </w:r>
      <w:r>
        <w:rPr>
          <w:lang w:val="en-GB"/>
        </w:rPr>
        <w:instrText xml:space="preserve"> REF _Ref121922481 \h </w:instrText>
      </w:r>
      <w:r>
        <w:rPr>
          <w:lang w:val="en-GB"/>
        </w:rPr>
      </w:r>
      <w:r>
        <w:rPr>
          <w:lang w:val="en-GB"/>
        </w:rPr>
        <w:fldChar w:fldCharType="separate"/>
      </w:r>
      <w:r w:rsidR="00BD1C61">
        <w:t xml:space="preserve">Figure </w:t>
      </w:r>
      <w:r w:rsidR="00BD1C61">
        <w:rPr>
          <w:noProof/>
        </w:rPr>
        <w:t>3</w:t>
      </w:r>
      <w:r>
        <w:rPr>
          <w:lang w:val="en-GB"/>
        </w:rPr>
        <w:fldChar w:fldCharType="end"/>
      </w:r>
      <w:r w:rsidR="001D01D0">
        <w:rPr>
          <w:lang w:val="en-GB"/>
        </w:rPr>
        <w:t>)</w:t>
      </w:r>
      <w:r w:rsidR="00AC1F18">
        <w:rPr>
          <w:lang w:val="en-GB"/>
        </w:rPr>
        <w:t xml:space="preserve">, where the difference in performance between </w:t>
      </w:r>
      <w:r w:rsidR="00C2294D">
        <w:rPr>
          <w:lang w:val="en-GB"/>
        </w:rPr>
        <w:t xml:space="preserve">the prediction model when using the gene expression data (GE) </w:t>
      </w:r>
      <w:r w:rsidR="0048780E">
        <w:rPr>
          <w:lang w:val="en-GB"/>
        </w:rPr>
        <w:t>compared to</w:t>
      </w:r>
      <w:r w:rsidR="00C2294D">
        <w:rPr>
          <w:lang w:val="en-GB"/>
        </w:rPr>
        <w:t xml:space="preserve"> the overlapped data (</w:t>
      </w:r>
      <w:r w:rsidR="00C2294D">
        <w:t xml:space="preserve">GE </w:t>
      </w:r>
      <w:r w:rsidR="00C2294D" w:rsidRPr="004D301D">
        <w:t>∩</w:t>
      </w:r>
      <w:r w:rsidR="00C2294D">
        <w:t xml:space="preserve"> GENUS</w:t>
      </w:r>
      <w:r w:rsidR="00C2294D">
        <w:rPr>
          <w:lang w:val="en-GB"/>
        </w:rPr>
        <w:t>)</w:t>
      </w:r>
      <w:r w:rsidR="0048780E">
        <w:rPr>
          <w:lang w:val="en-GB"/>
        </w:rPr>
        <w:t xml:space="preserve"> is </w:t>
      </w:r>
      <w:r w:rsidR="00AC1F18">
        <w:rPr>
          <w:lang w:val="en-GB"/>
        </w:rPr>
        <w:t xml:space="preserve">also </w:t>
      </w:r>
      <w:r w:rsidR="0048780E">
        <w:rPr>
          <w:lang w:val="en-GB"/>
        </w:rPr>
        <w:t>statistically insignificant</w:t>
      </w:r>
      <w:r w:rsidR="00C2294D">
        <w:rPr>
          <w:lang w:val="en-GB"/>
        </w:rPr>
        <w:t xml:space="preserve"> (p=0.0??).</w:t>
      </w:r>
      <w:r w:rsidR="0048780E">
        <w:rPr>
          <w:lang w:val="en-GB"/>
        </w:rPr>
        <w:t xml:space="preserve"> </w:t>
      </w:r>
    </w:p>
    <w:p w14:paraId="10B304B7" w14:textId="1965F628" w:rsidR="002B10C8" w:rsidRPr="00F30F05" w:rsidRDefault="008D7EC1" w:rsidP="00F30F05">
      <w:pPr>
        <w:rPr>
          <w:lang w:val="en-GB"/>
        </w:rPr>
      </w:pPr>
      <w:r>
        <w:rPr>
          <w:noProof/>
          <w:lang w:val="en-GB"/>
        </w:rPr>
        <w:lastRenderedPageBreak/>
        <w:drawing>
          <wp:inline distT="0" distB="0" distL="0" distR="0" wp14:anchorId="19F120C6" wp14:editId="5CFD7FF3">
            <wp:extent cx="2166608" cy="2221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bwMode="auto">
                    <a:xfrm>
                      <a:off x="0" y="0"/>
                      <a:ext cx="2166608" cy="2221200"/>
                    </a:xfrm>
                    <a:prstGeom prst="rect">
                      <a:avLst/>
                    </a:prstGeom>
                    <a:extLst>
                      <a:ext uri="{53640926-AAD7-44D8-BBD7-CCE9431645EC}">
                        <a14:shadowObscured xmlns:a14="http://schemas.microsoft.com/office/drawing/2010/main"/>
                      </a:ext>
                    </a:extLst>
                  </pic:spPr>
                </pic:pic>
              </a:graphicData>
            </a:graphic>
          </wp:inline>
        </w:drawing>
      </w:r>
      <w:r w:rsidR="00F30F05">
        <w:t xml:space="preserve"> </w:t>
      </w:r>
    </w:p>
    <w:p w14:paraId="1787F611" w14:textId="4951E471" w:rsidR="0080063F" w:rsidRPr="00C66F73" w:rsidRDefault="002B10C8" w:rsidP="0080063F">
      <w:pPr>
        <w:pStyle w:val="Caption"/>
      </w:pPr>
      <w:bookmarkStart w:id="4" w:name="_Ref121922481"/>
      <w:r>
        <w:t xml:space="preserve">Figure </w:t>
      </w:r>
      <w:fldSimple w:instr=" SEQ Figure \* ARABIC ">
        <w:r w:rsidR="00BD1C61">
          <w:rPr>
            <w:noProof/>
          </w:rPr>
          <w:t>3</w:t>
        </w:r>
      </w:fldSimple>
      <w:bookmarkEnd w:id="4"/>
      <w:r>
        <w:t xml:space="preserve">: </w:t>
      </w:r>
      <w:r w:rsidR="0080063F">
        <w:t xml:space="preserve">root-mean-squared error (RMSE) for the stage prediction endpoint for STAD (stomach adenocarcinoma). Each line contains the RMSE for an elastic net model trained and tested on a different modality, namely on the genus abundance data (GENUS), the gene expression data (GE) and the concatenated genus + gene expression data (GE </w:t>
      </w:r>
      <w:r w:rsidR="0080063F" w:rsidRPr="004D301D">
        <w:t>∩</w:t>
      </w:r>
      <w:r w:rsidR="0080063F">
        <w:t xml:space="preserve"> GENUS). The endpoints of each horizontal line segment indicate the average RMSE across every random sampling iteration, while the vertical line segments indicates the standard deviation of the RMSE across these iterations.</w:t>
      </w:r>
    </w:p>
    <w:p w14:paraId="2D43E710" w14:textId="04B94168" w:rsidR="002B10C8" w:rsidRDefault="00F30F05" w:rsidP="00F30F05">
      <w:pPr>
        <w:rPr>
          <w:lang w:val="en-GB"/>
        </w:rPr>
      </w:pPr>
      <w:r>
        <w:rPr>
          <w:lang w:val="en-GB"/>
        </w:rPr>
        <w:t xml:space="preserve">The genus layer seems to provide </w:t>
      </w:r>
      <w:r w:rsidR="00B216F9">
        <w:rPr>
          <w:lang w:val="en-GB"/>
        </w:rPr>
        <w:t xml:space="preserve">poor </w:t>
      </w:r>
      <w:r>
        <w:rPr>
          <w:lang w:val="en-GB"/>
        </w:rPr>
        <w:t>performance</w:t>
      </w:r>
      <w:r w:rsidR="00B216F9">
        <w:rPr>
          <w:lang w:val="en-GB"/>
        </w:rPr>
        <w:t xml:space="preserve"> for both </w:t>
      </w:r>
      <w:proofErr w:type="spellStart"/>
      <w:r w:rsidR="00B216F9">
        <w:rPr>
          <w:lang w:val="en-GB"/>
        </w:rPr>
        <w:t>tumor</w:t>
      </w:r>
      <w:proofErr w:type="spellEnd"/>
      <w:r w:rsidR="00B216F9">
        <w:rPr>
          <w:lang w:val="en-GB"/>
        </w:rPr>
        <w:t xml:space="preserve"> vs normal prediction (</w:t>
      </w:r>
      <w:r w:rsidR="00B216F9">
        <w:rPr>
          <w:lang w:val="en-GB"/>
        </w:rPr>
        <w:fldChar w:fldCharType="begin"/>
      </w:r>
      <w:r w:rsidR="00B216F9">
        <w:rPr>
          <w:lang w:val="en-GB"/>
        </w:rPr>
        <w:instrText xml:space="preserve"> REF _Ref121922446 \h </w:instrText>
      </w:r>
      <w:r w:rsidR="00B216F9">
        <w:rPr>
          <w:lang w:val="en-GB"/>
        </w:rPr>
      </w:r>
      <w:r w:rsidR="00B216F9">
        <w:rPr>
          <w:lang w:val="en-GB"/>
        </w:rPr>
        <w:fldChar w:fldCharType="separate"/>
      </w:r>
      <w:r w:rsidR="00BD1C61">
        <w:t xml:space="preserve">Figure </w:t>
      </w:r>
      <w:r w:rsidR="00BD1C61">
        <w:rPr>
          <w:noProof/>
        </w:rPr>
        <w:t>2</w:t>
      </w:r>
      <w:r w:rsidR="00B216F9">
        <w:rPr>
          <w:lang w:val="en-GB"/>
        </w:rPr>
        <w:fldChar w:fldCharType="end"/>
      </w:r>
      <w:r w:rsidR="00B216F9">
        <w:rPr>
          <w:lang w:val="en-GB"/>
        </w:rPr>
        <w:t>) and stage prediction (</w:t>
      </w:r>
      <w:r w:rsidR="00B216F9">
        <w:rPr>
          <w:lang w:val="en-GB"/>
        </w:rPr>
        <w:fldChar w:fldCharType="begin"/>
      </w:r>
      <w:r w:rsidR="00B216F9">
        <w:rPr>
          <w:lang w:val="en-GB"/>
        </w:rPr>
        <w:instrText xml:space="preserve"> REF _Ref121922481 \h </w:instrText>
      </w:r>
      <w:r w:rsidR="00B216F9">
        <w:rPr>
          <w:lang w:val="en-GB"/>
        </w:rPr>
      </w:r>
      <w:r w:rsidR="00B216F9">
        <w:rPr>
          <w:lang w:val="en-GB"/>
        </w:rPr>
        <w:fldChar w:fldCharType="separate"/>
      </w:r>
      <w:r w:rsidR="00BD1C61">
        <w:t xml:space="preserve">Figure </w:t>
      </w:r>
      <w:r w:rsidR="00BD1C61">
        <w:rPr>
          <w:noProof/>
        </w:rPr>
        <w:t>3</w:t>
      </w:r>
      <w:r w:rsidR="00B216F9">
        <w:rPr>
          <w:lang w:val="en-GB"/>
        </w:rPr>
        <w:fldChar w:fldCharType="end"/>
      </w:r>
      <w:r w:rsidR="00B216F9">
        <w:rPr>
          <w:lang w:val="en-GB"/>
        </w:rPr>
        <w:t xml:space="preserve">), performing worse than either GE alone or the </w:t>
      </w:r>
      <w:r w:rsidR="00B216F9">
        <w:t xml:space="preserve">GE </w:t>
      </w:r>
      <w:r w:rsidR="00B216F9" w:rsidRPr="004D301D">
        <w:t>∩</w:t>
      </w:r>
      <w:r w:rsidR="00B216F9">
        <w:t xml:space="preserve"> GENUS modality. </w:t>
      </w:r>
      <w:r>
        <w:rPr>
          <w:lang w:val="en-GB"/>
        </w:rPr>
        <w:t xml:space="preserve">This is possibly because the taxonomic genus data mined from the </w:t>
      </w:r>
      <w:proofErr w:type="spellStart"/>
      <w:r>
        <w:rPr>
          <w:lang w:val="en-GB"/>
        </w:rPr>
        <w:t>tumor</w:t>
      </w:r>
      <w:proofErr w:type="spellEnd"/>
      <w:r>
        <w:rPr>
          <w:lang w:val="en-GB"/>
        </w:rPr>
        <w:t xml:space="preserve"> samples and might not be directly related to the aetiology of the disease. Thus, it might not contain enough predictive power by itself. It is worth noting that this does not necessarily mean that microbial data might not be enough to predict these endpoints, but rather that the specific microbial data collected might need additional non-microbial features  to be powerful.</w:t>
      </w:r>
    </w:p>
    <w:p w14:paraId="741F0412" w14:textId="57EC3F14" w:rsidR="00F30F05" w:rsidRDefault="00F30F05" w:rsidP="00F30F05">
      <w:pPr>
        <w:rPr>
          <w:lang w:val="en-GB"/>
        </w:rPr>
      </w:pPr>
      <w:r>
        <w:rPr>
          <w:lang w:val="en-GB"/>
        </w:rPr>
        <w:t>Interestingly, this difference is smaller for stage prediction. This is possibly because of the extreme imbalance of classes in the data set. The more classes there are, the harder it is to maintain a balance.</w:t>
      </w:r>
      <w:r w:rsidR="00283898">
        <w:rPr>
          <w:lang w:val="en-GB"/>
        </w:rPr>
        <w:t xml:space="preserve"> Thus, for stage prediction, all the models achieve relatively low performance.</w:t>
      </w:r>
      <w:r>
        <w:rPr>
          <w:lang w:val="en-GB"/>
        </w:rPr>
        <w:t xml:space="preserve"> </w:t>
      </w:r>
    </w:p>
    <w:p w14:paraId="58221893" w14:textId="10DE9DFA" w:rsidR="00D5789C" w:rsidRDefault="003B5636" w:rsidP="00F30F05">
      <w:pPr>
        <w:rPr>
          <w:lang w:val="en-GB"/>
        </w:rPr>
      </w:pPr>
      <w:r>
        <w:rPr>
          <w:lang w:val="en-GB"/>
        </w:rPr>
        <w:t xml:space="preserve">This is relatively consistent with previous results of prediction models using TCGA microbial data </w:t>
      </w:r>
      <w:r>
        <w:rPr>
          <w:lang w:val="en-GB"/>
        </w:rPr>
        <w:fldChar w:fldCharType="begin"/>
      </w:r>
      <w:r w:rsidR="00412E15">
        <w:rPr>
          <w:lang w:val="en-GB"/>
        </w:rPr>
        <w:instrText xml:space="preserve"> ADDIN ZOTERO_ITEM CSL_CITATION {"citationID":"jcCqsYiQ","properties":{"formattedCitation":"\\super 6\\nosupersub{}","plainCitation":"6","noteIndex":0},"citationItems":[{"id":182,"uris":["http://zotero.org/users/local/0zqklVfX/items/3EG828JE"],"itemData":{"id":182,"type":"article-journal","abstract":"Systematic characterization of the cancer microbiome provides the opportunity to develop techniques that exploit non-human, microorganism-derived molecules in the diagnosis of a major human disease. Following recent demonstrations that some types of cancer show substantial microbial contributions1–10, we re-examined whole-genome and whole-transcriptome sequencing studies in The Cancer Genome Atlas11 (TCGA) of 33 types of cancer from treatment-naive patients (a total of 18,116 samples) for microbial reads, and found unique microbial signatures in tissue and blood within and between most major types of cancer. These TCGA blood signatures remained predictive when applied to patients with stage Ia–IIc cancer and cancers lacking any genomic alterations currently measured on two commercial-grade cell-free tumour DNA platforms, despite the use of very stringent decontamination analyses that discarded up to 92.3% of total sequence data. In addition, we could discriminate among samples from healthy, cancer-free individuals (n = 69) and those from patients with multiple types of cancer (prostate, lung, and melanoma; 100 samples in total) solely using plasma-derived, cell-free microbial nucleic acids. This potential microbiome-based oncology diagnostic tool warrants further exploration.","container-title":"Nature","DOI":"10.1038/s41586-020-2095-1","ISSN":"1476-4687","issue":"7800","language":"en","license":"2020 The Author(s), under exclusive licence to Springer Nature Limited","note":"number: 7800\npublisher: Nature Publishing Group","page":"567-574","source":"www.nature.com","title":"Microbiome analyses of blood and tissues suggest cancer diagnostic approach","volume":"579","author":[{"family":"Poore","given":"Gregory D."},{"family":"Kopylova","given":"Evguenia"},{"family":"Zhu","given":"Qiyun"},{"family":"Carpenter","given":"Carolina"},{"family":"Fraraccio","given":"Serena"},{"family":"Wandro","given":"Stephen"},{"family":"Kosciolek","given":"Tomasz"},{"family":"Janssen","given":"Stefan"},{"family":"Metcalf","given":"Jessica"},{"family":"Song","given":"Se Jin"},{"family":"Kanbar","given":"Jad"},{"family":"Miller-Montgomery","given":"Sandrine"},{"family":"Heaton","given":"Robert"},{"family":"Mckay","given":"Rana"},{"family":"Patel","given":"Sandip Pravin"},{"family":"Swafford","given":"Austin D."},{"family":"Knight","given":"Rob"}],"issued":{"date-parts":[["2020",3]]}}}],"schema":"https://github.com/citation-style-language/schema/raw/master/csl-citation.json"} </w:instrText>
      </w:r>
      <w:r>
        <w:rPr>
          <w:lang w:val="en-GB"/>
        </w:rPr>
        <w:fldChar w:fldCharType="separate"/>
      </w:r>
      <w:r w:rsidR="00412E15" w:rsidRPr="00412E15">
        <w:rPr>
          <w:rFonts w:ascii="Calibri" w:hAnsi="Calibri" w:cs="Calibri"/>
          <w:szCs w:val="24"/>
          <w:vertAlign w:val="superscript"/>
        </w:rPr>
        <w:t>6</w:t>
      </w:r>
      <w:r>
        <w:rPr>
          <w:lang w:val="en-GB"/>
        </w:rPr>
        <w:fldChar w:fldCharType="end"/>
      </w:r>
      <w:r>
        <w:rPr>
          <w:lang w:val="en-GB"/>
        </w:rPr>
        <w:t xml:space="preserve">. </w:t>
      </w:r>
    </w:p>
    <w:p w14:paraId="5CED5228" w14:textId="475F3E3C" w:rsidR="00D5789C" w:rsidRDefault="00D5789C" w:rsidP="00F30F05">
      <w:pPr>
        <w:rPr>
          <w:lang w:val="en-GB"/>
        </w:rPr>
      </w:pPr>
      <w:r>
        <w:rPr>
          <w:lang w:val="en-GB"/>
        </w:rPr>
        <w:t>These results are consistent across all cancers and prediction targets. Due to the availability of data and higher class balance, we will continue showing results only for STAD stage prediction.</w:t>
      </w:r>
    </w:p>
    <w:p w14:paraId="2BE36967" w14:textId="4C3928FC" w:rsidR="00412E15" w:rsidRDefault="00412E15" w:rsidP="00F30F05">
      <w:pPr>
        <w:rPr>
          <w:lang w:val="en-GB"/>
        </w:rPr>
      </w:pPr>
      <w:r>
        <w:rPr>
          <w:lang w:val="en-GB"/>
        </w:rPr>
        <w:t xml:space="preserve">For STAD and stage, a model which always predicts the majority class would have a RMSE of 4*9 + </w:t>
      </w:r>
      <w:r w:rsidR="005B2BBA">
        <w:rPr>
          <w:lang w:val="en-GB"/>
        </w:rPr>
        <w:t>19 + 0 + 27 + 4*16 = 146. 146/107 = 1.364 . root = 1.168</w:t>
      </w:r>
    </w:p>
    <w:p w14:paraId="2B82BFFB" w14:textId="02F52A5D" w:rsidR="00412E15" w:rsidRDefault="00412E15" w:rsidP="00F30F05">
      <w:pPr>
        <w:rPr>
          <w:lang w:val="en-GB"/>
        </w:rPr>
      </w:pPr>
      <w:r>
        <w:rPr>
          <w:lang w:val="en-GB"/>
        </w:rPr>
        <w:t>the total is 236</w:t>
      </w:r>
      <w:r w:rsidR="005B2BBA">
        <w:rPr>
          <w:lang w:val="en-GB"/>
        </w:rPr>
        <w:t xml:space="preserve"> and the average stage is 2.206. Let’s call it 2.</w:t>
      </w:r>
    </w:p>
    <w:p w14:paraId="6F3A11EE" w14:textId="77777777" w:rsidR="006E650B" w:rsidRDefault="006E650B" w:rsidP="00F30F05">
      <w:pPr>
        <w:rPr>
          <w:lang w:val="en-GB"/>
        </w:rPr>
      </w:pPr>
      <w:r>
        <w:rPr>
          <w:lang w:val="en-GB"/>
        </w:rPr>
        <w:t xml:space="preserve">For </w:t>
      </w:r>
      <w:proofErr w:type="spellStart"/>
      <w:r>
        <w:rPr>
          <w:lang w:val="en-GB"/>
        </w:rPr>
        <w:t>tumor</w:t>
      </w:r>
      <w:proofErr w:type="spellEnd"/>
      <w:r>
        <w:rPr>
          <w:lang w:val="en-GB"/>
        </w:rPr>
        <w:t xml:space="preserve">, Precision: 113 / (113 + 9) = 0.926 . Recall = 113 / (113 + 0) = 1. </w:t>
      </w:r>
    </w:p>
    <w:p w14:paraId="610D13C0" w14:textId="74FC5E85" w:rsidR="006E650B" w:rsidRDefault="006E650B" w:rsidP="00F30F05">
      <w:pPr>
        <w:rPr>
          <w:lang w:val="en-GB"/>
        </w:rPr>
      </w:pPr>
      <w:r>
        <w:rPr>
          <w:lang w:val="en-GB"/>
        </w:rPr>
        <w:t>F1-score = 2 * (0.926 * 1 ) / (0.926 + 1) = 0.96</w:t>
      </w:r>
    </w:p>
    <w:p w14:paraId="769D97FA" w14:textId="26D17F5E" w:rsidR="002B10C8" w:rsidRDefault="00055F9D" w:rsidP="002B10C8">
      <w:pPr>
        <w:pStyle w:val="Heading3"/>
        <w:rPr>
          <w:lang w:val="en-GB"/>
        </w:rPr>
      </w:pPr>
      <w:r>
        <w:rPr>
          <w:lang w:val="en-GB"/>
        </w:rPr>
        <w:t>Using nonlinear prediction model does not improve results</w:t>
      </w:r>
    </w:p>
    <w:p w14:paraId="25207D61" w14:textId="25333FD9" w:rsidR="00E4256B" w:rsidRDefault="002E1F07" w:rsidP="002E1F07">
      <w:pPr>
        <w:rPr>
          <w:lang w:val="en-GB"/>
        </w:rPr>
      </w:pPr>
      <w:r>
        <w:rPr>
          <w:lang w:val="en-GB"/>
        </w:rPr>
        <w:t>To investigate whether the results are due to the prediction model not being able to properly capture the information contained within the individual and overlapped layers and the interaction between these layers, we ran the prediction pipeline</w:t>
      </w:r>
      <w:r w:rsidR="00D5789C">
        <w:rPr>
          <w:lang w:val="en-GB"/>
        </w:rPr>
        <w:t xml:space="preserve"> using a random forest regressor, which is able to capture nonlinear relationships between features and has seen some success in prediction models with gene-based features.</w:t>
      </w:r>
    </w:p>
    <w:p w14:paraId="7D312250" w14:textId="60CC8C97" w:rsidR="00A36F3A" w:rsidRDefault="00055F9D" w:rsidP="002E1F07">
      <w:pPr>
        <w:rPr>
          <w:lang w:val="en-GB"/>
        </w:rPr>
      </w:pPr>
      <w:r>
        <w:rPr>
          <w:lang w:val="en-GB"/>
        </w:rPr>
        <w:t>Again, the holo-</w:t>
      </w:r>
      <w:proofErr w:type="spellStart"/>
      <w:r>
        <w:rPr>
          <w:lang w:val="en-GB"/>
        </w:rPr>
        <w:t>omic</w:t>
      </w:r>
      <w:proofErr w:type="spellEnd"/>
      <w:r>
        <w:rPr>
          <w:lang w:val="en-GB"/>
        </w:rPr>
        <w:t xml:space="preserve"> approach does not offer additional improvement over the individual gene expression layer, indicating that</w:t>
      </w:r>
      <w:r w:rsidR="00A36F3A">
        <w:rPr>
          <w:lang w:val="en-GB"/>
        </w:rPr>
        <w:t xml:space="preserve"> the lack of performance </w:t>
      </w:r>
      <w:r w:rsidR="00325836">
        <w:rPr>
          <w:lang w:val="en-GB"/>
        </w:rPr>
        <w:t xml:space="preserve">improvement with the holo-omics </w:t>
      </w:r>
      <w:r w:rsidR="00325836">
        <w:rPr>
          <w:lang w:val="en-GB"/>
        </w:rPr>
        <w:lastRenderedPageBreak/>
        <w:t xml:space="preserve">approach </w:t>
      </w:r>
      <w:r w:rsidR="00A36F3A">
        <w:rPr>
          <w:lang w:val="en-GB"/>
        </w:rPr>
        <w:t>is not due to the model not being able to properly capture complex nonlinear relationships</w:t>
      </w:r>
      <w:r>
        <w:rPr>
          <w:lang w:val="en-GB"/>
        </w:rPr>
        <w:t xml:space="preserve"> (</w:t>
      </w:r>
      <w:r>
        <w:rPr>
          <w:lang w:val="en-GB"/>
        </w:rPr>
        <w:fldChar w:fldCharType="begin"/>
      </w:r>
      <w:r>
        <w:rPr>
          <w:lang w:val="en-GB"/>
        </w:rPr>
        <w:instrText xml:space="preserve"> REF _Ref128407481 \h </w:instrText>
      </w:r>
      <w:r>
        <w:rPr>
          <w:lang w:val="en-GB"/>
        </w:rPr>
      </w:r>
      <w:r>
        <w:rPr>
          <w:lang w:val="en-GB"/>
        </w:rPr>
        <w:fldChar w:fldCharType="separate"/>
      </w:r>
      <w:r w:rsidR="00BD1C61">
        <w:t xml:space="preserve">Figure </w:t>
      </w:r>
      <w:r w:rsidR="00BD1C61">
        <w:rPr>
          <w:noProof/>
        </w:rPr>
        <w:t>4</w:t>
      </w:r>
      <w:r>
        <w:rPr>
          <w:lang w:val="en-GB"/>
        </w:rPr>
        <w:fldChar w:fldCharType="end"/>
      </w:r>
      <w:r>
        <w:rPr>
          <w:lang w:val="en-GB"/>
        </w:rPr>
        <w:t>)</w:t>
      </w:r>
      <w:r w:rsidR="00A36F3A">
        <w:rPr>
          <w:lang w:val="en-GB"/>
        </w:rPr>
        <w:t>.</w:t>
      </w:r>
    </w:p>
    <w:p w14:paraId="21821339" w14:textId="77777777" w:rsidR="00E4256B" w:rsidRDefault="00E4256B" w:rsidP="002E1F07">
      <w:pPr>
        <w:rPr>
          <w:lang w:val="en-GB"/>
        </w:rPr>
      </w:pPr>
    </w:p>
    <w:p w14:paraId="7A5B7E76" w14:textId="77777777" w:rsidR="002E1F07" w:rsidRDefault="002E1F07" w:rsidP="002E1F07">
      <w:pPr>
        <w:keepNext/>
      </w:pPr>
      <w:r>
        <w:rPr>
          <w:noProof/>
          <w:lang w:val="en-GB"/>
        </w:rPr>
        <w:drawing>
          <wp:inline distT="0" distB="0" distL="0" distR="0" wp14:anchorId="4FE366F1" wp14:editId="61F0FB93">
            <wp:extent cx="2375070" cy="2263140"/>
            <wp:effectExtent l="0" t="0" r="0" b="0"/>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83053" cy="2270746"/>
                    </a:xfrm>
                    <a:prstGeom prst="rect">
                      <a:avLst/>
                    </a:prstGeom>
                  </pic:spPr>
                </pic:pic>
              </a:graphicData>
            </a:graphic>
          </wp:inline>
        </w:drawing>
      </w:r>
    </w:p>
    <w:p w14:paraId="230F7FB6" w14:textId="2524C6C8" w:rsidR="002E1F07" w:rsidRDefault="002E1F07" w:rsidP="002E1F07">
      <w:pPr>
        <w:pStyle w:val="Caption"/>
      </w:pPr>
      <w:bookmarkStart w:id="5" w:name="_Ref128407481"/>
      <w:r>
        <w:t xml:space="preserve">Figure </w:t>
      </w:r>
      <w:fldSimple w:instr=" SEQ Figure \* ARABIC ">
        <w:r w:rsidR="00BD1C61">
          <w:rPr>
            <w:noProof/>
          </w:rPr>
          <w:t>4</w:t>
        </w:r>
      </w:fldSimple>
      <w:bookmarkEnd w:id="5"/>
      <w:r>
        <w:t>:</w:t>
      </w:r>
      <w:r w:rsidRPr="003B015D">
        <w:t xml:space="preserve"> </w:t>
      </w:r>
      <w:r w:rsidR="002B6EB7">
        <w:t>RMSE for the stage prediction endpoint for STAD using a random forest model.</w:t>
      </w:r>
    </w:p>
    <w:p w14:paraId="2FDB2348" w14:textId="4F9DDE9B" w:rsidR="002B6EB7" w:rsidRPr="002B6EB7" w:rsidRDefault="002B6EB7" w:rsidP="002B6EB7">
      <w:r>
        <w:t>It appears that the random forest model achieves a similar root mean squared error as the elastic net model. Yet, neither of the models offer additional improvement when integrating the two modalities.</w:t>
      </w:r>
    </w:p>
    <w:p w14:paraId="24A332EC" w14:textId="7671AE9B" w:rsidR="002E1F07" w:rsidRDefault="002E1F07" w:rsidP="002E1F07">
      <w:pPr>
        <w:pStyle w:val="Heading2"/>
        <w:rPr>
          <w:lang w:val="en-GB"/>
        </w:rPr>
      </w:pPr>
      <w:r w:rsidRPr="00FC6891">
        <w:rPr>
          <w:lang w:val="en-GB"/>
        </w:rPr>
        <w:t>Lower performance is not due to feature selection</w:t>
      </w:r>
    </w:p>
    <w:p w14:paraId="02446966" w14:textId="2B00BD39" w:rsidR="002B6EB7" w:rsidRPr="002B6EB7" w:rsidRDefault="002B6EB7" w:rsidP="002B6EB7">
      <w:pPr>
        <w:rPr>
          <w:lang w:val="en-GB"/>
        </w:rPr>
      </w:pPr>
      <w:r>
        <w:rPr>
          <w:lang w:val="en-GB"/>
        </w:rPr>
        <w:t xml:space="preserve">The </w:t>
      </w:r>
      <w:r w:rsidR="00FE7B96">
        <w:rPr>
          <w:lang w:val="en-GB"/>
        </w:rPr>
        <w:t>feature selection method and process has a significant impact on the performance and results of prediction models [CITATION HERE]. To investigate whether the previous results were due to the feature selection method or process chosen, we investigated different types of feature selection methods and validated the selected features to ensure that the previous results were not due to the feature selection pipeline.</w:t>
      </w:r>
    </w:p>
    <w:p w14:paraId="1FECB4D8" w14:textId="41F5C8C0" w:rsidR="002E1F07" w:rsidRPr="002E1F07" w:rsidRDefault="002E1F07" w:rsidP="002B6EB7">
      <w:pPr>
        <w:pStyle w:val="Heading3"/>
        <w:rPr>
          <w:lang w:val="en-GB"/>
        </w:rPr>
      </w:pPr>
      <w:r w:rsidRPr="002E1F07">
        <w:rPr>
          <w:lang w:val="en-GB"/>
        </w:rPr>
        <w:t>Results independent of feature selection method</w:t>
      </w:r>
    </w:p>
    <w:p w14:paraId="0BC4D3F5" w14:textId="66946160" w:rsidR="00FE7B96" w:rsidRDefault="002E1F07" w:rsidP="008D7032">
      <w:pPr>
        <w:rPr>
          <w:lang w:val="en-GB"/>
        </w:rPr>
      </w:pPr>
      <w:r>
        <w:rPr>
          <w:lang w:val="en-GB"/>
        </w:rPr>
        <w:t>To investigate whether the lower performance was due to the feature selection method, we attempted the experiments while using the chi2 test as well</w:t>
      </w:r>
      <w:r w:rsidR="00FE7B96">
        <w:rPr>
          <w:lang w:val="en-GB"/>
        </w:rPr>
        <w:t xml:space="preserve"> (</w:t>
      </w:r>
      <w:r w:rsidR="00FE7B96">
        <w:rPr>
          <w:lang w:val="en-GB"/>
        </w:rPr>
        <w:fldChar w:fldCharType="begin"/>
      </w:r>
      <w:r w:rsidR="00FE7B96">
        <w:rPr>
          <w:lang w:val="en-GB"/>
        </w:rPr>
        <w:instrText xml:space="preserve"> REF _Ref129572874 \h </w:instrText>
      </w:r>
      <w:r w:rsidR="00FE7B96">
        <w:rPr>
          <w:lang w:val="en-GB"/>
        </w:rPr>
      </w:r>
      <w:r w:rsidR="00FE7B96">
        <w:rPr>
          <w:lang w:val="en-GB"/>
        </w:rPr>
        <w:fldChar w:fldCharType="separate"/>
      </w:r>
      <w:r w:rsidR="00BD1C61">
        <w:t xml:space="preserve">Figure </w:t>
      </w:r>
      <w:r w:rsidR="00BD1C61">
        <w:rPr>
          <w:noProof/>
        </w:rPr>
        <w:t>5</w:t>
      </w:r>
      <w:r w:rsidR="00FE7B96">
        <w:rPr>
          <w:lang w:val="en-GB"/>
        </w:rPr>
        <w:fldChar w:fldCharType="end"/>
      </w:r>
      <w:r w:rsidR="00FE7B96">
        <w:rPr>
          <w:lang w:val="en-GB"/>
        </w:rPr>
        <w:t>)</w:t>
      </w:r>
      <w:r>
        <w:rPr>
          <w:lang w:val="en-GB"/>
        </w:rPr>
        <w:t>.</w:t>
      </w:r>
      <w:r w:rsidR="00FE7B96">
        <w:rPr>
          <w:lang w:val="en-GB"/>
        </w:rPr>
        <w:t xml:space="preserve"> Using the different feature selection method offers no additional improvement.</w:t>
      </w:r>
    </w:p>
    <w:p w14:paraId="003A82C2" w14:textId="75B3BF75" w:rsidR="002E1F07" w:rsidRDefault="002E1F07" w:rsidP="002E1F07">
      <w:pPr>
        <w:keepNext/>
      </w:pPr>
      <w:r>
        <w:rPr>
          <w:noProof/>
          <w:lang w:val="en-GB"/>
        </w:rPr>
        <w:drawing>
          <wp:inline distT="0" distB="0" distL="0" distR="0" wp14:anchorId="7D776C23" wp14:editId="3741A49E">
            <wp:extent cx="2191189" cy="2246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3">
                      <a:extLst>
                        <a:ext uri="{28A0092B-C50C-407E-A947-70E740481C1C}">
                          <a14:useLocalDpi xmlns:a14="http://schemas.microsoft.com/office/drawing/2010/main" val="0"/>
                        </a:ext>
                      </a:extLst>
                    </a:blip>
                    <a:stretch>
                      <a:fillRect/>
                    </a:stretch>
                  </pic:blipFill>
                  <pic:spPr bwMode="auto">
                    <a:xfrm>
                      <a:off x="0" y="0"/>
                      <a:ext cx="2191189" cy="2246400"/>
                    </a:xfrm>
                    <a:prstGeom prst="rect">
                      <a:avLst/>
                    </a:prstGeom>
                    <a:extLst>
                      <a:ext uri="{53640926-AAD7-44D8-BBD7-CCE9431645EC}">
                        <a14:shadowObscured xmlns:a14="http://schemas.microsoft.com/office/drawing/2010/main"/>
                      </a:ext>
                    </a:extLst>
                  </pic:spPr>
                </pic:pic>
              </a:graphicData>
            </a:graphic>
          </wp:inline>
        </w:drawing>
      </w:r>
    </w:p>
    <w:p w14:paraId="68BDCDC0" w14:textId="20C73DBE" w:rsidR="002E1F07" w:rsidRPr="002E1F07" w:rsidRDefault="002E1F07" w:rsidP="002E1F07">
      <w:pPr>
        <w:pStyle w:val="Caption"/>
        <w:rPr>
          <w:lang w:val="en-GB"/>
        </w:rPr>
      </w:pPr>
      <w:bookmarkStart w:id="6" w:name="_Ref129572874"/>
      <w:r>
        <w:t xml:space="preserve">Figure </w:t>
      </w:r>
      <w:fldSimple w:instr=" SEQ Figure \* ARABIC ">
        <w:r w:rsidR="00BD1C61">
          <w:rPr>
            <w:noProof/>
          </w:rPr>
          <w:t>5</w:t>
        </w:r>
      </w:fldSimple>
      <w:bookmarkEnd w:id="6"/>
      <w:r>
        <w:t xml:space="preserve">: Cancer predictions for stage using </w:t>
      </w:r>
      <w:proofErr w:type="spellStart"/>
      <w:r w:rsidR="0030217C">
        <w:t>pearson</w:t>
      </w:r>
      <w:proofErr w:type="spellEnd"/>
      <w:r w:rsidR="0030217C">
        <w:t xml:space="preserve"> as feature selector</w:t>
      </w:r>
    </w:p>
    <w:p w14:paraId="6637EAD4" w14:textId="523897F4" w:rsidR="00283898" w:rsidRDefault="00283898" w:rsidP="00283898">
      <w:pPr>
        <w:pStyle w:val="Heading3"/>
        <w:rPr>
          <w:lang w:val="en-GB"/>
        </w:rPr>
      </w:pPr>
      <w:r>
        <w:rPr>
          <w:lang w:val="en-GB"/>
        </w:rPr>
        <w:lastRenderedPageBreak/>
        <w:t xml:space="preserve">Feature selection is dominated by </w:t>
      </w:r>
      <w:r w:rsidR="001A53FC">
        <w:rPr>
          <w:lang w:val="en-GB"/>
        </w:rPr>
        <w:t>gene expression features</w:t>
      </w:r>
    </w:p>
    <w:p w14:paraId="449368DB" w14:textId="79418405" w:rsidR="00E34420" w:rsidRDefault="006E35E8" w:rsidP="00E34420">
      <w:pPr>
        <w:rPr>
          <w:lang w:val="en-GB"/>
        </w:rPr>
      </w:pPr>
      <w:r>
        <w:rPr>
          <w:lang w:val="en-GB"/>
        </w:rPr>
        <w:t xml:space="preserve">To investigate whether the prediction models trained on the </w:t>
      </w:r>
      <w:r>
        <w:t xml:space="preserve">GE </w:t>
      </w:r>
      <w:r w:rsidRPr="004D301D">
        <w:t>∩</w:t>
      </w:r>
      <w:r>
        <w:t xml:space="preserve"> GENUS</w:t>
      </w:r>
      <w:r>
        <w:rPr>
          <w:lang w:val="en-GB"/>
        </w:rPr>
        <w:t xml:space="preserve"> set were are making use of both GE and GENUS features, we investigated what fraction of the features selected for different feature selection amounts consisted of GE features. Thus, we plotted the proportion of selected GE</w:t>
      </w:r>
      <w:r w:rsidR="00E34420">
        <w:rPr>
          <w:lang w:val="en-GB"/>
        </w:rPr>
        <w:t xml:space="preserve"> </w:t>
      </w:r>
      <w:r>
        <w:rPr>
          <w:lang w:val="en-GB"/>
        </w:rPr>
        <w:t>features for stage prediction when using an elastic net as the feature selector and displayed the fraction for different feature selection amounts</w:t>
      </w:r>
      <w:r w:rsidR="00816AC3">
        <w:rPr>
          <w:lang w:val="en-GB"/>
        </w:rPr>
        <w:t xml:space="preserve"> (</w:t>
      </w:r>
      <w:r w:rsidR="00816AC3">
        <w:rPr>
          <w:lang w:val="en-GB"/>
        </w:rPr>
        <w:fldChar w:fldCharType="begin"/>
      </w:r>
      <w:r w:rsidR="00816AC3">
        <w:rPr>
          <w:lang w:val="en-GB"/>
        </w:rPr>
        <w:instrText xml:space="preserve"> REF _Ref130481355 \h </w:instrText>
      </w:r>
      <w:r w:rsidR="00816AC3">
        <w:rPr>
          <w:lang w:val="en-GB"/>
        </w:rPr>
      </w:r>
      <w:r w:rsidR="00816AC3">
        <w:rPr>
          <w:lang w:val="en-GB"/>
        </w:rPr>
        <w:fldChar w:fldCharType="separate"/>
      </w:r>
      <w:r w:rsidR="00BD1C61">
        <w:t xml:space="preserve">Figure </w:t>
      </w:r>
      <w:r w:rsidR="00BD1C61">
        <w:rPr>
          <w:noProof/>
        </w:rPr>
        <w:t>6</w:t>
      </w:r>
      <w:r w:rsidR="00816AC3">
        <w:rPr>
          <w:lang w:val="en-GB"/>
        </w:rPr>
        <w:fldChar w:fldCharType="end"/>
      </w:r>
      <w:r w:rsidR="00816AC3">
        <w:rPr>
          <w:lang w:val="en-GB"/>
        </w:rPr>
        <w:t>)</w:t>
      </w:r>
      <w:r>
        <w:rPr>
          <w:lang w:val="en-GB"/>
        </w:rPr>
        <w:t>.</w:t>
      </w:r>
      <w:r w:rsidR="00816AC3">
        <w:rPr>
          <w:lang w:val="en-GB"/>
        </w:rPr>
        <w:t xml:space="preserve"> </w:t>
      </w:r>
    </w:p>
    <w:p w14:paraId="6C63F8CD" w14:textId="2CC22826" w:rsidR="005E5774" w:rsidRPr="00816AC3" w:rsidRDefault="00283898" w:rsidP="00816AC3">
      <w:pPr>
        <w:rPr>
          <w:lang w:val="en-GB"/>
        </w:rPr>
      </w:pPr>
      <w:r>
        <w:rPr>
          <w:lang w:val="en-GB"/>
        </w:rPr>
        <w:t xml:space="preserve">It seems that when performing feature selection on the integrated dataset, </w:t>
      </w:r>
      <w:r w:rsidR="00816AC3">
        <w:rPr>
          <w:lang w:val="en-GB"/>
        </w:rPr>
        <w:t xml:space="preserve">almost all </w:t>
      </w:r>
      <w:r>
        <w:rPr>
          <w:lang w:val="en-GB"/>
        </w:rPr>
        <w:t>of the features selected</w:t>
      </w:r>
      <w:r w:rsidR="00B17DBC">
        <w:rPr>
          <w:lang w:val="en-GB"/>
        </w:rPr>
        <w:t xml:space="preserve"> originate from the gene expressio</w:t>
      </w:r>
      <w:r w:rsidR="00816AC3">
        <w:rPr>
          <w:lang w:val="en-GB"/>
        </w:rPr>
        <w:t>n set</w:t>
      </w:r>
      <w:r w:rsidR="00B17DBC">
        <w:rPr>
          <w:lang w:val="en-GB"/>
        </w:rPr>
        <w:t>.</w:t>
      </w:r>
      <w:r>
        <w:rPr>
          <w:lang w:val="en-GB"/>
        </w:rPr>
        <w:t xml:space="preserve"> </w:t>
      </w:r>
      <w:r w:rsidR="00816AC3">
        <w:rPr>
          <w:lang w:val="en-GB"/>
        </w:rPr>
        <w:t>When investigating the absolute amount of genus features selected, this corresponds to approximately only 1 genus feature being selected across the random sampling iterations and selected feature amounts (</w:t>
      </w:r>
      <w:r w:rsidR="00816AC3">
        <w:rPr>
          <w:lang w:val="en-GB"/>
        </w:rPr>
        <w:fldChar w:fldCharType="begin"/>
      </w:r>
      <w:r w:rsidR="00816AC3">
        <w:rPr>
          <w:lang w:val="en-GB"/>
        </w:rPr>
        <w:instrText xml:space="preserve"> REF _Ref130481572 \h </w:instrText>
      </w:r>
      <w:r w:rsidR="00816AC3">
        <w:rPr>
          <w:lang w:val="en-GB"/>
        </w:rPr>
      </w:r>
      <w:r w:rsidR="00816AC3">
        <w:rPr>
          <w:lang w:val="en-GB"/>
        </w:rPr>
        <w:fldChar w:fldCharType="separate"/>
      </w:r>
      <w:r w:rsidR="00BD1C61">
        <w:t xml:space="preserve">Figure </w:t>
      </w:r>
      <w:r w:rsidR="00BD1C61">
        <w:rPr>
          <w:noProof/>
        </w:rPr>
        <w:t>7</w:t>
      </w:r>
      <w:r w:rsidR="00816AC3">
        <w:rPr>
          <w:lang w:val="en-GB"/>
        </w:rPr>
        <w:fldChar w:fldCharType="end"/>
      </w:r>
      <w:r w:rsidR="00816AC3">
        <w:rPr>
          <w:lang w:val="en-GB"/>
        </w:rPr>
        <w:t>).</w:t>
      </w:r>
    </w:p>
    <w:p w14:paraId="23C22CE1" w14:textId="13A0F0A0" w:rsidR="00C401CE" w:rsidRDefault="00816AC3" w:rsidP="00C401CE">
      <w:pPr>
        <w:rPr>
          <w:lang w:val="en-GB"/>
        </w:rPr>
      </w:pPr>
      <w:r>
        <w:rPr>
          <w:lang w:val="en-GB"/>
        </w:rPr>
        <w:t xml:space="preserve">Since there are much more gene expression features than genus features (5000 vs 221), if one assumes that both modalities are as predictive of the target, we would naturally expect more gene expression features to be selected. </w:t>
      </w:r>
      <w:r w:rsidR="006303DE">
        <w:rPr>
          <w:lang w:val="en-GB"/>
        </w:rPr>
        <w:t>Namely, we would expect roughly 4% of the selected features to be genus features.</w:t>
      </w:r>
      <w:r>
        <w:rPr>
          <w:lang w:val="en-GB"/>
        </w:rPr>
        <w:t xml:space="preserve"> </w:t>
      </w:r>
      <w:r w:rsidR="006303DE">
        <w:rPr>
          <w:lang w:val="en-GB"/>
        </w:rPr>
        <w:t xml:space="preserve">Following this logic, for the top 6 and top 10 feature selected, the 1 genus features </w:t>
      </w:r>
      <w:proofErr w:type="spellStart"/>
      <w:r w:rsidR="006303DE">
        <w:rPr>
          <w:lang w:val="en-GB"/>
        </w:rPr>
        <w:t>selecte</w:t>
      </w:r>
      <w:proofErr w:type="spellEnd"/>
      <w:r w:rsidR="006303DE">
        <w:rPr>
          <w:lang w:val="en-GB"/>
        </w:rPr>
        <w:t xml:space="preserve"> is within expectations. However, for the higher amount of selected features, the genus features represent a disproportionately low fraction of the total selected feature set.  </w:t>
      </w:r>
    </w:p>
    <w:p w14:paraId="203BF043" w14:textId="442EF1DE" w:rsidR="001047D2" w:rsidRDefault="001047D2" w:rsidP="00C401CE">
      <w:pPr>
        <w:rPr>
          <w:lang w:val="en-GB"/>
        </w:rPr>
      </w:pPr>
      <w:r>
        <w:rPr>
          <w:lang w:val="en-GB"/>
        </w:rPr>
        <w:t>This is also to be expected, as the GE features used were a collection of features</w:t>
      </w:r>
      <w:r w:rsidR="00B80E33">
        <w:rPr>
          <w:lang w:val="en-GB"/>
        </w:rPr>
        <w:t xml:space="preserve"> selected</w:t>
      </w:r>
      <w:r>
        <w:rPr>
          <w:lang w:val="en-GB"/>
        </w:rPr>
        <w:t xml:space="preserve"> from a larger pool from TCGA with the largest variation.</w:t>
      </w:r>
    </w:p>
    <w:p w14:paraId="5BD9238D" w14:textId="77777777" w:rsidR="00B17DBC" w:rsidRDefault="00283898" w:rsidP="00B17DBC">
      <w:pPr>
        <w:keepNext/>
      </w:pPr>
      <w:r>
        <w:rPr>
          <w:noProof/>
          <w:lang w:val="en-GB"/>
        </w:rPr>
        <w:drawing>
          <wp:inline distT="0" distB="0" distL="0" distR="0" wp14:anchorId="5BE6D455" wp14:editId="684B34FF">
            <wp:extent cx="5107294" cy="28657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a:extLst>
                        <a:ext uri="{28A0092B-C50C-407E-A947-70E740481C1C}">
                          <a14:useLocalDpi xmlns:a14="http://schemas.microsoft.com/office/drawing/2010/main" val="0"/>
                        </a:ext>
                      </a:extLst>
                    </a:blip>
                    <a:stretch>
                      <a:fillRect/>
                    </a:stretch>
                  </pic:blipFill>
                  <pic:spPr>
                    <a:xfrm>
                      <a:off x="0" y="0"/>
                      <a:ext cx="5107294" cy="2865755"/>
                    </a:xfrm>
                    <a:prstGeom prst="rect">
                      <a:avLst/>
                    </a:prstGeom>
                  </pic:spPr>
                </pic:pic>
              </a:graphicData>
            </a:graphic>
          </wp:inline>
        </w:drawing>
      </w:r>
    </w:p>
    <w:p w14:paraId="055538B4" w14:textId="45D77D9D" w:rsidR="005C34BD" w:rsidRDefault="00B17DBC" w:rsidP="005C34BD">
      <w:pPr>
        <w:pStyle w:val="Caption"/>
      </w:pPr>
      <w:bookmarkStart w:id="7" w:name="_Ref130481355"/>
      <w:r>
        <w:t xml:space="preserve">Figure </w:t>
      </w:r>
      <w:fldSimple w:instr=" SEQ Figure \* ARABIC ">
        <w:r w:rsidR="00BD1C61">
          <w:rPr>
            <w:noProof/>
          </w:rPr>
          <w:t>6</w:t>
        </w:r>
      </w:fldSimple>
      <w:bookmarkEnd w:id="7"/>
      <w:r>
        <w:t xml:space="preserve">: </w:t>
      </w:r>
      <w:r w:rsidR="004E7F30">
        <w:t xml:space="preserve">the fraction of GE features (vertical axis) selected from the total amount of features for each feature amount (horizontal axis) when doing stage prediction </w:t>
      </w:r>
      <w:r w:rsidR="005C34BD">
        <w:t xml:space="preserve">STAD </w:t>
      </w:r>
      <w:r w:rsidR="004E7F30">
        <w:t xml:space="preserve">with the genus + gene expression modality (GE </w:t>
      </w:r>
      <w:r w:rsidR="004E7F30" w:rsidRPr="004D301D">
        <w:t>∩</w:t>
      </w:r>
      <w:r w:rsidR="004E7F30">
        <w:t xml:space="preserve"> GENUS). </w:t>
      </w:r>
      <w:r w:rsidR="005C34BD">
        <w:t xml:space="preserve">These features were selected out of 5221 total GE </w:t>
      </w:r>
      <w:r w:rsidR="005C34BD" w:rsidRPr="004D301D">
        <w:t>∩</w:t>
      </w:r>
      <w:r w:rsidR="005C34BD">
        <w:t xml:space="preserve"> GENUS features using an elastic net model.</w:t>
      </w:r>
      <w:r w:rsidR="00CE0319">
        <w:t xml:space="preserve"> </w:t>
      </w:r>
      <w:r w:rsidR="00CE0319">
        <w:t xml:space="preserve">The endpoints of each horizontal line segment indicate the average </w:t>
      </w:r>
      <w:r w:rsidR="00CE0319">
        <w:t xml:space="preserve">fraction of GE </w:t>
      </w:r>
      <w:r w:rsidR="00CE0319">
        <w:t>features selected across the 200 random sampling iterations, while the error bars indicate the standard deviation across these iterations.</w:t>
      </w:r>
    </w:p>
    <w:p w14:paraId="5B2FBE3E" w14:textId="316CFA3A" w:rsidR="00EE7197" w:rsidRDefault="00EE7197" w:rsidP="004E7F30">
      <w:pPr>
        <w:pStyle w:val="Caption"/>
      </w:pPr>
      <w:r>
        <w:rPr>
          <w:noProof/>
        </w:rPr>
        <w:lastRenderedPageBreak/>
        <w:drawing>
          <wp:inline distT="0" distB="0" distL="0" distR="0" wp14:anchorId="5B87FA20" wp14:editId="45476647">
            <wp:extent cx="5049187" cy="28657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a:extLst>
                        <a:ext uri="{28A0092B-C50C-407E-A947-70E740481C1C}">
                          <a14:useLocalDpi xmlns:a14="http://schemas.microsoft.com/office/drawing/2010/main" val="0"/>
                        </a:ext>
                      </a:extLst>
                    </a:blip>
                    <a:stretch>
                      <a:fillRect/>
                    </a:stretch>
                  </pic:blipFill>
                  <pic:spPr>
                    <a:xfrm>
                      <a:off x="0" y="0"/>
                      <a:ext cx="5049187" cy="2865755"/>
                    </a:xfrm>
                    <a:prstGeom prst="rect">
                      <a:avLst/>
                    </a:prstGeom>
                  </pic:spPr>
                </pic:pic>
              </a:graphicData>
            </a:graphic>
          </wp:inline>
        </w:drawing>
      </w:r>
    </w:p>
    <w:p w14:paraId="440FEC78" w14:textId="6F9010E7" w:rsidR="00CE0319" w:rsidRPr="00C66F73" w:rsidRDefault="00EE7197" w:rsidP="00CE0319">
      <w:pPr>
        <w:pStyle w:val="Caption"/>
      </w:pPr>
      <w:bookmarkStart w:id="8" w:name="_Ref130481572"/>
      <w:r>
        <w:t xml:space="preserve">Figure </w:t>
      </w:r>
      <w:fldSimple w:instr=" SEQ Figure \* ARABIC ">
        <w:r w:rsidR="00BD1C61">
          <w:rPr>
            <w:noProof/>
          </w:rPr>
          <w:t>7</w:t>
        </w:r>
      </w:fldSimple>
      <w:bookmarkEnd w:id="8"/>
      <w:r>
        <w:t xml:space="preserve">: </w:t>
      </w:r>
      <w:r w:rsidR="004E7F30">
        <w:t xml:space="preserve">the absolute amount of GENUS features (vertical axis) selected from the total amount of features for each feature amount (horizontal axis) when doing stage prediction </w:t>
      </w:r>
      <w:r w:rsidR="005C34BD">
        <w:t xml:space="preserve">for STAD </w:t>
      </w:r>
      <w:r w:rsidR="004E7F30">
        <w:t xml:space="preserve">with the genus + gene expression modality (GE </w:t>
      </w:r>
      <w:r w:rsidR="004E7F30" w:rsidRPr="004D301D">
        <w:t>∩</w:t>
      </w:r>
      <w:r w:rsidR="004E7F30">
        <w:t xml:space="preserve"> GENUS).  </w:t>
      </w:r>
      <w:r w:rsidR="005C34BD">
        <w:t xml:space="preserve">These features were selected out of 5221 total </w:t>
      </w:r>
      <w:r w:rsidR="005C34BD">
        <w:t xml:space="preserve">GE </w:t>
      </w:r>
      <w:r w:rsidR="005C34BD" w:rsidRPr="004D301D">
        <w:t>∩</w:t>
      </w:r>
      <w:r w:rsidR="005C34BD">
        <w:t xml:space="preserve"> GENUS</w:t>
      </w:r>
      <w:r w:rsidR="005C34BD">
        <w:t xml:space="preserve"> features using an elastic net model.</w:t>
      </w:r>
      <w:r w:rsidR="00CE0319">
        <w:t xml:space="preserve"> The endpoints of each horizontal line segment indicate the average number of GENUS features selected across the 200 random sampling iterations, while t</w:t>
      </w:r>
      <w:r w:rsidR="00CE0319">
        <w:t>he</w:t>
      </w:r>
      <w:r w:rsidR="00CE0319">
        <w:t xml:space="preserve"> error bars indicate the standard deviation across these iterations.</w:t>
      </w:r>
    </w:p>
    <w:p w14:paraId="514FECEE" w14:textId="31EF8CF0" w:rsidR="004E7F30" w:rsidRDefault="004E7F30" w:rsidP="004E7F30">
      <w:pPr>
        <w:pStyle w:val="Caption"/>
      </w:pPr>
    </w:p>
    <w:p w14:paraId="2C1C3AD1" w14:textId="75A7DCF9" w:rsidR="009240AB" w:rsidRDefault="009240AB" w:rsidP="009240AB">
      <w:pPr>
        <w:pStyle w:val="Heading3"/>
        <w:rPr>
          <w:lang w:val="en-GB"/>
        </w:rPr>
      </w:pPr>
      <w:r>
        <w:rPr>
          <w:lang w:val="en-GB"/>
        </w:rPr>
        <w:t xml:space="preserve">Enforcing modality parity during feature selection </w:t>
      </w:r>
      <w:r w:rsidR="00451C9E">
        <w:rPr>
          <w:lang w:val="en-GB"/>
        </w:rPr>
        <w:t>does not i</w:t>
      </w:r>
      <w:r>
        <w:rPr>
          <w:lang w:val="en-GB"/>
        </w:rPr>
        <w:t>mprove performance</w:t>
      </w:r>
    </w:p>
    <w:p w14:paraId="3D192687" w14:textId="19118088" w:rsidR="00451C9E" w:rsidRDefault="00177457" w:rsidP="00451C9E">
      <w:pPr>
        <w:rPr>
          <w:lang w:val="en-GB"/>
        </w:rPr>
      </w:pPr>
      <w:r>
        <w:rPr>
          <w:lang w:val="en-GB"/>
        </w:rPr>
        <w:t xml:space="preserve">As the domination of gene expression features during the selection process could prevent the prediction model from properly capturing the information of both the gene expression and the genus data, </w:t>
      </w:r>
      <w:r w:rsidR="00451C9E">
        <w:rPr>
          <w:lang w:val="en-GB"/>
        </w:rPr>
        <w:t xml:space="preserve">we </w:t>
      </w:r>
      <w:r w:rsidR="008D7032">
        <w:rPr>
          <w:lang w:val="en-GB"/>
        </w:rPr>
        <w:t xml:space="preserve">attempted to avoid this by repeating </w:t>
      </w:r>
      <w:r w:rsidR="00451C9E">
        <w:rPr>
          <w:lang w:val="en-GB"/>
        </w:rPr>
        <w:t>the</w:t>
      </w:r>
      <w:r>
        <w:rPr>
          <w:lang w:val="en-GB"/>
        </w:rPr>
        <w:t xml:space="preserve"> prediction</w:t>
      </w:r>
      <w:r w:rsidR="00451C9E">
        <w:rPr>
          <w:lang w:val="en-GB"/>
        </w:rPr>
        <w:t xml:space="preserve"> experiments while enforcing parity in the amount of features selected </w:t>
      </w:r>
      <w:r w:rsidR="008D7032">
        <w:rPr>
          <w:lang w:val="en-GB"/>
        </w:rPr>
        <w:t>from</w:t>
      </w:r>
      <w:r w:rsidR="00451C9E">
        <w:rPr>
          <w:lang w:val="en-GB"/>
        </w:rPr>
        <w:t xml:space="preserve"> each modality. To do this, we performed feature selection prior to integrating the modalities </w:t>
      </w:r>
      <w:r>
        <w:rPr>
          <w:lang w:val="en-GB"/>
        </w:rPr>
        <w:t xml:space="preserve">and ensured that for each feature selection amount, half of the features were from the GE modality while the other half was from GENUS. </w:t>
      </w:r>
    </w:p>
    <w:p w14:paraId="6DD93C1E" w14:textId="5B3B50A0" w:rsidR="00451C9E" w:rsidRPr="00451C9E" w:rsidRDefault="00451C9E" w:rsidP="00451C9E">
      <w:pPr>
        <w:rPr>
          <w:lang w:val="en-GB"/>
        </w:rPr>
      </w:pPr>
      <w:r>
        <w:rPr>
          <w:lang w:val="en-GB"/>
        </w:rPr>
        <w:t>As can be seen, this leads to similar or worse performance than only using GE or the non-enforced-parity feature selection approach with the overlapped layer (</w:t>
      </w:r>
      <w:r w:rsidR="00384D67">
        <w:rPr>
          <w:lang w:val="en-GB"/>
        </w:rPr>
        <w:fldChar w:fldCharType="begin"/>
      </w:r>
      <w:r w:rsidR="00384D67">
        <w:rPr>
          <w:lang w:val="en-GB"/>
        </w:rPr>
        <w:instrText xml:space="preserve"> REF _Ref130476870 \h </w:instrText>
      </w:r>
      <w:r w:rsidR="00384D67">
        <w:rPr>
          <w:lang w:val="en-GB"/>
        </w:rPr>
      </w:r>
      <w:r w:rsidR="00384D67">
        <w:rPr>
          <w:lang w:val="en-GB"/>
        </w:rPr>
        <w:fldChar w:fldCharType="separate"/>
      </w:r>
      <w:r w:rsidR="00BD1C61">
        <w:t xml:space="preserve">Figure </w:t>
      </w:r>
      <w:r w:rsidR="00BD1C61">
        <w:rPr>
          <w:noProof/>
        </w:rPr>
        <w:t>8</w:t>
      </w:r>
      <w:r w:rsidR="00384D67">
        <w:rPr>
          <w:lang w:val="en-GB"/>
        </w:rPr>
        <w:fldChar w:fldCharType="end"/>
      </w:r>
      <w:r>
        <w:rPr>
          <w:lang w:val="en-GB"/>
        </w:rPr>
        <w:t>).</w:t>
      </w:r>
      <w:r w:rsidR="00EC1E00">
        <w:rPr>
          <w:lang w:val="en-GB"/>
        </w:rPr>
        <w:t xml:space="preserve"> Comparing the lowest scores for each modality indicates that there is no statistically significant difference between the model trained with modality enforcement and the one trained without modality enforcement (P = 0.5)</w:t>
      </w:r>
    </w:p>
    <w:p w14:paraId="29D50F0B" w14:textId="77777777" w:rsidR="00E07EFA" w:rsidRDefault="00792A21" w:rsidP="00E07EFA">
      <w:pPr>
        <w:keepNext/>
      </w:pPr>
      <w:r>
        <w:rPr>
          <w:noProof/>
          <w:lang w:val="en-GB"/>
        </w:rPr>
        <w:lastRenderedPageBreak/>
        <w:drawing>
          <wp:inline distT="0" distB="0" distL="0" distR="0" wp14:anchorId="73FFC065" wp14:editId="128EEB24">
            <wp:extent cx="2191189" cy="2246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6">
                      <a:extLst>
                        <a:ext uri="{28A0092B-C50C-407E-A947-70E740481C1C}">
                          <a14:useLocalDpi xmlns:a14="http://schemas.microsoft.com/office/drawing/2010/main" val="0"/>
                        </a:ext>
                      </a:extLst>
                    </a:blip>
                    <a:stretch>
                      <a:fillRect/>
                    </a:stretch>
                  </pic:blipFill>
                  <pic:spPr>
                    <a:xfrm>
                      <a:off x="0" y="0"/>
                      <a:ext cx="2191189" cy="2246400"/>
                    </a:xfrm>
                    <a:prstGeom prst="rect">
                      <a:avLst/>
                    </a:prstGeom>
                  </pic:spPr>
                </pic:pic>
              </a:graphicData>
            </a:graphic>
          </wp:inline>
        </w:drawing>
      </w:r>
    </w:p>
    <w:p w14:paraId="40900698" w14:textId="4C3FB100" w:rsidR="00241BAB" w:rsidRDefault="00E07EFA" w:rsidP="00241BAB">
      <w:pPr>
        <w:pStyle w:val="Caption"/>
      </w:pPr>
      <w:bookmarkStart w:id="9" w:name="_Ref130476870"/>
      <w:r>
        <w:t xml:space="preserve">Figure </w:t>
      </w:r>
      <w:fldSimple w:instr=" SEQ Figure \* ARABIC ">
        <w:r w:rsidR="00BD1C61">
          <w:rPr>
            <w:noProof/>
          </w:rPr>
          <w:t>8</w:t>
        </w:r>
      </w:fldSimple>
      <w:bookmarkEnd w:id="9"/>
      <w:r>
        <w:t>:</w:t>
      </w:r>
      <w:r w:rsidR="00EC1E00">
        <w:t xml:space="preserve"> </w:t>
      </w:r>
      <w:r w:rsidR="00EC1E00">
        <w:t>root-mean-squared error (RMSE) for the stage prediction endpoint for STAD (stomach adenocarcinoma). Each line contains the RMSE for an elastic net model trained and tested on a different modality, namely on the genus abundance data (GENUS), the gene expression data (GE)</w:t>
      </w:r>
      <w:r w:rsidR="00EC1E00">
        <w:t xml:space="preserve">, </w:t>
      </w:r>
      <w:r w:rsidR="00EC1E00">
        <w:t xml:space="preserve">the concatenated genus + gene expression data (GE </w:t>
      </w:r>
      <w:r w:rsidR="00EC1E00" w:rsidRPr="004D301D">
        <w:t>∩</w:t>
      </w:r>
      <w:r w:rsidR="00EC1E00">
        <w:t xml:space="preserve"> GENUS)</w:t>
      </w:r>
      <w:r w:rsidR="00EC1E00">
        <w:t xml:space="preserve"> </w:t>
      </w:r>
      <w:r w:rsidR="00EC1E00" w:rsidRPr="00E07EFA">
        <w:t xml:space="preserve">and </w:t>
      </w:r>
      <w:r w:rsidR="00EC1E00">
        <w:t xml:space="preserve">the </w:t>
      </w:r>
      <w:r w:rsidR="00EC1E00" w:rsidRPr="00E07EFA">
        <w:t>concatenated genus + gene expression features with enforced parity (GE ∩ GENUS (parity))</w:t>
      </w:r>
      <w:r w:rsidR="00EC1E00">
        <w:t>. The endpoints of each horizontal line segment indicate the average RMSE across every random sampling iteration, while the vertical line segments indicates the standard deviation of the RMSE across these iterations.</w:t>
      </w:r>
    </w:p>
    <w:p w14:paraId="71FD1425" w14:textId="273244BD" w:rsidR="00241BAB" w:rsidRPr="00241BAB" w:rsidRDefault="00241BAB" w:rsidP="00241BAB">
      <w:r>
        <w:rPr>
          <w:lang w:val="en-GB"/>
        </w:rPr>
        <w:t>This is likely because the GENUS modality is not offering additional information over the GE features already in the feature selection set.</w:t>
      </w:r>
    </w:p>
    <w:p w14:paraId="27F2B746" w14:textId="2CE3F739" w:rsidR="00FA06DE" w:rsidRDefault="00FA06DE">
      <w:pPr>
        <w:pStyle w:val="Heading3"/>
      </w:pPr>
      <w:r>
        <w:t>Selected genus features are supported by research</w:t>
      </w:r>
    </w:p>
    <w:p w14:paraId="76F7F7E5" w14:textId="581939BE" w:rsidR="00360FAF" w:rsidRDefault="00360FAF" w:rsidP="00FA06DE">
      <w:pPr>
        <w:rPr>
          <w:lang w:val="en-GB"/>
        </w:rPr>
      </w:pPr>
      <w:r>
        <w:rPr>
          <w:lang w:val="en-GB"/>
        </w:rPr>
        <w:t>To investigate whether the lack of performance was due to the features selected</w:t>
      </w:r>
      <w:r w:rsidR="008D4084">
        <w:rPr>
          <w:lang w:val="en-GB"/>
        </w:rPr>
        <w:t>, we investigated the top features selected by the feature selection algorithm across the different cancers (</w:t>
      </w:r>
      <w:r w:rsidR="008D4084">
        <w:rPr>
          <w:lang w:val="en-GB"/>
        </w:rPr>
        <w:fldChar w:fldCharType="begin"/>
      </w:r>
      <w:r w:rsidR="008D4084">
        <w:rPr>
          <w:lang w:val="en-GB"/>
        </w:rPr>
        <w:instrText xml:space="preserve"> REF _Ref129019113 \h </w:instrText>
      </w:r>
      <w:r w:rsidR="008D4084">
        <w:rPr>
          <w:lang w:val="en-GB"/>
        </w:rPr>
      </w:r>
      <w:r w:rsidR="008D4084">
        <w:rPr>
          <w:lang w:val="en-GB"/>
        </w:rPr>
        <w:fldChar w:fldCharType="separate"/>
      </w:r>
      <w:r w:rsidR="00BD1C61">
        <w:t xml:space="preserve">Figure </w:t>
      </w:r>
      <w:r w:rsidR="00BD1C61">
        <w:rPr>
          <w:noProof/>
        </w:rPr>
        <w:t>9</w:t>
      </w:r>
      <w:r w:rsidR="008D4084">
        <w:rPr>
          <w:lang w:val="en-GB"/>
        </w:rPr>
        <w:fldChar w:fldCharType="end"/>
      </w:r>
      <w:r w:rsidR="008D4084">
        <w:rPr>
          <w:lang w:val="en-GB"/>
        </w:rPr>
        <w:t xml:space="preserve">). </w:t>
      </w:r>
      <w:r>
        <w:rPr>
          <w:lang w:val="en-GB"/>
        </w:rPr>
        <w:t xml:space="preserve"> </w:t>
      </w:r>
    </w:p>
    <w:p w14:paraId="35785938" w14:textId="71935134" w:rsidR="00FA06DE" w:rsidRDefault="00FA06DE" w:rsidP="00FA06DE">
      <w:pPr>
        <w:rPr>
          <w:lang w:val="en-GB"/>
        </w:rPr>
      </w:pPr>
      <w:r>
        <w:rPr>
          <w:lang w:val="en-GB"/>
        </w:rPr>
        <w:t xml:space="preserve">One genus species which was frequently selected in the overlap set for stomach adenocarcinoma, is </w:t>
      </w:r>
      <w:r w:rsidRPr="009F5F31">
        <w:rPr>
          <w:i/>
          <w:iCs/>
          <w:lang w:val="en-GB"/>
        </w:rPr>
        <w:t>Helicobacter</w:t>
      </w:r>
      <w:r w:rsidRPr="009F5F31">
        <w:rPr>
          <w:lang w:val="en-GB"/>
        </w:rPr>
        <w:t>.</w:t>
      </w:r>
      <w:r>
        <w:rPr>
          <w:lang w:val="en-GB"/>
        </w:rPr>
        <w:t xml:space="preserve"> This seems to be validated by previous studies linking this cancer to </w:t>
      </w:r>
      <w:r w:rsidRPr="009F5F31">
        <w:rPr>
          <w:i/>
          <w:iCs/>
          <w:lang w:val="en-GB"/>
        </w:rPr>
        <w:t>Helicobacter</w:t>
      </w:r>
      <w:r>
        <w:rPr>
          <w:i/>
          <w:iCs/>
          <w:lang w:val="en-GB"/>
        </w:rPr>
        <w:t xml:space="preserve"> pylori </w:t>
      </w:r>
      <w:r>
        <w:rPr>
          <w:i/>
          <w:iCs/>
          <w:lang w:val="en-GB"/>
        </w:rPr>
        <w:fldChar w:fldCharType="begin"/>
      </w:r>
      <w:r w:rsidR="00DD56C8">
        <w:rPr>
          <w:i/>
          <w:iCs/>
          <w:lang w:val="en-GB"/>
        </w:rPr>
        <w:instrText xml:space="preserve"> ADDIN ZOTERO_ITEM CSL_CITATION {"citationID":"Vpmut8lh","properties":{"formattedCitation":"\\super 31\\uc0\\u8211{}33\\nosupersub{}","plainCitation":"31–33","noteIndex":0},"citationItems":[{"id":214,"uris":["http://zotero.org/users/local/0zqklVfX/items/9QH6TMS4"],"itemData":{"id":214,"type":"article-journal","abstract":"Gastric adenocarcinoma is the second leading cause of cancer-related deaths in the world, and has been associated with the presence of Helicobacter pylori in the stomach. Gastric cancer involves a transition from normal mucosa to gastritis, which then leads eventually to adenocarcinoma. The ability of H. pylori to induce superficial gastritis indicates that it is involved in the initiation and promotion of gastric neoplasia. Many clinical and animal studies support this idea. H. pylori populations are extremely diverse, due to point mutations, substitutions, insertions and/or deletions in their genomes. Cancer risk is believed to be related to H. pylori strain differences. There are also a number of human polymorphisms associated with gastric cancer. Most of these occur within immune-response genes. H. pylori have a number of direct effects on host epithelial tissues that could affect tumorigenesis, including induction of proliferation, the inflammatory response and apoptosis. So, host and pathogen are likely to be linked in a dynamic equilibrium, in which the host responses to bacterial colonization affect the growth of certain bacterial strains, and strain phenotype affects the nature of the host response. Remarkably, the presence of H. pylori reduces the risk of developing other types of cancer, such as oesophageal adenocarcinoma. The same biological effects of H. pylori that predispose people to gastric cancer are likely to protect them from oesophageal cancer.","container-title":"Nature Reviews Cancer","DOI":"10.1038/nrc703","ISSN":"1474-1768","issue":"1","journalAbbreviation":"Nat Rev Cancer","language":"en","license":"2002 Nature Publishing Group","note":"number: 1\npublisher: Nature Publishing Group","page":"28-37","source":"www.nature.com","title":"Helicobacter pylori and gastrointestinal tract adenocarcinomas","volume":"2","author":[{"family":"Peek","given":"Richard M."},{"family":"Blaser","given":"Martin J."}],"issued":{"date-parts":[["2002",1]]}}},{"id":216,"uris":["http://zotero.org/users/local/0zqklVfX/items/SGEUDJUD"],"itemData":{"id":216,"type":"article-journal","abstract":"To determine whether infection with a Helicobacter pylori strain possessing cagA is associated with an increased risk of development of adenocarcinoma of the stomach, we used a nested case-control study based on a cohort of 5443 Japanese-American men in Oahu, Hawaii, who had a physical examination and a phlebotomy during 1967 to 1970. We matched 103 H. pylori-infected men who developed gastric cancer during a 21-year surveillence period with 103 H. pylori-infected men who did not develop gastric cancer and tested stored serum specimens from patients and controls for the presence of serum IgG to the cagA product of H. pylori using an ELISA. The serum IgG assay using a recombinant CagA fragment had a sensitivity of 94.4% and a specificity of 92.5% when used in a clinically defined population; serological results were stable for more than 7 years. For men with antibodies to CagA, the odds ratio of developing gastric cancer was 1.9 (95% confidence interval, 0.9–4.0); for intestinal type cancer of the distal stomach, the odds ratio was 2.3 (95% confidence interval, 1.0–5.2). Age &amp;lt;72 years and advanced tumor stage at diagnosis were significantly associated with CagA seropositivity. We conclude that infection with a cagA-positive H. pylori strain in comparison with a cagA-negative strain somewhat increases the risk for development of gastric cancer, especially intestinal type affecting the distal stomach.","container-title":"Cancer Research","ISSN":"0008-5472","issue":"10","journalAbbreviation":"Cancer Research","page":"2111-2115","source":"Silverchair","title":"Infection with Helicobacter pylori Strains Possessing cagA Is Associated with an Increased Risk of Developing Adenocarcinoma of the Stomach1","volume":"55","author":[{"family":"Blaser","given":"Martin J."},{"family":"Perez-Perez","given":"Guillermo I."},{"family":"Kleanthous","given":"Harry"},{"family":"Cover","given":"Timothy L."},{"family":"Peek","given":"Richard M."},{"family":"Chyou","given":"P. H."},{"family":"Stemmermann","given":"Grant N."},{"family":"Nomura","given":"Abraham"}],"issued":{"date-parts":[["1995",5,1]]}}},{"id":236,"uris":["http://zotero.org/users/local/0zqklVfX/items/MBIPYTG5"],"itemData":{"id":236,"type":"article-journal","abstract":"GASTRIC carcinoma is estimated to be the world's second most common cancer.1 Although the dramatic decline in the incidence of gastric carcinoma in the United States and Western Europe over the past 50 years has led some to proclaim an \"unplanned triumph,\"2 in much of Latin America and Asia the incidence remains very high.3 , 4 Because the incidence of gastric carcinoma can change dramatically from place to place and from one generation to the next, it has been hypothesized that its incidence is determined largely by environmental rather than genetic factors.5 From studies of migrants, it has further been inferred that . . .","container-title":"New England Journal of Medicine","DOI":"10.1056/NEJM199110173251603","ISSN":"0028-4793","issue":"16","note":"publisher: Massachusetts Medical Society\n_eprint: https://doi.org/10.1056/NEJM199110173251603\nPMID: 1891020","page":"1127-1131","source":"Taylor and Francis+NEJM","title":"Helicobacter pylori Infection and the Risk of Gastric Carcinoma","volume":"325","author":[{"family":"Parsonnet","given":"Julie"},{"family":"Friedman","given":"Gary D."},{"family":"Vandersteen","given":"Daniel P."},{"family":"Chang","given":"Yuan"},{"family":"Vogelman","given":"Joseph H."},{"family":"Orentreich","given":"Norman"},{"family":"Sibley","given":"Richard K."}],"issued":{"date-parts":[["1991",10,17]]}}}],"schema":"https://github.com/citation-style-language/schema/raw/master/csl-citation.json"} </w:instrText>
      </w:r>
      <w:r>
        <w:rPr>
          <w:i/>
          <w:iCs/>
          <w:lang w:val="en-GB"/>
        </w:rPr>
        <w:fldChar w:fldCharType="separate"/>
      </w:r>
      <w:r w:rsidR="00DD56C8" w:rsidRPr="00DD56C8">
        <w:rPr>
          <w:rFonts w:ascii="Calibri" w:hAnsi="Calibri" w:cs="Calibri"/>
          <w:szCs w:val="24"/>
          <w:vertAlign w:val="superscript"/>
        </w:rPr>
        <w:t>31–33</w:t>
      </w:r>
      <w:r>
        <w:rPr>
          <w:i/>
          <w:iCs/>
          <w:lang w:val="en-GB"/>
        </w:rPr>
        <w:fldChar w:fldCharType="end"/>
      </w:r>
      <w:r>
        <w:rPr>
          <w:lang w:val="en-GB"/>
        </w:rPr>
        <w:t xml:space="preserve">. This bacteria can induce gastritis, which can then lead to stomach adenocarcinoma. Interestingly, this bacteria has a possible protective effect against </w:t>
      </w:r>
      <w:proofErr w:type="spellStart"/>
      <w:r>
        <w:rPr>
          <w:lang w:val="en-GB"/>
        </w:rPr>
        <w:t>esophageal</w:t>
      </w:r>
      <w:proofErr w:type="spellEnd"/>
      <w:r>
        <w:rPr>
          <w:lang w:val="en-GB"/>
        </w:rPr>
        <w:t xml:space="preserve"> adenocarcinoma </w:t>
      </w:r>
      <w:r>
        <w:rPr>
          <w:lang w:val="en-GB"/>
        </w:rPr>
        <w:fldChar w:fldCharType="begin"/>
      </w:r>
      <w:r w:rsidR="00DD56C8">
        <w:rPr>
          <w:lang w:val="en-GB"/>
        </w:rPr>
        <w:instrText xml:space="preserve"> ADDIN ZOTERO_ITEM CSL_CITATION {"citationID":"UK9aTnag","properties":{"formattedCitation":"\\super 31\\nosupersub{}","plainCitation":"31","noteIndex":0},"citationItems":[{"id":214,"uris":["http://zotero.org/users/local/0zqklVfX/items/9QH6TMS4"],"itemData":{"id":214,"type":"article-journal","abstract":"Gastric adenocarcinoma is the second leading cause of cancer-related deaths in the world, and has been associated with the presence of Helicobacter pylori in the stomach. Gastric cancer involves a transition from normal mucosa to gastritis, which then leads eventually to adenocarcinoma. The ability of H. pylori to induce superficial gastritis indicates that it is involved in the initiation and promotion of gastric neoplasia. Many clinical and animal studies support this idea. H. pylori populations are extremely diverse, due to point mutations, substitutions, insertions and/or deletions in their genomes. Cancer risk is believed to be related to H. pylori strain differences. There are also a number of human polymorphisms associated with gastric cancer. Most of these occur within immune-response genes. H. pylori have a number of direct effects on host epithelial tissues that could affect tumorigenesis, including induction of proliferation, the inflammatory response and apoptosis. So, host and pathogen are likely to be linked in a dynamic equilibrium, in which the host responses to bacterial colonization affect the growth of certain bacterial strains, and strain phenotype affects the nature of the host response. Remarkably, the presence of H. pylori reduces the risk of developing other types of cancer, such as oesophageal adenocarcinoma. The same biological effects of H. pylori that predispose people to gastric cancer are likely to protect them from oesophageal cancer.","container-title":"Nature Reviews Cancer","DOI":"10.1038/nrc703","ISSN":"1474-1768","issue":"1","journalAbbreviation":"Nat Rev Cancer","language":"en","license":"2002 Nature Publishing Group","note":"number: 1\npublisher: Nature Publishing Group","page":"28-37","source":"www.nature.com","title":"Helicobacter pylori and gastrointestinal tract adenocarcinomas","volume":"2","author":[{"family":"Peek","given":"Richard M."},{"family":"Blaser","given":"Martin J."}],"issued":{"date-parts":[["2002",1]]}}}],"schema":"https://github.com/citation-style-language/schema/raw/master/csl-citation.json"} </w:instrText>
      </w:r>
      <w:r>
        <w:rPr>
          <w:lang w:val="en-GB"/>
        </w:rPr>
        <w:fldChar w:fldCharType="separate"/>
      </w:r>
      <w:r w:rsidR="00DD56C8" w:rsidRPr="00DD56C8">
        <w:rPr>
          <w:rFonts w:ascii="Calibri" w:hAnsi="Calibri" w:cs="Calibri"/>
          <w:szCs w:val="24"/>
          <w:vertAlign w:val="superscript"/>
        </w:rPr>
        <w:t>31</w:t>
      </w:r>
      <w:r>
        <w:rPr>
          <w:lang w:val="en-GB"/>
        </w:rPr>
        <w:fldChar w:fldCharType="end"/>
      </w:r>
      <w:r>
        <w:rPr>
          <w:lang w:val="en-GB"/>
        </w:rPr>
        <w:t>.</w:t>
      </w:r>
    </w:p>
    <w:p w14:paraId="65038A30" w14:textId="7B95F7AD" w:rsidR="00FA06DE" w:rsidRDefault="00FA06DE" w:rsidP="00FA06DE">
      <w:pPr>
        <w:rPr>
          <w:lang w:val="en-GB"/>
        </w:rPr>
      </w:pPr>
      <w:r>
        <w:rPr>
          <w:lang w:val="en-GB"/>
        </w:rPr>
        <w:t xml:space="preserve">For colorectal adenocarcinoma, a frequently selected genus was </w:t>
      </w:r>
      <w:r w:rsidRPr="00E83105">
        <w:rPr>
          <w:i/>
          <w:iCs/>
          <w:lang w:val="en-GB"/>
        </w:rPr>
        <w:t>Bacteroides</w:t>
      </w:r>
      <w:r>
        <w:rPr>
          <w:lang w:val="en-GB"/>
        </w:rPr>
        <w:t xml:space="preserve">. A previous study has found that </w:t>
      </w:r>
      <w:r w:rsidRPr="00E83105">
        <w:rPr>
          <w:i/>
          <w:iCs/>
          <w:lang w:val="en-GB"/>
        </w:rPr>
        <w:t>Bacteroides fragilis</w:t>
      </w:r>
      <w:r>
        <w:rPr>
          <w:lang w:val="en-GB"/>
        </w:rPr>
        <w:t xml:space="preserve"> was disproportionately present in </w:t>
      </w:r>
      <w:proofErr w:type="spellStart"/>
      <w:r>
        <w:rPr>
          <w:lang w:val="en-GB"/>
        </w:rPr>
        <w:t>tumor</w:t>
      </w:r>
      <w:proofErr w:type="spellEnd"/>
      <w:r>
        <w:rPr>
          <w:lang w:val="en-GB"/>
        </w:rPr>
        <w:t xml:space="preserve"> and adjacent non-</w:t>
      </w:r>
      <w:proofErr w:type="spellStart"/>
      <w:r>
        <w:rPr>
          <w:lang w:val="en-GB"/>
        </w:rPr>
        <w:t>tumor</w:t>
      </w:r>
      <w:proofErr w:type="spellEnd"/>
      <w:r>
        <w:rPr>
          <w:lang w:val="en-GB"/>
        </w:rPr>
        <w:t xml:space="preserve"> tissues of colorectal cancer patients compared to other investigated bacteria and significantly higher in </w:t>
      </w:r>
      <w:proofErr w:type="spellStart"/>
      <w:r>
        <w:rPr>
          <w:lang w:val="en-GB"/>
        </w:rPr>
        <w:t>tumor</w:t>
      </w:r>
      <w:proofErr w:type="spellEnd"/>
      <w:r>
        <w:rPr>
          <w:lang w:val="en-GB"/>
        </w:rPr>
        <w:t xml:space="preserve"> tissues than normal samples </w:t>
      </w:r>
      <w:r>
        <w:rPr>
          <w:lang w:val="en-GB"/>
        </w:rPr>
        <w:fldChar w:fldCharType="begin"/>
      </w:r>
      <w:r w:rsidR="00DD56C8">
        <w:rPr>
          <w:lang w:val="en-GB"/>
        </w:rPr>
        <w:instrText xml:space="preserve"> ADDIN ZOTERO_ITEM CSL_CITATION {"citationID":"vE8WoNmN","properties":{"formattedCitation":"\\super 34\\nosupersub{}","plainCitation":"34","noteIndex":0},"citationItems":[{"id":221,"uris":["http://zotero.org/users/local/0zqklVfX/items/IN39EIIG"],"itemData":{"id":221,"type":"article-journal","abstract":"Recent studies have proposed that commensal bacteria might be involved in the development and progression of gastrointestinal disorders such as colorectal cancer (CRC). Therefore, in this study, the relative abundance of Fusobacterium nucleatum, Bacteroides fragilis, Streptococcus bovis/gallolyticus, and Enteropathogenic Escherichia coli (EPEC) in CRC tissues, and their association with clinicopathologic characteristics of CRC was investigated in Iranian patients. Moreover, the role of these bacteria in the CRC-associated mutations including PIK3CA, KRAS, and BRAF was studied.","container-title":"Infectious Agents and Cancer","DOI":"10.1186/s13027-021-00381-4","ISSN":"1750-9378","issue":"1","journalAbbreviation":"Infectious Agents and Cancer","page":"41","source":"BioMed Central","title":"Association between colorectal cancer and Fusobacterium nucleatum and Bacteroides fragilis bacteria in Iranian patients: a preliminary study","title-short":"Association between colorectal cancer and Fusobacterium nucleatum and Bacteroides fragilis bacteria in Iranian patients","volume":"16","author":[{"family":"Shariati","given":"Aref"},{"family":"Razavi","given":"Shabnam"},{"family":"Ghaznavi-Rad","given":"Ehsanollah"},{"family":"Jahanbin","given":"Behnaz"},{"family":"Akbari","given":"Abolfazl"},{"family":"Norzaee","given":"Samira"},{"family":"Darban-Sarokhalil","given":"Davood"}],"issued":{"date-parts":[["2021",6,9]]}}}],"schema":"https://github.com/citation-style-language/schema/raw/master/csl-citation.json"} </w:instrText>
      </w:r>
      <w:r>
        <w:rPr>
          <w:lang w:val="en-GB"/>
        </w:rPr>
        <w:fldChar w:fldCharType="separate"/>
      </w:r>
      <w:r w:rsidR="00DD56C8" w:rsidRPr="00DD56C8">
        <w:rPr>
          <w:rFonts w:ascii="Calibri" w:hAnsi="Calibri" w:cs="Calibri"/>
          <w:szCs w:val="24"/>
          <w:vertAlign w:val="superscript"/>
        </w:rPr>
        <w:t>34</w:t>
      </w:r>
      <w:r>
        <w:rPr>
          <w:lang w:val="en-GB"/>
        </w:rPr>
        <w:fldChar w:fldCharType="end"/>
      </w:r>
      <w:r>
        <w:rPr>
          <w:lang w:val="en-GB"/>
        </w:rPr>
        <w:t>.</w:t>
      </w:r>
    </w:p>
    <w:p w14:paraId="53D95344" w14:textId="08A2170F" w:rsidR="00FA06DE" w:rsidRDefault="00FA06DE" w:rsidP="00FA06DE">
      <w:pPr>
        <w:rPr>
          <w:iCs/>
          <w:lang w:val="en-GB"/>
        </w:rPr>
      </w:pPr>
      <w:r>
        <w:rPr>
          <w:lang w:val="en-GB"/>
        </w:rPr>
        <w:t xml:space="preserve">For </w:t>
      </w:r>
      <w:proofErr w:type="spellStart"/>
      <w:r>
        <w:rPr>
          <w:lang w:val="en-GB"/>
        </w:rPr>
        <w:t>esophageal</w:t>
      </w:r>
      <w:proofErr w:type="spellEnd"/>
      <w:r>
        <w:rPr>
          <w:lang w:val="en-GB"/>
        </w:rPr>
        <w:t xml:space="preserve"> cancer and head and neck squamous carcinoma, the most frequently selected genus was </w:t>
      </w:r>
      <w:r w:rsidRPr="00C170C1">
        <w:rPr>
          <w:i/>
          <w:iCs/>
          <w:lang w:val="en-GB"/>
        </w:rPr>
        <w:t>fusobacterium</w:t>
      </w:r>
      <w:r>
        <w:rPr>
          <w:lang w:val="en-GB"/>
        </w:rPr>
        <w:t xml:space="preserve">. Previous research has found that </w:t>
      </w:r>
      <w:r w:rsidRPr="00C170C1">
        <w:rPr>
          <w:i/>
          <w:iCs/>
          <w:lang w:val="en-GB"/>
        </w:rPr>
        <w:t xml:space="preserve">Fusobacterium </w:t>
      </w:r>
      <w:proofErr w:type="spellStart"/>
      <w:r w:rsidRPr="00C170C1">
        <w:rPr>
          <w:i/>
          <w:iCs/>
          <w:lang w:val="en-GB"/>
        </w:rPr>
        <w:t>Nucleatum</w:t>
      </w:r>
      <w:proofErr w:type="spellEnd"/>
      <w:r>
        <w:rPr>
          <w:i/>
          <w:iCs/>
          <w:lang w:val="en-GB"/>
        </w:rPr>
        <w:t xml:space="preserve"> </w:t>
      </w:r>
      <w:r>
        <w:rPr>
          <w:iCs/>
          <w:lang w:val="en-GB"/>
        </w:rPr>
        <w:t xml:space="preserve">is significantly associated with </w:t>
      </w:r>
      <w:proofErr w:type="spellStart"/>
      <w:r>
        <w:rPr>
          <w:iCs/>
          <w:lang w:val="en-GB"/>
        </w:rPr>
        <w:t>tumor</w:t>
      </w:r>
      <w:proofErr w:type="spellEnd"/>
      <w:r>
        <w:rPr>
          <w:iCs/>
          <w:lang w:val="en-GB"/>
        </w:rPr>
        <w:t xml:space="preserve"> samples and with </w:t>
      </w:r>
      <w:proofErr w:type="spellStart"/>
      <w:r>
        <w:rPr>
          <w:iCs/>
          <w:lang w:val="en-GB"/>
        </w:rPr>
        <w:t>tumor</w:t>
      </w:r>
      <w:proofErr w:type="spellEnd"/>
      <w:r>
        <w:rPr>
          <w:iCs/>
          <w:lang w:val="en-GB"/>
        </w:rPr>
        <w:t xml:space="preserve"> stage in </w:t>
      </w:r>
      <w:proofErr w:type="spellStart"/>
      <w:r>
        <w:rPr>
          <w:iCs/>
          <w:lang w:val="en-GB"/>
        </w:rPr>
        <w:t>esophageal</w:t>
      </w:r>
      <w:proofErr w:type="spellEnd"/>
      <w:r>
        <w:rPr>
          <w:iCs/>
          <w:lang w:val="en-GB"/>
        </w:rPr>
        <w:t xml:space="preserve"> cancer, while controlling for clinical confounders </w:t>
      </w:r>
      <w:r>
        <w:rPr>
          <w:iCs/>
          <w:lang w:val="en-GB"/>
        </w:rPr>
        <w:fldChar w:fldCharType="begin"/>
      </w:r>
      <w:r w:rsidR="00DD56C8">
        <w:rPr>
          <w:iCs/>
          <w:lang w:val="en-GB"/>
        </w:rPr>
        <w:instrText xml:space="preserve"> ADDIN ZOTERO_ITEM CSL_CITATION {"citationID":"fngFedKv","properties":{"formattedCitation":"\\super 35\\nosupersub{}","plainCitation":"35","noteIndex":0},"citationItems":[{"id":229,"uris":["http://zotero.org/users/local/0zqklVfX/items/Y3ENSH5I"],"itemData":{"id":229,"type":"article-journal","abstract":"Purpose: Fusobacterium nucleatum (F. nucleatum) is a component of the human microbiome that primarily inhabits the oral cavity. It causes periodontal disease and has also been implicated in the development of human cancers. Although there are several reports of the relationship between F. nucleatum and the clinical outcome in human cancers, its prognostic signiﬁcance in esophageal cancer remains unclear.","container-title":"Clinical Cancer Research","DOI":"10.1158/1078-0432.CCR-16-1786","ISSN":"1078-0432, 1557-3265","issue":"22","language":"en","page":"5574-5581","source":"DOI.org (Crossref)","title":"Human Microbiome &lt;i&gt;Fusobacterium Nucleatum&lt;/i&gt; in Esophageal Cancer Tissue Is Associated with Prognosis","volume":"22","author":[{"family":"Yamamura","given":"Kensuke"},{"family":"Baba","given":"Yoshifumi"},{"family":"Nakagawa","given":"Shigeki"},{"family":"Mima","given":"Kosuke"},{"family":"Miyake","given":"Keisuke"},{"family":"Nakamura","given":"Kenichi"},{"family":"Sawayama","given":"Hiroshi"},{"family":"Kinoshita","given":"Koichi"},{"family":"Ishimoto","given":"Takatsugu"},{"family":"Iwatsuki","given":"Masaaki"},{"family":"Sakamoto","given":"Yasuo"},{"family":"Yamashita","given":"Yoichi"},{"family":"Yoshida","given":"Naoya"},{"family":"Watanabe","given":"Masayuki"},{"family":"Baba","given":"Hideo"}],"issued":{"date-parts":[["2016",11,15]]}}}],"schema":"https://github.com/citation-style-language/schema/raw/master/csl-citation.json"} </w:instrText>
      </w:r>
      <w:r>
        <w:rPr>
          <w:iCs/>
          <w:lang w:val="en-GB"/>
        </w:rPr>
        <w:fldChar w:fldCharType="separate"/>
      </w:r>
      <w:r w:rsidR="00DD56C8" w:rsidRPr="00DD56C8">
        <w:rPr>
          <w:rFonts w:ascii="Calibri" w:hAnsi="Calibri" w:cs="Calibri"/>
          <w:szCs w:val="24"/>
          <w:vertAlign w:val="superscript"/>
        </w:rPr>
        <w:t>35</w:t>
      </w:r>
      <w:r>
        <w:rPr>
          <w:iCs/>
          <w:lang w:val="en-GB"/>
        </w:rPr>
        <w:fldChar w:fldCharType="end"/>
      </w:r>
      <w:r>
        <w:rPr>
          <w:iCs/>
          <w:lang w:val="en-GB"/>
        </w:rPr>
        <w:t xml:space="preserve">. Similar results have held for head and neck squamous carcinoma, with </w:t>
      </w:r>
      <w:r w:rsidRPr="00C80034">
        <w:rPr>
          <w:i/>
          <w:lang w:val="en-GB"/>
        </w:rPr>
        <w:t>Fusobacterial</w:t>
      </w:r>
      <w:r>
        <w:rPr>
          <w:iCs/>
          <w:lang w:val="en-GB"/>
        </w:rPr>
        <w:t xml:space="preserve"> populations showing an increased abundance in </w:t>
      </w:r>
      <w:proofErr w:type="spellStart"/>
      <w:r>
        <w:rPr>
          <w:iCs/>
          <w:lang w:val="en-GB"/>
        </w:rPr>
        <w:t>tumor</w:t>
      </w:r>
      <w:proofErr w:type="spellEnd"/>
      <w:r>
        <w:rPr>
          <w:iCs/>
          <w:lang w:val="en-GB"/>
        </w:rPr>
        <w:t xml:space="preserve"> versus normal samples </w:t>
      </w:r>
      <w:r>
        <w:rPr>
          <w:iCs/>
          <w:lang w:val="en-GB"/>
        </w:rPr>
        <w:fldChar w:fldCharType="begin"/>
      </w:r>
      <w:r w:rsidR="00DD56C8">
        <w:rPr>
          <w:iCs/>
          <w:lang w:val="en-GB"/>
        </w:rPr>
        <w:instrText xml:space="preserve"> ADDIN ZOTERO_ITEM CSL_CITATION {"citationID":"1ITAPjV2","properties":{"formattedCitation":"\\super 36\\nosupersub{}","plainCitation":"36","noteIndex":0},"citationItems":[{"id":230,"uris":["http://zotero.org/users/local/0zqklVfX/items/KCT4TH2S"],"itemData":{"id":230,"type":"article-journal","abstract":"Given the potential relationship between head and neck squamous cell carcinoma (HNSCC) and microbial dysbiosis, we profiled the microbiome within healthy normal and tumorous (primary and metastatic) human tissues from the oral cavity, larynx-pharynx, and lymph nodes using 16S rRNA sequencing. Alpha and beta diversity analyses revealed that normal tissues had the greatest richness in community diversity, while the metastatic populations were most closely related to one another. Compared to the normal, the microbiota associated with tumors supported altered abundances in the phyla Fusobacteria, Firmicutes, Actinobacteria and Proteobacteria. Most notably, the relative abundance of Fusobacterium increased whereas Streptococcus decreased in both primary and metastatic samples. Principal coordinate analysis indicated a separation and clustering of samples by tissue status. However, random forest analysis revealed that the microbial profiles alone were a poor predictor for primary and metastatic HNSCC samples. Here, we report that the microbial communities residing in the tumorous tissues are compositionally distinct compared to the normal adjacent tissues. However, likely due to the smaller sample size and sample-to-sample heterogeneity, our prediction models were not able to distinguish by sample types. This work provides a foundation for future studies aimed at understanding the role of the dysbiotic tissue microbiome in HNSCC.","container-title":"Scientific Reports","DOI":"10.1038/s41598-017-09786-x","ISSN":"2045-2322","issue":"1","journalAbbreviation":"Sci Rep","language":"en","license":"2017 The Author(s)","note":"number: 1\npublisher: Nature Publishing Group","page":"9934","source":"www.nature.com","title":"Microbial Communities Associated with Primary and Metastatic Head and Neck Squamous Cell Carcinoma – A High Fusobacterial and Low Streptococcal Signature","volume":"7","author":[{"family":"Shin","given":"Jae M."},{"family":"Luo","given":"Ting"},{"family":"Kamarajan","given":"Pachiyappan"},{"family":"Fenno","given":"J. Christopher"},{"family":"Rickard","given":"Alexander H."},{"family":"Kapila","given":"Yvonne L."}],"issued":{"date-parts":[["2017",8,30]]}}}],"schema":"https://github.com/citation-style-language/schema/raw/master/csl-citation.json"} </w:instrText>
      </w:r>
      <w:r>
        <w:rPr>
          <w:iCs/>
          <w:lang w:val="en-GB"/>
        </w:rPr>
        <w:fldChar w:fldCharType="separate"/>
      </w:r>
      <w:r w:rsidR="00DD56C8" w:rsidRPr="00DD56C8">
        <w:rPr>
          <w:rFonts w:ascii="Calibri" w:hAnsi="Calibri" w:cs="Calibri"/>
          <w:szCs w:val="24"/>
          <w:vertAlign w:val="superscript"/>
        </w:rPr>
        <w:t>36</w:t>
      </w:r>
      <w:r>
        <w:rPr>
          <w:iCs/>
          <w:lang w:val="en-GB"/>
        </w:rPr>
        <w:fldChar w:fldCharType="end"/>
      </w:r>
      <w:r>
        <w:rPr>
          <w:iCs/>
          <w:lang w:val="en-GB"/>
        </w:rPr>
        <w:t xml:space="preserve">. </w:t>
      </w:r>
    </w:p>
    <w:p w14:paraId="5E2C932F" w14:textId="77777777" w:rsidR="008D4084" w:rsidRDefault="008D4084" w:rsidP="008D4084">
      <w:pPr>
        <w:keepNext/>
      </w:pPr>
      <w:r>
        <w:rPr>
          <w:noProof/>
          <w:lang w:val="en-GB"/>
        </w:rPr>
        <w:drawing>
          <wp:inline distT="0" distB="0" distL="0" distR="0" wp14:anchorId="229EBEB9" wp14:editId="35B3C3BD">
            <wp:extent cx="5731510" cy="1146175"/>
            <wp:effectExtent l="0" t="0" r="0" b="0"/>
            <wp:docPr id="20" name="Picture 20"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pplication&#10;&#10;Description automatically generated with low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1146175"/>
                    </a:xfrm>
                    <a:prstGeom prst="rect">
                      <a:avLst/>
                    </a:prstGeom>
                  </pic:spPr>
                </pic:pic>
              </a:graphicData>
            </a:graphic>
          </wp:inline>
        </w:drawing>
      </w:r>
    </w:p>
    <w:p w14:paraId="0BC2D38B" w14:textId="12BD0E6D" w:rsidR="008D4084" w:rsidRPr="00C170C1" w:rsidRDefault="008D4084" w:rsidP="008D4084">
      <w:pPr>
        <w:pStyle w:val="Caption"/>
        <w:rPr>
          <w:lang w:val="en-GB"/>
        </w:rPr>
      </w:pPr>
      <w:bookmarkStart w:id="10" w:name="_Ref129019113"/>
      <w:r>
        <w:t xml:space="preserve">Figure </w:t>
      </w:r>
      <w:fldSimple w:instr=" SEQ Figure \* ARABIC ">
        <w:r w:rsidR="00BD1C61">
          <w:rPr>
            <w:noProof/>
          </w:rPr>
          <w:t>9</w:t>
        </w:r>
      </w:fldSimple>
      <w:bookmarkEnd w:id="10"/>
      <w:r>
        <w:t>: top g</w:t>
      </w:r>
      <w:r w:rsidRPr="00966BE8">
        <w:t>enus features selected</w:t>
      </w:r>
      <w:r>
        <w:t xml:space="preserve"> of the GE </w:t>
      </w:r>
      <w:r w:rsidRPr="004D301D">
        <w:t>∩</w:t>
      </w:r>
      <w:r>
        <w:t xml:space="preserve"> GENUS data set</w:t>
      </w:r>
      <w:r>
        <w:rPr>
          <w:noProof/>
        </w:rPr>
        <w:t xml:space="preserve"> with linear regression feature selection with a feature selection number of 10. The table rows denote the name of the top selected genus features, while the Frequency column denotes how many times the feature was selected across 200 random sampling iterations.</w:t>
      </w:r>
    </w:p>
    <w:p w14:paraId="12333B30" w14:textId="43417A5F" w:rsidR="00FA06DE" w:rsidRDefault="00447E7D" w:rsidP="00F0583A">
      <w:pPr>
        <w:pStyle w:val="Heading2"/>
      </w:pPr>
      <w:r w:rsidRPr="00447E7D">
        <w:lastRenderedPageBreak/>
        <w:t>No improve</w:t>
      </w:r>
      <w:r w:rsidR="009703A2">
        <w:t>me</w:t>
      </w:r>
      <w:r w:rsidR="00756993">
        <w:t>nt from c</w:t>
      </w:r>
      <w:r w:rsidRPr="00447E7D">
        <w:t>omplex integration</w:t>
      </w:r>
    </w:p>
    <w:p w14:paraId="4E364671" w14:textId="68A308AE" w:rsidR="006442A3" w:rsidRDefault="006442A3" w:rsidP="006442A3">
      <w:r>
        <w:t>In order to determine whether the lack of performance when integrating the two modalities was due to the simple, concatenation-based integration method, we attempted to integrate the two modalities using a more advanced and proven integration method. Namely, an autoencoder and nonnegative matrix factorization.</w:t>
      </w:r>
    </w:p>
    <w:p w14:paraId="5FE20E48" w14:textId="7EF1ECE1" w:rsidR="006442A3" w:rsidRPr="006442A3" w:rsidRDefault="009703A2" w:rsidP="006442A3">
      <w:pPr>
        <w:pStyle w:val="Heading3"/>
      </w:pPr>
      <w:r>
        <w:t>No improvement with holo-</w:t>
      </w:r>
      <w:proofErr w:type="spellStart"/>
      <w:r>
        <w:t>omic</w:t>
      </w:r>
      <w:proofErr w:type="spellEnd"/>
      <w:r>
        <w:t xml:space="preserve"> approach with a</w:t>
      </w:r>
      <w:r w:rsidR="00447E7D" w:rsidRPr="00447E7D">
        <w:t xml:space="preserve">utoencoder </w:t>
      </w:r>
      <w:r>
        <w:t>integrated features</w:t>
      </w:r>
    </w:p>
    <w:p w14:paraId="5DAB486D" w14:textId="23383023" w:rsidR="009703A2" w:rsidRDefault="009703A2" w:rsidP="00447E7D">
      <w:r>
        <w:t>As</w:t>
      </w:r>
      <w:r>
        <w:t xml:space="preserve"> autoencoders have </w:t>
      </w:r>
      <w:r>
        <w:t>successfully been used to integrate multi-omics host features, partially due to its ability to capture nonlinear relationships between features, we used an autoencoder to integrate the GE and GENUS features and then trained a prediction model on the integrated data</w:t>
      </w:r>
      <w:r>
        <w:t>.</w:t>
      </w:r>
      <w:r>
        <w:t xml:space="preserve"> We based our model on a deep autoencoder architecture successfully used by</w:t>
      </w:r>
      <w:r>
        <w:t xml:space="preserve"> Chaudhary et al. </w:t>
      </w:r>
      <w:r>
        <w:t xml:space="preserve">to integrate </w:t>
      </w:r>
      <w:r>
        <w:t xml:space="preserve">host multi-omics data </w:t>
      </w:r>
      <w:r>
        <w:t>for liver cancer. U</w:t>
      </w:r>
      <w:r>
        <w:t>sing an autoen</w:t>
      </w:r>
      <w:r>
        <w:t>c</w:t>
      </w:r>
      <w:r>
        <w:t xml:space="preserve">oder for liver cancer survival rate prediction and subtype classification </w:t>
      </w:r>
      <w:r>
        <w:fldChar w:fldCharType="begin"/>
      </w:r>
      <w:r w:rsidR="00DD56C8">
        <w:instrText xml:space="preserve"> ADDIN ZOTERO_ITEM CSL_CITATION {"citationID":"aoadN0Fp","properties":{"formattedCitation":"\\super 25\\nosupersub{}","plainCitation":"25","noteIndex":0},"citationItems":[{"id":28,"uris":["http://zotero.org/users/local/0zqklVfX/items/5BNPVZX7"],"itemData":{"id":28,"type":"article-journal","container-title":"Clinical Cancer Research","DOI":"10.1158/1078-0432.CCR-17-0853","ISSN":"1078-0432, 1557-3265","issue":"6","journalAbbreviation":"Clin Cancer Res","language":"en","page":"1248-1259","source":"DOI.org (Crossref)","title":"Deep Learning–Based Multi-Omics Integration Robustly Predicts Survival in Liver Cancer","volume":"24","author":[{"family":"Chaudhary","given":"Kumardeep"},{"family":"Poirion","given":"Olivier B."},{"family":"Lu","given":"Liangqun"},{"family":"Garmire","given":"Lana X."}],"issued":{"date-parts":[["2018",3,15]]}}}],"schema":"https://github.com/citation-style-language/schema/raw/master/csl-citation.json"} </w:instrText>
      </w:r>
      <w:r>
        <w:fldChar w:fldCharType="separate"/>
      </w:r>
      <w:r w:rsidR="00DD56C8" w:rsidRPr="00DD56C8">
        <w:rPr>
          <w:rFonts w:ascii="Calibri" w:hAnsi="Calibri" w:cs="Calibri"/>
          <w:szCs w:val="24"/>
          <w:vertAlign w:val="superscript"/>
        </w:rPr>
        <w:t>25</w:t>
      </w:r>
      <w:r>
        <w:fldChar w:fldCharType="end"/>
      </w:r>
      <w:r>
        <w:t xml:space="preserve"> as well as other prediction tasks </w:t>
      </w:r>
      <w:r>
        <w:fldChar w:fldCharType="begin"/>
      </w:r>
      <w:r w:rsidR="00DD56C8">
        <w:instrText xml:space="preserve"> ADDIN ZOTERO_ITEM CSL_CITATION {"citationID":"m52EkaQl","properties":{"formattedCitation":"\\super 24\\nosupersub{}","plainCitation":"24","noteIndex":0},"citationItems":[{"id":2,"uris":["http://zotero.org/users/local/0zqklVfX/items/8AIFZLBI"],"itemData":{"id":2,"type":"article-journal","container-title":"Molecular Cancer Research","DOI":"10.1158/1541-7786.MCR-17-0378","ISSN":"1541-7786, 1557-3125","issue":"2","journalAbbreviation":"Mol Cancer Res","language":"en","page":"269-278","source":"DOI.org (Crossref)","title":"Precision Oncology beyond Targeted Therapy: Combining Omics Data with Machine Learning Matches the Majority of Cancer Cells to Effective Therapeutics","title-short":"Precision Oncology beyond Targeted Therapy","volume":"16","author":[{"family":"Ding","given":"Michael Q."},{"family":"Chen","given":"Lujia"},{"family":"Cooper","given":"Gregory F."},{"family":"Young","given":"Jonathan D."},{"family":"Lu","given":"Xinghua"}],"issued":{"date-parts":[["2018",2]]}}}],"schema":"https://github.com/citation-style-language/schema/raw/master/csl-citation.json"} </w:instrText>
      </w:r>
      <w:r>
        <w:fldChar w:fldCharType="separate"/>
      </w:r>
      <w:r w:rsidR="00DD56C8" w:rsidRPr="00DD56C8">
        <w:rPr>
          <w:rFonts w:ascii="Calibri" w:hAnsi="Calibri" w:cs="Calibri"/>
          <w:szCs w:val="24"/>
          <w:vertAlign w:val="superscript"/>
        </w:rPr>
        <w:t>24</w:t>
      </w:r>
      <w:r>
        <w:fldChar w:fldCharType="end"/>
      </w:r>
      <w:r>
        <w:t>.</w:t>
      </w:r>
    </w:p>
    <w:p w14:paraId="22CBA7D2" w14:textId="497E47B9" w:rsidR="00447E7D" w:rsidRDefault="009703A2" w:rsidP="00447E7D">
      <w:r>
        <w:t xml:space="preserve">Again, there is no additional improvement </w:t>
      </w:r>
      <w:r w:rsidR="007B09BD">
        <w:t xml:space="preserve">with the holo-omics approach when using AE integrated features over only using GE features (P = 0.5) </w:t>
      </w:r>
      <w:r w:rsidR="00D11545">
        <w:t>(</w:t>
      </w:r>
      <w:r w:rsidR="00D11545">
        <w:fldChar w:fldCharType="begin"/>
      </w:r>
      <w:r w:rsidR="00D11545">
        <w:instrText xml:space="preserve"> REF _Ref128409828 \h </w:instrText>
      </w:r>
      <w:r w:rsidR="00D11545">
        <w:fldChar w:fldCharType="separate"/>
      </w:r>
      <w:r w:rsidR="00BD1C61">
        <w:t xml:space="preserve">Figure </w:t>
      </w:r>
      <w:r w:rsidR="00BD1C61">
        <w:rPr>
          <w:noProof/>
        </w:rPr>
        <w:t>10</w:t>
      </w:r>
      <w:r w:rsidR="00D11545">
        <w:fldChar w:fldCharType="end"/>
      </w:r>
      <w:r w:rsidR="00D11545">
        <w:t>).</w:t>
      </w:r>
      <w:r w:rsidR="007B09BD">
        <w:t xml:space="preserve"> As can be seen, the model does converge to the same RMSE error with fewer amounts of features, which indicates that it is able to capture a latent representation of the integrated features. However, it does not appear to offer additional information over simply using the gene expression data alone.</w:t>
      </w:r>
    </w:p>
    <w:p w14:paraId="72365003" w14:textId="0447B58C" w:rsidR="00D216E4" w:rsidRDefault="00D216E4" w:rsidP="00447E7D"/>
    <w:p w14:paraId="62AF5B0F" w14:textId="77777777" w:rsidR="00277133" w:rsidRDefault="00277133" w:rsidP="00277133">
      <w:pPr>
        <w:keepNext/>
      </w:pPr>
      <w:r>
        <w:rPr>
          <w:noProof/>
        </w:rPr>
        <w:drawing>
          <wp:inline distT="0" distB="0" distL="0" distR="0" wp14:anchorId="2B0AA7A2" wp14:editId="72DF86EA">
            <wp:extent cx="2173444" cy="222820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8">
                      <a:extLst>
                        <a:ext uri="{28A0092B-C50C-407E-A947-70E740481C1C}">
                          <a14:useLocalDpi xmlns:a14="http://schemas.microsoft.com/office/drawing/2010/main" val="0"/>
                        </a:ext>
                      </a:extLst>
                    </a:blip>
                    <a:stretch>
                      <a:fillRect/>
                    </a:stretch>
                  </pic:blipFill>
                  <pic:spPr>
                    <a:xfrm>
                      <a:off x="0" y="0"/>
                      <a:ext cx="2173444" cy="2228208"/>
                    </a:xfrm>
                    <a:prstGeom prst="rect">
                      <a:avLst/>
                    </a:prstGeom>
                  </pic:spPr>
                </pic:pic>
              </a:graphicData>
            </a:graphic>
          </wp:inline>
        </w:drawing>
      </w:r>
    </w:p>
    <w:p w14:paraId="74A78AE3" w14:textId="2EF9988A" w:rsidR="00703129" w:rsidRDefault="00277133" w:rsidP="00703129">
      <w:pPr>
        <w:pStyle w:val="Caption"/>
      </w:pPr>
      <w:bookmarkStart w:id="11" w:name="_Ref128409828"/>
      <w:r>
        <w:t xml:space="preserve">Figure </w:t>
      </w:r>
      <w:fldSimple w:instr=" SEQ Figure \* ARABIC ">
        <w:r w:rsidR="00BD1C61">
          <w:rPr>
            <w:noProof/>
          </w:rPr>
          <w:t>10</w:t>
        </w:r>
      </w:fldSimple>
      <w:bookmarkEnd w:id="11"/>
      <w:r>
        <w:t>:</w:t>
      </w:r>
      <w:r w:rsidR="00703129" w:rsidRPr="00703129">
        <w:t xml:space="preserve"> </w:t>
      </w:r>
      <w:r w:rsidR="00703129">
        <w:t xml:space="preserve">root-mean-squared error (RMSE) for the stage prediction endpoint for STAD (stomach adenocarcinoma). Each line contains the RMSE for an elastic net model trained and tested on a different modality, namely on the genus abundance data (GENUS), the gene expression data (GE), the concatenated genus + gene expression data (GE </w:t>
      </w:r>
      <w:r w:rsidR="00703129" w:rsidRPr="004D301D">
        <w:t>∩</w:t>
      </w:r>
      <w:r w:rsidR="00703129">
        <w:t xml:space="preserve"> GENUS) </w:t>
      </w:r>
      <w:r w:rsidR="00703129" w:rsidRPr="00E07EFA">
        <w:t xml:space="preserve">and </w:t>
      </w:r>
      <w:r w:rsidR="00703129">
        <w:t xml:space="preserve">the </w:t>
      </w:r>
      <w:r w:rsidR="00703129" w:rsidRPr="00E07EFA">
        <w:t xml:space="preserve">genus + gene expression features </w:t>
      </w:r>
      <w:r w:rsidR="00703129">
        <w:t xml:space="preserve">integrated with an autoencoder </w:t>
      </w:r>
      <w:r w:rsidR="00703129" w:rsidRPr="00E07EFA">
        <w:t>(GE ∩ GENUS (</w:t>
      </w:r>
      <w:r w:rsidR="00703129">
        <w:t>ae</w:t>
      </w:r>
      <w:r w:rsidR="00703129" w:rsidRPr="00E07EFA">
        <w:t>))</w:t>
      </w:r>
      <w:r w:rsidR="00703129">
        <w:t>. The endpoints of each horizontal line segment indicate the average RMSE across every random sampling iteration, while the vertical line segments indicates the standard deviation of the RMSE across these iterations.</w:t>
      </w:r>
    </w:p>
    <w:p w14:paraId="68C73FBD" w14:textId="35510D7A" w:rsidR="00704A12" w:rsidRPr="00704A12" w:rsidRDefault="00704A12" w:rsidP="00704A12">
      <w:r w:rsidRPr="00704A12">
        <w:t xml:space="preserve">To investigate whether the lack of performance is due to the integration method or the combination of both modalities, we also build a model on each modality integrated with the autoencoder separately.  </w:t>
      </w:r>
    </w:p>
    <w:p w14:paraId="1C4DAF5D" w14:textId="4DDF4C7E" w:rsidR="00447E7D" w:rsidRDefault="001C0BC0" w:rsidP="00447E7D">
      <w:pPr>
        <w:pStyle w:val="Heading3"/>
      </w:pPr>
      <w:r>
        <w:t>No improvement with holo-</w:t>
      </w:r>
      <w:proofErr w:type="spellStart"/>
      <w:r>
        <w:t>omic</w:t>
      </w:r>
      <w:proofErr w:type="spellEnd"/>
      <w:r>
        <w:t xml:space="preserve"> approach with n</w:t>
      </w:r>
      <w:r w:rsidR="00447E7D">
        <w:t xml:space="preserve">onnegative matrix factorization </w:t>
      </w:r>
      <w:r>
        <w:t>integrated features</w:t>
      </w:r>
    </w:p>
    <w:p w14:paraId="4D08D14F" w14:textId="2DB2430C" w:rsidR="00AB203A" w:rsidRDefault="00447E7D" w:rsidP="00447E7D">
      <w:r>
        <w:t>To</w:t>
      </w:r>
      <w:r w:rsidR="00AB203A">
        <w:t xml:space="preserve"> further rule out whether the lack of improvement when integrating modalities is due to the feature extraction method, we also integrated the different modalities using nonnegative matrix factorization.</w:t>
      </w:r>
      <w:r w:rsidR="00AA50A5">
        <w:t xml:space="preserve"> It is a method which does not assume noncorrelation between components, which might be more in line with biological data than other commonly used methods such as PCA and ICA, </w:t>
      </w:r>
      <w:r w:rsidR="00AA50A5">
        <w:lastRenderedPageBreak/>
        <w:t xml:space="preserve">and provides easy to interpret results </w:t>
      </w:r>
      <w:r w:rsidR="00AA50A5">
        <w:fldChar w:fldCharType="begin"/>
      </w:r>
      <w:r w:rsidR="00DD56C8">
        <w:instrText xml:space="preserve"> ADDIN ZOTERO_ITEM CSL_CITATION {"citationID":"UV6NrViK","properties":{"formattedCitation":"\\super 37\\nosupersub{}","plainCitation":"37","noteIndex":0},"citationItems":[{"id":241,"uris":["http://zotero.org/users/local/0zqklVfX/items/7GMNFLSA"],"itemData":{"id":241,"type":"article-journal","abstract":"The increase in the expectations of artificial intelligence (AI) technology has led to machine learning technology being actively used in the medical field. Non-negative matrix factorization (NMF) is a machine learning technique used for image analysis, speech recognition, and language processing; recently, it is being applied to medical research. Precision medicine, wherein important information is extracted from large-scale medical data to provide optimal medical care for every individual, is considered important in medical policies globally, and the application of machine learning techniques to this end is being handled in several ways. NMF is also introduced differently because of the characteristics of its algorithms. In this review, the importance of NMF in the field of medicine, with a focus on the field of oncology, is described by explaining the mathematical science of NMF and the characteristics of the algorithm, providing examples of how NMF can be used to establish precision medicine, and presenting the challenges of NMF. Finally, the direction regarding the effective use of NMF in the field of oncology is also discussed.","container-title":"Briefings in Bioinformatics","DOI":"10.1093/bib/bbac246","ISSN":"1477-4054","issue":"4","journalAbbreviation":"Briefings in Bioinformatics","page":"bbac246","source":"Silverchair","title":"Application of non-negative matrix factorization in oncology: one approach for establishing precision medicine","title-short":"Application of non-negative matrix factorization in oncology","volume":"23","author":[{"family":"Hamamoto","given":"Ryuji"},{"family":"Takasawa","given":"Ken"},{"family":"Machino","given":"Hidenori"},{"family":"Kobayashi","given":"Kazuma"},{"family":"Takahashi","given":"Satoshi"},{"family":"Bolatkan","given":"Amina"},{"family":"Shinkai","given":"Norio"},{"family":"Sakai","given":"Akira"},{"family":"Aoyama","given":"Rina"},{"family":"Yamada","given":"Masayoshi"},{"family":"Asada","given":"Ken"},{"family":"Komatsu","given":"Masaaki"},{"family":"Okamoto","given":"Koji"},{"family":"Kameoka","given":"Hirokazu"},{"family":"Kaneko","given":"Syuzo"}],"issued":{"date-parts":[["2022",7,1]]}}}],"schema":"https://github.com/citation-style-language/schema/raw/master/csl-citation.json"} </w:instrText>
      </w:r>
      <w:r w:rsidR="00AA50A5">
        <w:fldChar w:fldCharType="separate"/>
      </w:r>
      <w:r w:rsidR="00DD56C8" w:rsidRPr="00DD56C8">
        <w:rPr>
          <w:rFonts w:ascii="Calibri" w:hAnsi="Calibri" w:cs="Calibri"/>
          <w:szCs w:val="24"/>
          <w:vertAlign w:val="superscript"/>
        </w:rPr>
        <w:t>37</w:t>
      </w:r>
      <w:r w:rsidR="00AA50A5">
        <w:fldChar w:fldCharType="end"/>
      </w:r>
      <w:r w:rsidR="00AA50A5">
        <w:t xml:space="preserve">. It is also found some success when being used on gene expression data to identify disease clusters </w:t>
      </w:r>
      <w:r w:rsidR="00AA50A5">
        <w:fldChar w:fldCharType="begin"/>
      </w:r>
      <w:r w:rsidR="00DD56C8">
        <w:instrText xml:space="preserve"> ADDIN ZOTERO_ITEM CSL_CITATION {"citationID":"rhgLahdA","properties":{"formattedCitation":"\\super 37\\nosupersub{}","plainCitation":"37","noteIndex":0},"citationItems":[{"id":241,"uris":["http://zotero.org/users/local/0zqklVfX/items/7GMNFLSA"],"itemData":{"id":241,"type":"article-journal","abstract":"The increase in the expectations of artificial intelligence (AI) technology has led to machine learning technology being actively used in the medical field. Non-negative matrix factorization (NMF) is a machine learning technique used for image analysis, speech recognition, and language processing; recently, it is being applied to medical research. Precision medicine, wherein important information is extracted from large-scale medical data to provide optimal medical care for every individual, is considered important in medical policies globally, and the application of machine learning techniques to this end is being handled in several ways. NMF is also introduced differently because of the characteristics of its algorithms. In this review, the importance of NMF in the field of medicine, with a focus on the field of oncology, is described by explaining the mathematical science of NMF and the characteristics of the algorithm, providing examples of how NMF can be used to establish precision medicine, and presenting the challenges of NMF. Finally, the direction regarding the effective use of NMF in the field of oncology is also discussed.","container-title":"Briefings in Bioinformatics","DOI":"10.1093/bib/bbac246","ISSN":"1477-4054","issue":"4","journalAbbreviation":"Briefings in Bioinformatics","page":"bbac246","source":"Silverchair","title":"Application of non-negative matrix factorization in oncology: one approach for establishing precision medicine","title-short":"Application of non-negative matrix factorization in oncology","volume":"23","author":[{"family":"Hamamoto","given":"Ryuji"},{"family":"Takasawa","given":"Ken"},{"family":"Machino","given":"Hidenori"},{"family":"Kobayashi","given":"Kazuma"},{"family":"Takahashi","given":"Satoshi"},{"family":"Bolatkan","given":"Amina"},{"family":"Shinkai","given":"Norio"},{"family":"Sakai","given":"Akira"},{"family":"Aoyama","given":"Rina"},{"family":"Yamada","given":"Masayoshi"},{"family":"Asada","given":"Ken"},{"family":"Komatsu","given":"Masaaki"},{"family":"Okamoto","given":"Koji"},{"family":"Kameoka","given":"Hirokazu"},{"family":"Kaneko","given":"Syuzo"}],"issued":{"date-parts":[["2022",7,1]]}}}],"schema":"https://github.com/citation-style-language/schema/raw/master/csl-citation.json"} </w:instrText>
      </w:r>
      <w:r w:rsidR="00AA50A5">
        <w:fldChar w:fldCharType="separate"/>
      </w:r>
      <w:r w:rsidR="00DD56C8" w:rsidRPr="00DD56C8">
        <w:rPr>
          <w:rFonts w:ascii="Calibri" w:hAnsi="Calibri" w:cs="Calibri"/>
          <w:szCs w:val="24"/>
          <w:vertAlign w:val="superscript"/>
        </w:rPr>
        <w:t>37</w:t>
      </w:r>
      <w:r w:rsidR="00AA50A5">
        <w:fldChar w:fldCharType="end"/>
      </w:r>
      <w:r w:rsidR="00AA50A5">
        <w:t>.</w:t>
      </w:r>
    </w:p>
    <w:p w14:paraId="6536ABFD" w14:textId="0C0CE1B3" w:rsidR="00447E7D" w:rsidRDefault="00A753D0" w:rsidP="00447E7D">
      <w:r>
        <w:t xml:space="preserve">This is a method which extracts meaningful features from a high dimensional space by decomposing the feature matrix </w:t>
      </w:r>
      <m:oMath>
        <m:r>
          <w:rPr>
            <w:rFonts w:ascii="Cambria Math" w:hAnsi="Cambria Math"/>
          </w:rPr>
          <m:t>X∈</m:t>
        </m:r>
        <m:sSup>
          <m:sSupPr>
            <m:ctrlPr>
              <w:rPr>
                <w:rFonts w:ascii="Cambria Math" w:hAnsi="Cambria Math"/>
                <w:i/>
              </w:rPr>
            </m:ctrlPr>
          </m:sSupPr>
          <m:e>
            <m:r>
              <w:rPr>
                <w:rFonts w:ascii="Cambria Math" w:hAnsi="Cambria Math"/>
              </w:rPr>
              <m:t>R</m:t>
            </m:r>
          </m:e>
          <m:sup>
            <m:r>
              <w:rPr>
                <w:rFonts w:ascii="Cambria Math" w:hAnsi="Cambria Math"/>
              </w:rPr>
              <m:t>nxp</m:t>
            </m:r>
          </m:sup>
        </m:sSup>
      </m:oMath>
      <w:r w:rsidR="00AB203A">
        <w:t xml:space="preserve"> </w:t>
      </w:r>
      <w:r>
        <w:t xml:space="preserve">into a </w:t>
      </w:r>
      <w:r w:rsidR="00A04A9A">
        <w:t xml:space="preserve">coefficients matrix </w:t>
      </w:r>
      <m:oMath>
        <m:r>
          <w:rPr>
            <w:rFonts w:ascii="Cambria Math" w:hAnsi="Cambria Math"/>
          </w:rPr>
          <m:t>W∈</m:t>
        </m:r>
        <m:sSup>
          <m:sSupPr>
            <m:ctrlPr>
              <w:rPr>
                <w:rFonts w:ascii="Cambria Math" w:hAnsi="Cambria Math"/>
                <w:i/>
              </w:rPr>
            </m:ctrlPr>
          </m:sSupPr>
          <m:e>
            <m:r>
              <w:rPr>
                <w:rFonts w:ascii="Cambria Math" w:hAnsi="Cambria Math"/>
              </w:rPr>
              <m:t>R</m:t>
            </m:r>
          </m:e>
          <m:sup>
            <m:r>
              <w:rPr>
                <w:rFonts w:ascii="Cambria Math" w:hAnsi="Cambria Math"/>
              </w:rPr>
              <m:t>nxr</m:t>
            </m:r>
          </m:sup>
        </m:sSup>
      </m:oMath>
      <w:r w:rsidR="00A04A9A">
        <w:t xml:space="preserve">  and a </w:t>
      </w:r>
      <w:r>
        <w:t xml:space="preserve">components matrix </w:t>
      </w:r>
      <m:oMath>
        <m:r>
          <w:rPr>
            <w:rFonts w:ascii="Cambria Math" w:hAnsi="Cambria Math"/>
          </w:rPr>
          <m:t>H∈</m:t>
        </m:r>
        <m:sSup>
          <m:sSupPr>
            <m:ctrlPr>
              <w:rPr>
                <w:rFonts w:ascii="Cambria Math" w:hAnsi="Cambria Math"/>
                <w:i/>
              </w:rPr>
            </m:ctrlPr>
          </m:sSupPr>
          <m:e>
            <m:r>
              <w:rPr>
                <w:rFonts w:ascii="Cambria Math" w:hAnsi="Cambria Math"/>
              </w:rPr>
              <m:t>R</m:t>
            </m:r>
          </m:e>
          <m:sup>
            <m:r>
              <w:rPr>
                <w:rFonts w:ascii="Cambria Math" w:hAnsi="Cambria Math"/>
              </w:rPr>
              <m:t>rxp</m:t>
            </m:r>
          </m:sup>
        </m:sSup>
      </m:oMath>
      <w:r w:rsidR="00A04A9A">
        <w:rPr>
          <w:rFonts w:eastAsiaTheme="minorEastAsia"/>
        </w:rPr>
        <w:t xml:space="preserve">, where </w:t>
      </w:r>
      <m:oMath>
        <m:r>
          <w:rPr>
            <w:rFonts w:ascii="Cambria Math" w:eastAsiaTheme="minorEastAsia" w:hAnsi="Cambria Math"/>
          </w:rPr>
          <m:t>r</m:t>
        </m:r>
      </m:oMath>
      <w:r w:rsidR="00A04A9A">
        <w:t xml:space="preserve"> </w:t>
      </w:r>
      <w:r w:rsidR="00D84B1D">
        <w:t>is the number of bases components. These bases components are then used to obtain a lower dimensional representation of the features data. While, unlike the prediction model using the AE integrated features, the model using the NMF features does not flatline, it still does not provide additional improvement over using the gene expression layer separately</w:t>
      </w:r>
      <w:r w:rsidR="00277133">
        <w:t xml:space="preserve"> (</w:t>
      </w:r>
      <w:r w:rsidR="00D11545">
        <w:fldChar w:fldCharType="begin"/>
      </w:r>
      <w:r w:rsidR="00D11545">
        <w:instrText xml:space="preserve"> REF _Ref128409800 \h </w:instrText>
      </w:r>
      <w:r w:rsidR="00D11545">
        <w:fldChar w:fldCharType="separate"/>
      </w:r>
      <w:r w:rsidR="00BD1C61">
        <w:t xml:space="preserve">Figure </w:t>
      </w:r>
      <w:r w:rsidR="00BD1C61">
        <w:rPr>
          <w:noProof/>
        </w:rPr>
        <w:t>11</w:t>
      </w:r>
      <w:r w:rsidR="00D11545">
        <w:fldChar w:fldCharType="end"/>
      </w:r>
      <w:r w:rsidR="00277133">
        <w:t>)</w:t>
      </w:r>
      <w:r w:rsidR="00D84B1D">
        <w:t>.</w:t>
      </w:r>
    </w:p>
    <w:p w14:paraId="7C46B251" w14:textId="17D3D3DE" w:rsidR="00D216E4" w:rsidRDefault="00D216E4" w:rsidP="00447E7D"/>
    <w:p w14:paraId="48991351" w14:textId="77777777" w:rsidR="00277133" w:rsidRDefault="00277133" w:rsidP="00277133">
      <w:pPr>
        <w:keepNext/>
      </w:pPr>
      <w:r>
        <w:rPr>
          <w:noProof/>
        </w:rPr>
        <w:drawing>
          <wp:inline distT="0" distB="0" distL="0" distR="0" wp14:anchorId="5DEBBBA8" wp14:editId="0B7B64B9">
            <wp:extent cx="2189707" cy="224488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9">
                      <a:extLst>
                        <a:ext uri="{28A0092B-C50C-407E-A947-70E740481C1C}">
                          <a14:useLocalDpi xmlns:a14="http://schemas.microsoft.com/office/drawing/2010/main" val="0"/>
                        </a:ext>
                      </a:extLst>
                    </a:blip>
                    <a:stretch>
                      <a:fillRect/>
                    </a:stretch>
                  </pic:blipFill>
                  <pic:spPr>
                    <a:xfrm>
                      <a:off x="0" y="0"/>
                      <a:ext cx="2189707" cy="2244881"/>
                    </a:xfrm>
                    <a:prstGeom prst="rect">
                      <a:avLst/>
                    </a:prstGeom>
                  </pic:spPr>
                </pic:pic>
              </a:graphicData>
            </a:graphic>
          </wp:inline>
        </w:drawing>
      </w:r>
    </w:p>
    <w:p w14:paraId="0DE9743C" w14:textId="1D76C2FC" w:rsidR="00277133" w:rsidRPr="00447E7D" w:rsidRDefault="00277133" w:rsidP="00277133">
      <w:pPr>
        <w:pStyle w:val="Caption"/>
      </w:pPr>
      <w:bookmarkStart w:id="12" w:name="_Ref128409800"/>
      <w:r>
        <w:t xml:space="preserve">Figure </w:t>
      </w:r>
      <w:fldSimple w:instr=" SEQ Figure \* ARABIC ">
        <w:r w:rsidR="00BD1C61">
          <w:rPr>
            <w:noProof/>
          </w:rPr>
          <w:t>11</w:t>
        </w:r>
      </w:fldSimple>
      <w:bookmarkEnd w:id="12"/>
      <w:r>
        <w:t xml:space="preserve">: </w:t>
      </w:r>
      <w:r w:rsidR="00D90D87">
        <w:t xml:space="preserve">RMSE of </w:t>
      </w:r>
      <w:r w:rsidR="00D90D87">
        <w:rPr>
          <w:noProof/>
        </w:rPr>
        <w:t xml:space="preserve">stage prediction for </w:t>
      </w:r>
      <w:r w:rsidR="00D90D87">
        <w:t>STAD</w:t>
      </w:r>
      <w:r w:rsidR="00D90D87">
        <w:rPr>
          <w:noProof/>
        </w:rPr>
        <w:t xml:space="preserve"> when using an elastic net prediction model with linear regression feature selection and the features extracted using nonnegative matrix factorization (red line).</w:t>
      </w:r>
      <w:r w:rsidR="00AB203A">
        <w:rPr>
          <w:noProof/>
        </w:rPr>
        <w:t xml:space="preserve"> As there are only 30 total features extracted, the prediction performance corresponding to the feature selection amount of 30 is the prediction performance when no features selection is performed.</w:t>
      </w:r>
    </w:p>
    <w:p w14:paraId="3EDF1537" w14:textId="007802B9" w:rsidR="006D4C36" w:rsidRDefault="003318E0" w:rsidP="00055F9D">
      <w:pPr>
        <w:pStyle w:val="Heading1"/>
      </w:pPr>
      <w:r>
        <w:t>Discussion</w:t>
      </w:r>
    </w:p>
    <w:p w14:paraId="26897EE6" w14:textId="5222442C" w:rsidR="00522598" w:rsidRDefault="00522598" w:rsidP="00055F9D">
      <w:pPr>
        <w:pStyle w:val="Heading2"/>
      </w:pPr>
      <w:r>
        <w:t>Genus data selection</w:t>
      </w:r>
    </w:p>
    <w:p w14:paraId="775130F6" w14:textId="023C8568" w:rsidR="000D591C" w:rsidRPr="00522598" w:rsidRDefault="000D591C" w:rsidP="000D591C">
      <w:r>
        <w:t xml:space="preserve">It seems that across prediction targets, prediction models, feature selection methods, integration methods and cancers, integrating the GE modality with the GENUS modality does not offer additional improvement over simply using GE data. This does not </w:t>
      </w:r>
      <w:r>
        <w:t xml:space="preserve">necessarily </w:t>
      </w:r>
      <w:r>
        <w:t xml:space="preserve">mean </w:t>
      </w:r>
      <w:r>
        <w:t>that the holo- omics approach never leads to an improvement in performance. Namely, gene expression data is known to recapitulate information of more upstream datatypes. Thus, using a less informative datatype might offer additional improvement when using the genus data.</w:t>
      </w:r>
    </w:p>
    <w:p w14:paraId="079E1CD6" w14:textId="7589E45B" w:rsidR="00522598" w:rsidRDefault="00BD1C61" w:rsidP="00F0583A">
      <w:r>
        <w:t>In the process of mining microbial data from TCGA, many details might get lost. C</w:t>
      </w:r>
      <w:r>
        <w:t xml:space="preserve">are often has to be taken to clear the data of contaminants when microbial data is mined from TCGA </w:t>
      </w:r>
      <w:r>
        <w:fldChar w:fldCharType="begin"/>
      </w:r>
      <w:r w:rsidR="00DD56C8">
        <w:instrText xml:space="preserve"> ADDIN ZOTERO_ITEM CSL_CITATION {"citationID":"7IFNRzsB","properties":{"formattedCitation":"\\super 3,19\\nosupersub{}","plainCitation":"3,19","noteIndex":0},"citationItems":[{"id":185,"uris":["http://zotero.org/users/local/0zqklVfX/items/6YDSX49Y"],"itemData":{"id":185,"type":"article-journal","abstract":"Studying the microbial composition of internal organs and their associations with disease remains challenging due to the difficulty of acquiring clinical biopsies. We designed a statistical model to analyze the prevalence of species across sample types from The Cancer Genome Atlas (TCGA), revealing that species equiprevalent across sample types are predominantly contaminants, bearing unique signatures from each TCGA-designated sequencing center. Removing such species mitigated batch effects and isolated the tissue-resident microbiome, which was validated by original matched TCGA samples. Gene copies and nucleotide variants can further distinguish mixed-evidence species. We, thus, present The Cancer Microbiome Atlas (TCMA), a collection of curated, decontaminated microbial compositions of oropharyngeal, esophageal, gastrointestinal, and colorectal tissues. This led to the discovery of prognostic species and blood signatures of mucosal barrier injuries and enabled systematic matched microbe-host multi-omic analyses, which will help guide future studies of the microbiome’s role in human health and disease.","container-title":"Cell Host &amp; Microbe","DOI":"10.1016/j.chom.2020.12.001","ISSN":"1931-3128","issue":"2","journalAbbreviation":"Cell Host &amp; Microbe","language":"en","page":"281-298.e5","source":"ScienceDirect","title":"The cancer microbiome atlas: a pan-cancer comparative analysis to distinguish tissue-resident microbiota from contaminants","title-short":"The cancer microbiome atlas","volume":"29","author":[{"family":"Dohlman","given":"Anders B."},{"family":"Arguijo Mendoza","given":"Diana"},{"family":"Ding","given":"Shengli"},{"family":"Gao","given":"Michael"},{"family":"Dressman","given":"Holly"},{"family":"Iliev","given":"Iliyan D."},{"family":"Lipkin","given":"Steven M."},{"family":"Shen","given":"Xiling"}],"issued":{"date-parts":[["2021",2,10]]}}},{"id":190,"uris":["http://zotero.org/users/local/0zqklVfX/items/7HAV3FLN"],"itemData":{"id":190,"type":"article-journal","abstract":"An intra-pancreatic microbiota was recently discovered in several prominent studies. Since pancreatic adenocarcinoma (PAAD) is one of the most lethal cancers worldwide, and the intratumor microbiome was found to be a significant contributor to carcinogenesis in other cancers, this study aims to characterize the PAAD microbiome and elucidate how it may be associated with PAAD prognosis. We further explored the association between the intra-pancreatic microbiome and smoking and gender, which are both risk factors for PAAD. RNA-sequencing data from The Cancer Genome Atlas (TCGA) were used to infer microbial abundance, which was correlated to clinical variables and to cancer and immune-associated gene expression, to determine how microbes may contribute to cancer progression. We discovered that the presence of several bacteria species within PAAD tumors is linked to metastasis and immune suppression. This is the first large-scale study to report microbiome-immune correlations in human pancreatic cancer samples. Furthermore, we found that the increased prevalence and poorer prognosis of PAAD in males and smokers are linked to the presence of potentially cancer-promoting or immune-inhibiting microbes. Further study into the roles of these microbes in PAAD is imperative for understanding how a pro-tumor microenvironment may be treated to limit cancer progression.","container-title":"Cancers","DOI":"10.3390/cancers12092672","ISSN":"2072-6694","issue":"9","language":"en","license":"http://creativecommons.org/licenses/by/3.0/","note":"number: 9\npublisher: Multidisciplinary Digital Publishing Institute","page":"2672","source":"www.mdpi.com","title":"The Pancreatic Microbiome is Associated with Carcinogenesis and Worse Prognosis in Males and Smokers","volume":"12","author":[{"family":"Chakladar","given":"Jaideep"},{"family":"Kuo","given":"Selena Z."},{"family":"Castaneda","given":"Grant"},{"family":"Li","given":"Wei Tse"},{"family":"Gnanasekar","given":"Aditi"},{"family":"Yu","given":"Michael Andrew"},{"family":"Chang","given":"Eric Y."},{"family":"Wang","given":"Xiao Qi"},{"family":"Ongkeko","given":"Weg M."}],"issued":{"date-parts":[["2020",9]]}}}],"schema":"https://github.com/citation-style-language/schema/raw/master/csl-citation.json"} </w:instrText>
      </w:r>
      <w:r>
        <w:fldChar w:fldCharType="separate"/>
      </w:r>
      <w:r w:rsidR="00DD56C8" w:rsidRPr="00DD56C8">
        <w:rPr>
          <w:rFonts w:ascii="Calibri" w:hAnsi="Calibri" w:cs="Calibri"/>
          <w:szCs w:val="24"/>
          <w:vertAlign w:val="superscript"/>
        </w:rPr>
        <w:t>3,19</w:t>
      </w:r>
      <w:r>
        <w:fldChar w:fldCharType="end"/>
      </w:r>
      <w:r>
        <w:t>, especially for low biomass samples</w:t>
      </w:r>
      <w:r w:rsidR="001403BD">
        <w:t xml:space="preserve"> such as the human tumor microbiome</w:t>
      </w:r>
      <w:r>
        <w:t xml:space="preserve">, which can be contaminated during sample collection, DNA extraction and laboratory environment </w:t>
      </w:r>
      <w:r>
        <w:fldChar w:fldCharType="begin"/>
      </w:r>
      <w:r w:rsidR="00DD56C8">
        <w:instrText xml:space="preserve"> ADDIN ZOTERO_ITEM CSL_CITATION {"citationID":"EjdVn0VN","properties":{"formattedCitation":"\\super 3,9\\nosupersub{}","plainCitation":"3,9","noteIndex":0},"citationItems":[{"id":185,"uris":["http://zotero.org/users/local/0zqklVfX/items/6YDSX49Y"],"itemData":{"id":185,"type":"article-journal","abstract":"Studying the microbial composition of internal organs and their associations with disease remains challenging due to the difficulty of acquiring clinical biopsies. We designed a statistical model to analyze the prevalence of species across sample types from The Cancer Genome Atlas (TCGA), revealing that species equiprevalent across sample types are predominantly contaminants, bearing unique signatures from each TCGA-designated sequencing center. Removing such species mitigated batch effects and isolated the tissue-resident microbiome, which was validated by original matched TCGA samples. Gene copies and nucleotide variants can further distinguish mixed-evidence species. We, thus, present The Cancer Microbiome Atlas (TCMA), a collection of curated, decontaminated microbial compositions of oropharyngeal, esophageal, gastrointestinal, and colorectal tissues. This led to the discovery of prognostic species and blood signatures of mucosal barrier injuries and enabled systematic matched microbe-host multi-omic analyses, which will help guide future studies of the microbiome’s role in human health and disease.","container-title":"Cell Host &amp; Microbe","DOI":"10.1016/j.chom.2020.12.001","ISSN":"1931-3128","issue":"2","journalAbbreviation":"Cell Host &amp; Microbe","language":"en","page":"281-298.e5","source":"ScienceDirect","title":"The cancer microbiome atlas: a pan-cancer comparative analysis to distinguish tissue-resident microbiota from contaminants","title-short":"The cancer microbiome atlas","volume":"29","author":[{"family":"Dohlman","given":"Anders B."},{"family":"Arguijo Mendoza","given":"Diana"},{"family":"Ding","given":"Shengli"},{"family":"Gao","given":"Michael"},{"family":"Dressman","given":"Holly"},{"family":"Iliev","given":"Iliyan D."},{"family":"Lipkin","given":"Steven M."},{"family":"Shen","given":"Xiling"}],"issued":{"date-parts":[["2021",2,10]]}}},{"id":258,"uris":["http://zotero.org/users/local/0zqklVfX/items/L8PDXLBH"],"itemData":{"id":258,"type":"article-journal","abstract":"Bacteria were first detected in human tumors more than 100 years ago, but the characterization of the tumor microbiome has remained challenging because of its low biomass. We undertook a comprehensive analysis of the tumor microbiome, studying 1526 tumors and their adjacent normal tissues across seven cancer types, including breast, lung, ovary, pancreas, melanoma, bone, and brain tumors. We found that each tumor type has a distinct microbiome composition and that breast cancer has a particularly rich and diverse microbiome. The intratumor bacteria are mostly intracellular and are present in both cancer and immune cells. We also noted correlations between intratumor bacteria or their predicted functions with tumor types and subtypes, patients’ smoking status, and the response to immunotherapy.","container-title":"Science","DOI":"10.1126/science.aay9189","issue":"6494","note":"publisher: American Association for the Advancement of Science","page":"973-980","source":"science.org (Atypon)","title":"The human tumor microbiome is composed of tumor type–specific intracellular bacteria","volume":"368","author":[{"family":"Nejman","given":"Deborah"},{"family":"Livyatan","given":"Ilana"},{"family":"Fuks","given":"Garold"},{"family":"Gavert","given":"Nancy"},{"family":"Zwang","given":"Yaara"},{"family":"Geller","given":"Leore T."},{"family":"Rotter-Maskowitz","given":"Aviva"},{"family":"Weiser","given":"Roi"},{"family":"Mallel","given":"Giuseppe"},{"family":"Gigi","given":"Elinor"},{"family":"Meltser","given":"Arnon"},{"family":"Douglas","given":"Gavin M."},{"family":"Kamer","given":"Iris"},{"family":"Gopalakrishnan","given":"Vancheswaran"},{"family":"Dadosh","given":"Tali"},{"family":"Levin-Zaidman","given":"Smadar"},{"family":"Avnet","given":"Sofia"},{"family":"Atlan","given":"Tehila"},{"family":"Cooper","given":"Zachary A."},{"family":"Arora","given":"Reetakshi"},{"family":"Cogdill","given":"Alexandria P."},{"family":"Khan","given":"Md Abdul Wadud"},{"family":"Ologun","given":"Gabriel"},{"family":"Bussi","given":"Yuval"},{"family":"Weinberger","given":"Adina"},{"family":"Lotan-Pompan","given":"Maya"},{"family":"Golani","given":"Ofra"},{"family":"Perry","given":"Gili"},{"family":"Rokah","given":"Merav"},{"family":"Bahar-Shany","given":"Keren"},{"family":"Rozeman","given":"Elisa A."},{"family":"Blank","given":"Christian U."},{"family":"Ronai","given":"Anat"},{"family":"Shaoul","given":"Ron"},{"family":"Amit","given":"Amnon"},{"family":"Dorfman","given":"Tatiana"},{"family":"Kremer","given":"Ran"},{"family":"Cohen","given":"Zvi R."},{"family":"Harnof","given":"Sagi"},{"family":"Siegal","given":"Tali"},{"family":"Yehuda-Shnaidman","given":"Einav"},{"family":"Gal-Yam","given":"Einav Nili"},{"family":"Shapira","given":"Hagit"},{"family":"Baldini","given":"Nicola"},{"family":"Langille","given":"Morgan G. I."},{"family":"Ben-Nun","given":"Alon"},{"family":"Kaufman","given":"Bella"},{"family":"Nissan","given":"Aviram"},{"family":"Golan","given":"Talia"},{"family":"Dadiani","given":"Maya"},{"family":"Levanon","given":"Keren"},{"family":"Bar","given":"Jair"},{"family":"Yust-Katz","given":"Shlomit"},{"family":"Barshack","given":"Iris"},{"family":"Peeper","given":"Daniel S."},{"family":"Raz","given":"Dan J."},{"family":"Segal","given":"Eran"},{"family":"Wargo","given":"Jennifer A."},{"family":"Sandbank","given":"Judith"},{"family":"Shental","given":"Noam"},{"family":"Straussman","given":"Ravid"}],"issued":{"date-parts":[["2020",5,29]]}}}],"schema":"https://github.com/citation-style-language/schema/raw/master/csl-citation.json"} </w:instrText>
      </w:r>
      <w:r>
        <w:fldChar w:fldCharType="separate"/>
      </w:r>
      <w:r w:rsidR="00DD56C8" w:rsidRPr="00DD56C8">
        <w:rPr>
          <w:rFonts w:ascii="Calibri" w:hAnsi="Calibri" w:cs="Calibri"/>
          <w:szCs w:val="24"/>
          <w:vertAlign w:val="superscript"/>
        </w:rPr>
        <w:t>3,9</w:t>
      </w:r>
      <w:r>
        <w:fldChar w:fldCharType="end"/>
      </w:r>
      <w:r>
        <w:t>.</w:t>
      </w:r>
      <w:r w:rsidR="004272FC">
        <w:t xml:space="preserve"> During this decontamination step, the original authors used a statistical technique that analyzes microbiota within and across tissues and eliminates those which it finds likely to be contamination. This process could remove valid microbiota.</w:t>
      </w:r>
      <w:r w:rsidR="002468D7">
        <w:t xml:space="preserve"> Additionally, </w:t>
      </w:r>
      <w:r w:rsidR="00F10614">
        <w:t xml:space="preserve">the </w:t>
      </w:r>
      <w:r w:rsidR="002468D7">
        <w:t>m</w:t>
      </w:r>
      <w:r w:rsidR="00522598">
        <w:t>icrobial data used only goes up to the genus level</w:t>
      </w:r>
      <w:r w:rsidR="00E70D5F">
        <w:t xml:space="preserve"> and we don’t have of viruses or other types of data</w:t>
      </w:r>
      <w:r w:rsidR="00522598">
        <w:t>.</w:t>
      </w:r>
    </w:p>
    <w:p w14:paraId="04189A0E" w14:textId="16E3CBAE" w:rsidR="002468D7" w:rsidRDefault="002468D7" w:rsidP="00F0583A">
      <w:r>
        <w:t xml:space="preserve">One other possible reason for the lack of improvement is that gene expression can be correlated with and affected by certain microbial abundance groups </w:t>
      </w:r>
      <w:r>
        <w:fldChar w:fldCharType="begin"/>
      </w:r>
      <w:r>
        <w:instrText xml:space="preserve"> ADDIN ZOTERO_ITEM CSL_CITATION {"citationID":"2NgvQC2P","properties":{"formattedCitation":"\\super 3\\nosupersub{}","plainCitation":"3","noteIndex":0},"citationItems":[{"id":185,"uris":["http://zotero.org/users/local/0zqklVfX/items/6YDSX49Y"],"itemData":{"id":185,"type":"article-journal","abstract":"Studying the microbial composition of internal organs and their associations with disease remains challenging due to the difficulty of acquiring clinical biopsies. We designed a statistical model to analyze the prevalence of species across sample types from The Cancer Genome Atlas (TCGA), revealing that species equiprevalent across sample types are predominantly contaminants, bearing unique signatures from each TCGA-designated sequencing center. Removing such species mitigated batch effects and isolated the tissue-resident microbiome, which was validated by original matched TCGA samples. Gene copies and nucleotide variants can further distinguish mixed-evidence species. We, thus, present The Cancer Microbiome Atlas (TCMA), a collection of curated, decontaminated microbial compositions of oropharyngeal, esophageal, gastrointestinal, and colorectal tissues. This led to the discovery of prognostic species and blood signatures of mucosal barrier injuries and enabled systematic matched microbe-host multi-omic analyses, which will help guide future studies of the microbiome’s role in human health and disease.","container-title":"Cell Host &amp; Microbe","DOI":"10.1016/j.chom.2020.12.001","ISSN":"1931-3128","issue":"2","journalAbbreviation":"Cell Host &amp; Microbe","language":"en","page":"281-298.e5","source":"ScienceDirect","title":"The cancer microbiome atlas: a pan-cancer comparative analysis to distinguish tissue-resident microbiota from contaminants","title-short":"The cancer microbiome atlas","volume":"29","author":[{"family":"Dohlman","given":"Anders B."},{"family":"Arguijo Mendoza","given":"Diana"},{"family":"Ding","given":"Shengli"},{"family":"Gao","given":"Michael"},{"family":"Dressman","given":"Holly"},{"family":"Iliev","given":"Iliyan D."},{"family":"Lipkin","given":"Steven M."},{"family":"Shen","given":"Xiling"}],"issued":{"date-parts":[["2021",2,10]]}}}],"schema":"https://github.com/citation-style-language/schema/raw/master/csl-citation.json"} </w:instrText>
      </w:r>
      <w:r>
        <w:fldChar w:fldCharType="separate"/>
      </w:r>
      <w:r w:rsidRPr="002468D7">
        <w:rPr>
          <w:rFonts w:ascii="Calibri" w:hAnsi="Calibri" w:cs="Calibri"/>
          <w:szCs w:val="24"/>
          <w:vertAlign w:val="superscript"/>
        </w:rPr>
        <w:t>3</w:t>
      </w:r>
      <w:r>
        <w:fldChar w:fldCharType="end"/>
      </w:r>
      <w:r>
        <w:t xml:space="preserve">. [insert evidence of this for STAD] Thus, certain information given by the microbial abundance data might already be contained within the </w:t>
      </w:r>
      <w:r>
        <w:lastRenderedPageBreak/>
        <w:t>gene expression data. This is similar to the recapitulation of gene expression data of more upstream datatypes.</w:t>
      </w:r>
      <w:r w:rsidR="00B52187">
        <w:t xml:space="preserve"> For intratumor bacteria, it is not clear however there is a causal link between the bacteria and the development of cancer or if the presence is because of an infection of existing tumors.</w:t>
      </w:r>
      <w:r w:rsidR="00F10614">
        <w:t xml:space="preserve"> Although, for some cancers, such as gastric cancer or liver cancer, are known to most likely be influenced by certain microbial communities, namely </w:t>
      </w:r>
      <w:r w:rsidR="00F10614" w:rsidRPr="00F10614">
        <w:rPr>
          <w:i/>
          <w:iCs/>
        </w:rPr>
        <w:t>Helicobacter pylori</w:t>
      </w:r>
      <w:r w:rsidR="00F10614">
        <w:rPr>
          <w:i/>
          <w:iCs/>
        </w:rPr>
        <w:t xml:space="preserve"> </w:t>
      </w:r>
      <w:r w:rsidR="00F10614">
        <w:t>for</w:t>
      </w:r>
      <w:r w:rsidR="00F10614" w:rsidRPr="00F10614">
        <w:t xml:space="preserve"> gastric cancer</w:t>
      </w:r>
      <w:r w:rsidR="00F10614">
        <w:t xml:space="preserve"> and hepatitis B or C for liver cancer </w:t>
      </w:r>
      <w:r w:rsidR="00F10614">
        <w:fldChar w:fldCharType="begin"/>
      </w:r>
      <w:r w:rsidR="00F10614">
        <w:instrText xml:space="preserve"> ADDIN ZOTERO_ITEM CSL_CITATION {"citationID":"VheBaqMV","properties":{"formattedCitation":"\\super 38\\nosupersub{}","plainCitation":"38","noteIndex":0},"citationItems":[{"id":260,"uris":["http://zotero.org/users/local/0zqklVfX/items/JQBPAZPB"],"itemData":{"id":260,"type":"article-journal","abstract":"Complex and intricate circuitries regulate cellular proliferation, survival, and growth, and alterations of this network through genetic and epigenetic events result in aberrant cellular behaviors, often leading to carcinogenesis. Although specific germline mutations have been recognized as cancer inducers, the vast majority of neoplastic changes in humans occur through environmental exposure, lifestyle, and diet. An emerging concept in cancer biology implicates the microbiota as a powerful environmental factor modulating the carcinogenic process. For example, the intestinal microbiota influences cancer development or therapeutic responses through specific activities (immune responses, metabolites, microbial structures, and toxins). The numerous effects of microbiota on carcinogenesis, ranging from promoting, preventing, or even influencing therapeutic outcomes, highlight the complex relationship between the biota and the host. In this review, we discuss the latest findings on this complex microbial interaction with the host and highlight potential mechanisms by which the microbiota mediates such a wide impact on carcinogenesis.","collection-title":"Microbiome and Human Disease Pathogenesis","container-title":"Translational Research","DOI":"10.1016/j.trsl.2016.07.021","ISSN":"1931-5244","journalAbbreviation":"Translational Research","language":"en","page":"139-154","source":"ScienceDirect","title":"Microbiota as a mediator of cancer progression and therapy","volume":"179","author":[{"family":"Pope","given":"Jillian L."},{"family":"Tomkovich","given":"Sarah"},{"family":"Yang","given":"Ye"},{"family":"Jobin","given":"Christian"}],"issued":{"date-parts":[["2017",1,1]]}}}],"schema":"https://github.com/citation-style-language/schema/raw/master/csl-citation.json"} </w:instrText>
      </w:r>
      <w:r w:rsidR="00F10614">
        <w:fldChar w:fldCharType="separate"/>
      </w:r>
      <w:r w:rsidR="00F10614" w:rsidRPr="00F10614">
        <w:rPr>
          <w:rFonts w:ascii="Calibri" w:hAnsi="Calibri" w:cs="Calibri"/>
          <w:szCs w:val="24"/>
          <w:vertAlign w:val="superscript"/>
        </w:rPr>
        <w:t>38</w:t>
      </w:r>
      <w:r w:rsidR="00F10614">
        <w:fldChar w:fldCharType="end"/>
      </w:r>
      <w:r w:rsidR="00F10614">
        <w:t>.</w:t>
      </w:r>
      <w:r w:rsidR="00255A26">
        <w:t xml:space="preserve"> For CRC, there is also much support for there being a causal link. The interactions between cancer and microbiota are bidirectional, because the cancer can also lead to an environment which fosters certain microbiota which in turn affects the cancer </w:t>
      </w:r>
      <w:r w:rsidR="00255A26">
        <w:fldChar w:fldCharType="begin"/>
      </w:r>
      <w:r w:rsidR="00255A26">
        <w:instrText xml:space="preserve"> ADDIN ZOTERO_ITEM CSL_CITATION {"citationID":"L0A7KNtz","properties":{"formattedCitation":"\\super 38\\nosupersub{}","plainCitation":"38","noteIndex":0},"citationItems":[{"id":260,"uris":["http://zotero.org/users/local/0zqklVfX/items/JQBPAZPB"],"itemData":{"id":260,"type":"article-journal","abstract":"Complex and intricate circuitries regulate cellular proliferation, survival, and growth, and alterations of this network through genetic and epigenetic events result in aberrant cellular behaviors, often leading to carcinogenesis. Although specific germline mutations have been recognized as cancer inducers, the vast majority of neoplastic changes in humans occur through environmental exposure, lifestyle, and diet. An emerging concept in cancer biology implicates the microbiota as a powerful environmental factor modulating the carcinogenic process. For example, the intestinal microbiota influences cancer development or therapeutic responses through specific activities (immune responses, metabolites, microbial structures, and toxins). The numerous effects of microbiota on carcinogenesis, ranging from promoting, preventing, or even influencing therapeutic outcomes, highlight the complex relationship between the biota and the host. In this review, we discuss the latest findings on this complex microbial interaction with the host and highlight potential mechanisms by which the microbiota mediates such a wide impact on carcinogenesis.","collection-title":"Microbiome and Human Disease Pathogenesis","container-title":"Translational Research","DOI":"10.1016/j.trsl.2016.07.021","ISSN":"1931-5244","journalAbbreviation":"Translational Research","language":"en","page":"139-154","source":"ScienceDirect","title":"Microbiota as a mediator of cancer progression and therapy","volume":"179","author":[{"family":"Pope","given":"Jillian L."},{"family":"Tomkovich","given":"Sarah"},{"family":"Yang","given":"Ye"},{"family":"Jobin","given":"Christian"}],"issued":{"date-parts":[["2017",1,1]]}}}],"schema":"https://github.com/citation-style-language/schema/raw/master/csl-citation.json"} </w:instrText>
      </w:r>
      <w:r w:rsidR="00255A26">
        <w:fldChar w:fldCharType="separate"/>
      </w:r>
      <w:r w:rsidR="00255A26" w:rsidRPr="00255A26">
        <w:rPr>
          <w:rFonts w:ascii="Calibri" w:hAnsi="Calibri" w:cs="Calibri"/>
          <w:szCs w:val="24"/>
          <w:vertAlign w:val="superscript"/>
        </w:rPr>
        <w:t>38</w:t>
      </w:r>
      <w:r w:rsidR="00255A26">
        <w:fldChar w:fldCharType="end"/>
      </w:r>
      <w:r w:rsidR="00255A26">
        <w:t>.</w:t>
      </w:r>
      <w:r w:rsidR="00601AB5">
        <w:t xml:space="preserve"> In general, the human shapes the microbiota and vice versa </w:t>
      </w:r>
      <w:r w:rsidR="00771E31">
        <w:fldChar w:fldCharType="begin"/>
      </w:r>
      <w:r w:rsidR="00771E31">
        <w:instrText xml:space="preserve"> ADDIN ZOTERO_ITEM CSL_CITATION {"citationID":"fDOsfeEp","properties":{"formattedCitation":"\\super 39\\nosupersub{}","plainCitation":"39","noteIndex":0},"citationItems":[{"id":263,"uris":["http://zotero.org/users/local/0zqklVfX/items/NZH8S73L"],"itemData":{"id":263,"type":"article-journal","abstract":"The human-microbial ecosystem plays a variety of important roles in human health and disease. Each person can be viewed as an island-like “patch” of habitat occupied by microbial assemblages formed by the fundamental processes of community ecology: dispersal, local diversification, environmental selection, and ecological drift. Community assembly theory, and metacommunity theory in particular, provides a framework for understanding the ecological dynamics of the human microbiome, such as compositional variability within and between hosts. We explore three core scenarios of human microbiome assembly: development in infants, representing assembly in previously unoccupied habitats; recovery from antibiotics, representing assembly after disturbance; and invasion by pathogens, representing assembly in the context of invasive species. Judicious application of ecological theory may lead to improved strategies for restoring and maintaining the microbiota and the crucial health-associated ecosystem services that it provides.","container-title":"Science","DOI":"10.1126/science.1224203","issue":"6086","note":"publisher: American Association for the Advancement of Science","page":"1255-1262","source":"science.org (Atypon)","title":"The Application of Ecological Theory Toward an Understanding of the Human Microbiome","volume":"336","author":[{"family":"Costello","given":"Elizabeth K."},{"family":"Stagaman","given":"Keaton"},{"family":"Dethlefsen","given":"Les"},{"family":"Bohannan","given":"Brendan J. M."},{"family":"Relman","given":"David A."}],"issued":{"date-parts":[["2012",6,8]]}}}],"schema":"https://github.com/citation-style-language/schema/raw/master/csl-citation.json"} </w:instrText>
      </w:r>
      <w:r w:rsidR="00771E31">
        <w:fldChar w:fldCharType="separate"/>
      </w:r>
      <w:r w:rsidR="00771E31" w:rsidRPr="00771E31">
        <w:rPr>
          <w:rFonts w:ascii="Calibri" w:hAnsi="Calibri" w:cs="Calibri"/>
          <w:szCs w:val="24"/>
          <w:vertAlign w:val="superscript"/>
        </w:rPr>
        <w:t>39</w:t>
      </w:r>
      <w:r w:rsidR="00771E31">
        <w:fldChar w:fldCharType="end"/>
      </w:r>
      <w:r w:rsidR="00255A26">
        <w:t xml:space="preserve"> </w:t>
      </w:r>
      <w:r w:rsidR="00771E31">
        <w:t>.</w:t>
      </w:r>
    </w:p>
    <w:p w14:paraId="4AADA734" w14:textId="06098145" w:rsidR="00255A26" w:rsidRDefault="00A748F9" w:rsidP="00F0583A">
      <w:r>
        <w:t>It could also be the specific location of the data.</w:t>
      </w:r>
      <w:r w:rsidR="00255A26">
        <w:t xml:space="preserve"> For CRC, the organization and location of the microbiota can impact tumorigenesis </w:t>
      </w:r>
      <w:r w:rsidR="00255A26">
        <w:fldChar w:fldCharType="begin"/>
      </w:r>
      <w:r w:rsidR="00255A26">
        <w:instrText xml:space="preserve"> ADDIN ZOTERO_ITEM CSL_CITATION {"citationID":"CnQEBcLi","properties":{"formattedCitation":"\\super 38\\nosupersub{}","plainCitation":"38","noteIndex":0},"citationItems":[{"id":260,"uris":["http://zotero.org/users/local/0zqklVfX/items/JQBPAZPB"],"itemData":{"id":260,"type":"article-journal","abstract":"Complex and intricate circuitries regulate cellular proliferation, survival, and growth, and alterations of this network through genetic and epigenetic events result in aberrant cellular behaviors, often leading to carcinogenesis. Although specific germline mutations have been recognized as cancer inducers, the vast majority of neoplastic changes in humans occur through environmental exposure, lifestyle, and diet. An emerging concept in cancer biology implicates the microbiota as a powerful environmental factor modulating the carcinogenic process. For example, the intestinal microbiota influences cancer development or therapeutic responses through specific activities (immune responses, metabolites, microbial structures, and toxins). The numerous effects of microbiota on carcinogenesis, ranging from promoting, preventing, or even influencing therapeutic outcomes, highlight the complex relationship between the biota and the host. In this review, we discuss the latest findings on this complex microbial interaction with the host and highlight potential mechanisms by which the microbiota mediates such a wide impact on carcinogenesis.","collection-title":"Microbiome and Human Disease Pathogenesis","container-title":"Translational Research","DOI":"10.1016/j.trsl.2016.07.021","ISSN":"1931-5244","journalAbbreviation":"Translational Research","language":"en","page":"139-154","source":"ScienceDirect","title":"Microbiota as a mediator of cancer progression and therapy","volume":"179","author":[{"family":"Pope","given":"Jillian L."},{"family":"Tomkovich","given":"Sarah"},{"family":"Yang","given":"Ye"},{"family":"Jobin","given":"Christian"}],"issued":{"date-parts":[["2017",1,1]]}}}],"schema":"https://github.com/citation-style-language/schema/raw/master/csl-citation.json"} </w:instrText>
      </w:r>
      <w:r w:rsidR="00255A26">
        <w:fldChar w:fldCharType="separate"/>
      </w:r>
      <w:r w:rsidR="00255A26" w:rsidRPr="00255A26">
        <w:rPr>
          <w:rFonts w:ascii="Calibri" w:hAnsi="Calibri" w:cs="Calibri"/>
          <w:szCs w:val="24"/>
          <w:vertAlign w:val="superscript"/>
        </w:rPr>
        <w:t>38</w:t>
      </w:r>
      <w:r w:rsidR="00255A26">
        <w:fldChar w:fldCharType="end"/>
      </w:r>
      <w:r w:rsidR="00255A26">
        <w:t>.</w:t>
      </w:r>
    </w:p>
    <w:p w14:paraId="3698B387" w14:textId="4F715A9A" w:rsidR="00A748F9" w:rsidRDefault="00A748F9" w:rsidP="00F0583A">
      <w:r>
        <w:t xml:space="preserve"> Abundance differences within the gut have a clear effect on tumor progression and treatment response </w:t>
      </w:r>
      <w:r>
        <w:fldChar w:fldCharType="begin"/>
      </w:r>
      <w:r w:rsidR="00DD56C8">
        <w:instrText xml:space="preserve"> ADDIN ZOTERO_ITEM CSL_CITATION {"citationID":"3lslruIP","properties":{"formattedCitation":"\\super 15\\nosupersub{}","plainCitation":"15","noteIndex":0},"citationItems":[{"id":256,"uris":["http://zotero.org/users/local/0zqklVfX/items/DDHJUS98"],"itemData":{"id":256,"type":"article-journal","abstract":"Preclinical mouse models suggest that the gut microbiome modulates tumor response to checkpoint blockade immunotherapy; however, this has not been well-characterized in human cancer patients. Here we examined the oral and gut microbiome of melanoma patients undergoing anti–programmed cell death 1 protein (PD-1) immunotherapy (n = 112). Significant differences were observed in the diversity and composition of the patient gut microbiome of responders versus nonresponders. Analysis of patient fecal microbiome samples (n = 43, 30 responders, 13 nonresponders) showed significantly higher alpha diversity (P &lt; 0.01) and relative abundance of bacteria of the Ruminococcaceae family (P &lt; 0.01) in responding patients. Metagenomic studies revealed functional differences in gut bacteria in responders, including enrichment of anabolic pathways. Immune profiling suggested enhanced systemic and antitumor immunity in responding patients with a favorable gut microbiome as well as in germ-free mice receiving fecal transplants from responding patients. Together, these data have important implications for the treatment of melanoma patients with immune checkpoint inhibitors.","container-title":"Science","DOI":"10.1126/science.aan4236","issue":"6371","note":"publisher: American Association for the Advancement of Science","page":"97-103","source":"science.org (Atypon)","title":"Gut microbiome modulates response to anti–PD-1 immunotherapy in melanoma patients","volume":"359","author":[{"family":"Gopalakrishnan","given":"V."},{"family":"Spencer","given":"C. N."},{"family":"Nezi","given":"L."},{"family":"Reuben","given":"A."},{"family":"Andrews","given":"M. C."},{"family":"Karpinets","given":"T. V."},{"family":"Prieto","given":"P. A."},{"family":"Vicente","given":"D."},{"family":"Hoffman","given":"K."},{"family":"Wei","given":"S. C."},{"family":"Cogdill","given":"A. P."},{"family":"Zhao","given":"L."},{"family":"Hudgens","given":"C. W."},{"family":"Hutchinson","given":"D. S."},{"family":"Manzo","given":"T."},{"family":"Petaccia de Macedo","given":"M."},{"family":"Cotechini","given":"T."},{"family":"Kumar","given":"T."},{"family":"Chen","given":"W. S."},{"family":"Reddy","given":"S. M."},{"family":"Szczepaniak Sloane","given":"R."},{"family":"Galloway-Pena","given":"J."},{"family":"Jiang","given":"H."},{"family":"Chen","given":"P. L."},{"family":"Shpall","given":"E. J."},{"family":"Rezvani","given":"K."},{"family":"Alousi","given":"A. M."},{"family":"Chemaly","given":"R. F."},{"family":"Shelburne","given":"S."},{"family":"Vence","given":"L. M."},{"family":"Okhuysen","given":"P. C."},{"family":"Jensen","given":"V. B."},{"family":"Swennes","given":"A. G."},{"family":"McAllister","given":"F."},{"family":"Marcelo Riquelme Sanchez","given":"E."},{"family":"Zhang","given":"Y."},{"family":"Le Chatelier","given":"E."},{"family":"Zitvogel","given":"L."},{"family":"Pons","given":"N."},{"family":"Austin-Breneman","given":"J. L."},{"family":"Haydu","given":"L. E."},{"family":"Burton","given":"E. M."},{"family":"Gardner","given":"J. M."},{"family":"Sirmans","given":"E."},{"family":"Hu","given":"J."},{"family":"Lazar","given":"A. J."},{"family":"Tsujikawa","given":"T."},{"family":"Diab","given":"A."},{"family":"Tawbi","given":"H."},{"family":"Glitza","given":"I. C."},{"family":"Hwu","given":"W. J."},{"family":"Patel","given":"S. P."},{"family":"Woodman","given":"S. E."},{"family":"Amaria","given":"R. N."},{"family":"Davies","given":"M. A."},{"family":"Gershenwald","given":"J. E."},{"family":"Hwu","given":"P."},{"family":"Lee","given":"J. E."},{"family":"Zhang","given":"J."},{"family":"Coussens","given":"L. M."},{"family":"Cooper","given":"Z. A."},{"family":"Futreal","given":"P. A."},{"family":"Daniel","given":"C. R."},{"family":"Ajami","given":"N. J."},{"family":"Petrosino","given":"J. F."},{"family":"Tetzlaff","given":"M. T."},{"family":"Sharma","given":"P."},{"family":"Allison","given":"J. P."},{"family":"Jenq","given":"R. R."},{"family":"Wargo","given":"J. A."}],"issued":{"date-parts":[["2018",1,5]]}}}],"schema":"https://github.com/citation-style-language/schema/raw/master/csl-citation.json"} </w:instrText>
      </w:r>
      <w:r>
        <w:fldChar w:fldCharType="separate"/>
      </w:r>
      <w:r w:rsidR="00DD56C8" w:rsidRPr="00DD56C8">
        <w:rPr>
          <w:rFonts w:ascii="Calibri" w:hAnsi="Calibri" w:cs="Calibri"/>
          <w:szCs w:val="24"/>
          <w:vertAlign w:val="superscript"/>
        </w:rPr>
        <w:t>15</w:t>
      </w:r>
      <w:r>
        <w:fldChar w:fldCharType="end"/>
      </w:r>
      <w:r>
        <w:t xml:space="preserve">. It is not clear whether this is the case for every tissue </w:t>
      </w:r>
    </w:p>
    <w:p w14:paraId="00788D87" w14:textId="15F6082A" w:rsidR="00C43260" w:rsidRDefault="009F2D5D" w:rsidP="00F0583A">
      <w:r>
        <w:t>Changes within individuals and populations are often smaller than the variation between individuals. Repeated daily or weekly measurements might be needed to capture the most important the most specific host- microbiome interactions</w:t>
      </w:r>
      <w:r w:rsidR="003318E0">
        <w:t xml:space="preserve"> </w:t>
      </w:r>
      <w:r>
        <w:fldChar w:fldCharType="begin"/>
      </w:r>
      <w:r w:rsidR="00D07096">
        <w:instrText xml:space="preserve"> ADDIN ZOTERO_ITEM CSL_CITATION {"citationID":"Wy8N9Bn9","properties":{"formattedCitation":"\\super 5\\nosupersub{}","plainCitation":"5","noteIndex":0},"citationItems":[{"id":195,"uris":["http://zotero.org/users/local/0zqklVfX/items/MY2ALASF"],"itemData":{"id":195,"type":"article-journal","abstract":"The NIH Human Microbiome Project (HMP) has been carried out over ten years and two phases to provide resources, methods, and discoveries that link interactions between humans and their microbiomes to health-related outcomes. The recently completed second phase, the Integrative Human Microbiome Project, comprised studies of dynamic changes in the microbiome and host under three conditions: pregnancy and preterm birth; inflammatory bowel diseases; and stressors that affect individuals with prediabetes. The associated research begins to elucidate mechanisms of host–microbiome interactions under these conditions, provides unique data resources (at the HMP Data Coordination Center), and represents a paradigm for future multi-omic studies of the human microbiome.","container-title":"Nature","DOI":"10.1038/s41586-019-1238-8","ISSN":"1476-4687","issue":"7758","language":"en","license":"2019 The Author(s)","note":"number: 7758\npublisher: Nature Publishing Group","page":"641-648","source":"www.nature.com","title":"The Integrative Human Microbiome Project","volume":"569","author":[{"family":"Proctor","given":"Lita M."},{"family":"Creasy","given":"Heather H."},{"family":"Fettweis","given":"Jennifer M."},{"family":"Lloyd-Price","given":"Jason"},{"family":"Mahurkar","given":"Anup"},{"family":"Zhou","given":"Wenyu"},{"family":"Buck","given":"Gregory A."},{"family":"Snyder","given":"Michael P."},{"family":"Strauss","given":"Jerome F."},{"family":"Weinstock","given":"George M."},{"family":"White","given":"Owen"},{"family":"Huttenhower","given":"Curtis"},{"literal":"The Integrative HMP (iHMP) Research Network Consortium"}],"issued":{"date-parts":[["2019",5]]}}}],"schema":"https://github.com/citation-style-language/schema/raw/master/csl-citation.json"} </w:instrText>
      </w:r>
      <w:r>
        <w:fldChar w:fldCharType="separate"/>
      </w:r>
      <w:r w:rsidR="00D07096" w:rsidRPr="00D07096">
        <w:rPr>
          <w:rFonts w:ascii="Calibri" w:hAnsi="Calibri" w:cs="Calibri"/>
          <w:szCs w:val="24"/>
          <w:vertAlign w:val="superscript"/>
        </w:rPr>
        <w:t>5</w:t>
      </w:r>
      <w:r>
        <w:fldChar w:fldCharType="end"/>
      </w:r>
      <w:r>
        <w:t>.</w:t>
      </w:r>
      <w:r w:rsidR="002F7048">
        <w:t xml:space="preserve"> </w:t>
      </w:r>
      <w:r>
        <w:t>Thus, the available data might not be enough to properly capture the relevant variation between individuals which lead to differing disease states.</w:t>
      </w:r>
      <w:r w:rsidR="00A815EC">
        <w:t xml:space="preserve"> </w:t>
      </w:r>
      <w:r w:rsidR="00601AB5">
        <w:t>T</w:t>
      </w:r>
      <w:r w:rsidR="00C43260">
        <w:rPr>
          <w:lang w:val="en-GB"/>
        </w:rPr>
        <w:t xml:space="preserve">he microbiome exhibits significant person-to-person variation </w:t>
      </w:r>
      <w:r w:rsidR="00C43260">
        <w:rPr>
          <w:lang w:val="en-GB"/>
        </w:rPr>
        <w:fldChar w:fldCharType="begin"/>
      </w:r>
      <w:r w:rsidR="00C46FCC">
        <w:rPr>
          <w:lang w:val="en-GB"/>
        </w:rPr>
        <w:instrText xml:space="preserve"> ADDIN ZOTERO_ITEM CSL_CITATION {"citationID":"eUtk5vgG","properties":{"formattedCitation":"\\super 7,40\\nosupersub{}","plainCitation":"7,40","noteIndex":0},"citationItems":[{"id":179,"uris":["http://zotero.org/users/local/0zqklVfX/items/JIA2XHDB"],"itemData":{"id":179,"type":"article-journal","abstract":"Knowledge of the human microbiome, which is likely a critical factor in the initiation, progression, and prognosis of multiple forms of cancer, is rapidly expanding. In this review, we focus on recent investigations to discern putative, causative microbial species and the microbiome composition and structure currently associated with procarcinogenesis and tumorigenesis at select body sites. We specifically highlight forms of cancer, gastrointestinal and nongastrointestinal, that have significant bacterial associations and well-defined experimental evidence with the aim of generating directions for future experimental and translational investigations to develop a clearer understanding of the multifaceted mechanisms by which microbiota affect cancer formation.Emerging and, for some cancers, strong experimental and translational data support the contribution of the microbiome to cancer biology and disease progression. Disrupting microbiome features and pathways contributing to cancer may provide new approaches to improving cancer outcomes in patients.","container-title":"Cancer Discovery","DOI":"10.1158/2159-8290.CD-21-0324","ISSN":"2159-8274","issue":"10","journalAbbreviation":"Cancer Discovery","page":"2378-2395","source":"Silverchair","title":"The Cancer Microbiome: Recent Highlights and Knowledge Gaps","title-short":"The Cancer Microbiome","volume":"11","author":[{"family":"Knippel","given":"Reece J."},{"family":"Drewes","given":"Julia L."},{"family":"Sears","given":"Cynthia L."}],"issued":{"date-parts":[["2021",8,16]]}}},{"id":269,"uris":["http://zotero.org/users/local/0zqklVfX/items/A5A8CFLN"],"itemData":{"id":269,"type":"article-journal","abstract":"Clin Microbiol Infect 2012; 18 (Suppl. 4): 47–49 Abstract The gut microbiota presents a symbiotic relationship with the human host playing a beneficial role in human health. Since its establishment, the bacterial community is subjected to the influence of many different factors that shape its composition within each individual. However, an important convergence is observed at functional level in the gut microbiota. A metatranscriptomic study of healthy individuals showed homogeneity in the composition of the active microbiota that increased further at functional level.","container-title":"Clinical Microbiology and Infection","DOI":"10.1111/j.1469-0691.2012.03865.x","ISSN":"1469-0691","issue":"s4","language":"en","note":"_eprint: https://onlinelibrary.wiley.com/doi/pdf/10.1111/j.1469-0691.2012.03865.x","page":"47-49","source":"Wiley Online Library","title":"Metagenomics of human microbiome: beyond 16s rDNA","title-short":"Metagenomics of human microbiome","volume":"18","author":[{"family":"Gosalbes","given":"M. J."},{"family":"Abellan","given":"J. J."},{"family":"Durbán","given":"A."},{"family":"Pérez-Cobas","given":"A. E."},{"family":"Latorre","given":"A."},{"family":"Moya","given":"A."}],"issued":{"date-parts":[["2012"]]}}}],"schema":"https://github.com/citation-style-language/schema/raw/master/csl-citation.json"} </w:instrText>
      </w:r>
      <w:r w:rsidR="00C43260">
        <w:rPr>
          <w:lang w:val="en-GB"/>
        </w:rPr>
        <w:fldChar w:fldCharType="separate"/>
      </w:r>
      <w:r w:rsidR="00C46FCC" w:rsidRPr="00C46FCC">
        <w:rPr>
          <w:rFonts w:ascii="Calibri" w:hAnsi="Calibri" w:cs="Calibri"/>
          <w:szCs w:val="24"/>
          <w:vertAlign w:val="superscript"/>
        </w:rPr>
        <w:t>7,40</w:t>
      </w:r>
      <w:r w:rsidR="00C43260">
        <w:rPr>
          <w:lang w:val="en-GB"/>
        </w:rPr>
        <w:fldChar w:fldCharType="end"/>
      </w:r>
      <w:r w:rsidR="002F7048">
        <w:rPr>
          <w:lang w:val="en-GB"/>
        </w:rPr>
        <w:t xml:space="preserve">. It is also variable across time </w:t>
      </w:r>
      <w:r w:rsidR="002F7048">
        <w:rPr>
          <w:lang w:val="en-GB"/>
        </w:rPr>
        <w:fldChar w:fldCharType="begin"/>
      </w:r>
      <w:r w:rsidR="002F7048">
        <w:rPr>
          <w:lang w:val="en-GB"/>
        </w:rPr>
        <w:instrText xml:space="preserve"> ADDIN ZOTERO_ITEM CSL_CITATION {"citationID":"Pq39lZIz","properties":{"formattedCitation":"\\super 39\\nosupersub{}","plainCitation":"39","noteIndex":0},"citationItems":[{"id":263,"uris":["http://zotero.org/users/local/0zqklVfX/items/NZH8S73L"],"itemData":{"id":263,"type":"article-journal","abstract":"The human-microbial ecosystem plays a variety of important roles in human health and disease. Each person can be viewed as an island-like “patch” of habitat occupied by microbial assemblages formed by the fundamental processes of community ecology: dispersal, local diversification, environmental selection, and ecological drift. Community assembly theory, and metacommunity theory in particular, provides a framework for understanding the ecological dynamics of the human microbiome, such as compositional variability within and between hosts. We explore three core scenarios of human microbiome assembly: development in infants, representing assembly in previously unoccupied habitats; recovery from antibiotics, representing assembly after disturbance; and invasion by pathogens, representing assembly in the context of invasive species. Judicious application of ecological theory may lead to improved strategies for restoring and maintaining the microbiota and the crucial health-associated ecosystem services that it provides.","container-title":"Science","DOI":"10.1126/science.1224203","issue":"6086","note":"publisher: American Association for the Advancement of Science","page":"1255-1262","source":"science.org (Atypon)","title":"The Application of Ecological Theory Toward an Understanding of the Human Microbiome","volume":"336","author":[{"family":"Costello","given":"Elizabeth K."},{"family":"Stagaman","given":"Keaton"},{"family":"Dethlefsen","given":"Les"},{"family":"Bohannan","given":"Brendan J. M."},{"family":"Relman","given":"David A."}],"issued":{"date-parts":[["2012",6,8]]}}}],"schema":"https://github.com/citation-style-language/schema/raw/master/csl-citation.json"} </w:instrText>
      </w:r>
      <w:r w:rsidR="002F7048">
        <w:rPr>
          <w:lang w:val="en-GB"/>
        </w:rPr>
        <w:fldChar w:fldCharType="separate"/>
      </w:r>
      <w:r w:rsidR="002F7048" w:rsidRPr="002F7048">
        <w:rPr>
          <w:rFonts w:ascii="Calibri" w:hAnsi="Calibri" w:cs="Calibri"/>
          <w:szCs w:val="24"/>
          <w:vertAlign w:val="superscript"/>
        </w:rPr>
        <w:t>39</w:t>
      </w:r>
      <w:r w:rsidR="002F7048">
        <w:rPr>
          <w:lang w:val="en-GB"/>
        </w:rPr>
        <w:fldChar w:fldCharType="end"/>
      </w:r>
      <w:r w:rsidR="002F7048">
        <w:rPr>
          <w:lang w:val="en-GB"/>
        </w:rPr>
        <w:t>. There is a lot of variation in gut microbiota across age, population and diet.</w:t>
      </w:r>
      <w:r w:rsidR="00C46FCC">
        <w:rPr>
          <w:lang w:val="en-GB"/>
        </w:rPr>
        <w:t xml:space="preserve"> However, when examining the function often intestinal microbiota, the active expression can show more functional similarity between individuals </w:t>
      </w:r>
      <w:r w:rsidR="00C46FCC">
        <w:rPr>
          <w:lang w:val="en-GB"/>
        </w:rPr>
        <w:fldChar w:fldCharType="begin"/>
      </w:r>
      <w:r w:rsidR="00C46FCC">
        <w:rPr>
          <w:lang w:val="en-GB"/>
        </w:rPr>
        <w:instrText xml:space="preserve"> ADDIN ZOTERO_ITEM CSL_CITATION {"citationID":"VM0pX9hZ","properties":{"formattedCitation":"\\super 40\\nosupersub{}","plainCitation":"40","noteIndex":0},"citationItems":[{"id":269,"uris":["http://zotero.org/users/local/0zqklVfX/items/A5A8CFLN"],"itemData":{"id":269,"type":"article-journal","abstract":"Clin Microbiol Infect 2012; 18 (Suppl. 4): 47–49 Abstract The gut microbiota presents a symbiotic relationship with the human host playing a beneficial role in human health. Since its establishment, the bacterial community is subjected to the influence of many different factors that shape its composition within each individual. However, an important convergence is observed at functional level in the gut microbiota. A metatranscriptomic study of healthy individuals showed homogeneity in the composition of the active microbiota that increased further at functional level.","container-title":"Clinical Microbiology and Infection","DOI":"10.1111/j.1469-0691.2012.03865.x","ISSN":"1469-0691","issue":"s4","language":"en","note":"_eprint: https://onlinelibrary.wiley.com/doi/pdf/10.1111/j.1469-0691.2012.03865.x","page":"47-49","source":"Wiley Online Library","title":"Metagenomics of human microbiome: beyond 16s rDNA","title-short":"Metagenomics of human microbiome","volume":"18","author":[{"family":"Gosalbes","given":"M. J."},{"family":"Abellan","given":"J. J."},{"family":"Durbán","given":"A."},{"family":"Pérez-Cobas","given":"A. E."},{"family":"Latorre","given":"A."},{"family":"Moya","given":"A."}],"issued":{"date-parts":[["2012"]]}}}],"schema":"https://github.com/citation-style-language/schema/raw/master/csl-citation.json"} </w:instrText>
      </w:r>
      <w:r w:rsidR="00C46FCC">
        <w:rPr>
          <w:lang w:val="en-GB"/>
        </w:rPr>
        <w:fldChar w:fldCharType="separate"/>
      </w:r>
      <w:r w:rsidR="00C46FCC" w:rsidRPr="00C46FCC">
        <w:rPr>
          <w:rFonts w:ascii="Calibri" w:hAnsi="Calibri" w:cs="Calibri"/>
          <w:szCs w:val="24"/>
          <w:vertAlign w:val="superscript"/>
        </w:rPr>
        <w:t>40</w:t>
      </w:r>
      <w:r w:rsidR="00C46FCC">
        <w:rPr>
          <w:lang w:val="en-GB"/>
        </w:rPr>
        <w:fldChar w:fldCharType="end"/>
      </w:r>
      <w:r w:rsidR="00C46FCC">
        <w:rPr>
          <w:lang w:val="en-GB"/>
        </w:rPr>
        <w:t>.</w:t>
      </w:r>
    </w:p>
    <w:p w14:paraId="2689E767" w14:textId="07130A23" w:rsidR="007124C4" w:rsidRDefault="004A78E6" w:rsidP="00F0583A">
      <w:r>
        <w:t xml:space="preserve">Additionally, there might also be differences across the clinical domain. For example, tumor samples for a certain cancer might differ across genders </w:t>
      </w:r>
      <w:r>
        <w:fldChar w:fldCharType="begin"/>
      </w:r>
      <w:r w:rsidR="00DD56C8">
        <w:instrText xml:space="preserve"> ADDIN ZOTERO_ITEM CSL_CITATION {"citationID":"SvGCWTSm","properties":{"formattedCitation":"\\super 12\\nosupersub{}","plainCitation":"12","noteIndex":0},"citationItems":[{"id":238,"uris":["http://zotero.org/users/local/0zqklVfX/items/WA65UHG6"],"itemData":{"id":238,"type":"article-journal","abstract":"While the intratumor microbiome has become increasingly implicated in cancer development, the microbial landscape of papillary thyroid carcinoma (PTC) is essentially uninvestigated. PTC is characterized by varied prognosis between gender and cancer subtype, but the cause for gender and subtype-based dissimilarities is unclear. Women are more frequently diagnosed with PTC, while men suffer more advanced-staged PTC. In addition, tall cell variants are more aggressive than classical and follicular variants of PTC. We hypothesized that intratumor microbiome composition distinctly alters the immune landscape and predicts clinical outcome between PTC subtypes and between patient genders. Raw whole-transcriptome RNA-sequencing, Level 3 normalized mRNA expression read counts, and DNA methylation 450 k sequencing data for untreated, nonirradiated tumor, and adjacent normal tissue were downloaded from the Genomic Data Commons (GDC) legacy archive for 563 thyroid carcinoma patients. Microbe counts were extracted using Pathoscope 2.0 software. We correlated microbe abundance to clinical variables and immune-associated gene expression. Gene-set enrichment, mutation, and methylation analyses were conducted to correlate microbe abundance to characterize microbes’ roles. Overall, PTC tumor tissue significantly lacked microbes that are populated in adjacent normal tissue, which suggests presence of microbes may be critical in controlling immune cell expression and regulating immune and cancer pathways to mitigate cancer growth. In contrast, we also found that microbes distinctly abundant in tall cell and male patient cohorts were also correlated with higher mutation expression and methylation of tumor suppressors. Microbe dysbiosis in specific PTC types may explain observable differences in PTC progression and pathogenesis. These microbesprovide a basis for developing specialized prebiotic and probiotic treatments for varied PTC tumors.","container-title":"Computational and Structural Biotechnology Journal","DOI":"10.1016/j.csbj.2021.03.032","ISSN":"2001-0370","journalAbbreviation":"Computational and Structural Biotechnology Journal","language":"en","page":"1986-1997","source":"ScienceDirect","title":"The intratumor microbiome predicts prognosis across gender and subtypes in papillary thyroid carcinoma","volume":"19","author":[{"family":"Gnanasekar","given":"Aditi"},{"family":"Castaneda","given":"Grant"},{"family":"Iyangar","given":"Anjali"},{"family":"Magesh","given":"Shruti"},{"family":"Perez","given":"Daisy"},{"family":"Chakladar","given":"Jaideep"},{"family":"Li","given":"Wei Tse"},{"family":"Bouvet","given":"Michael"},{"family":"Chang","given":"Eric Y."},{"family":"Ongkeko","given":"Weg M."}],"issued":{"date-parts":[["2021",1,1]]}}}],"schema":"https://github.com/citation-style-language/schema/raw/master/csl-citation.json"} </w:instrText>
      </w:r>
      <w:r>
        <w:fldChar w:fldCharType="separate"/>
      </w:r>
      <w:r w:rsidR="00DD56C8" w:rsidRPr="00DD56C8">
        <w:rPr>
          <w:rFonts w:ascii="Calibri" w:hAnsi="Calibri" w:cs="Calibri"/>
          <w:szCs w:val="24"/>
          <w:vertAlign w:val="superscript"/>
        </w:rPr>
        <w:t>12</w:t>
      </w:r>
      <w:r>
        <w:fldChar w:fldCharType="end"/>
      </w:r>
      <w:r>
        <w:t>.</w:t>
      </w:r>
      <w:r w:rsidR="00DD56C8">
        <w:t xml:space="preserve"> There can be distinct</w:t>
      </w:r>
      <w:r w:rsidR="00B52187">
        <w:t xml:space="preserve"> intratumor bacteria </w:t>
      </w:r>
      <w:r w:rsidR="00DD56C8">
        <w:t>across different subtypes of the same cancer</w:t>
      </w:r>
      <w:r w:rsidR="009C050A">
        <w:t xml:space="preserve"> and a tumor sample with its NAT microbiome </w:t>
      </w:r>
      <w:r w:rsidR="009C050A">
        <w:fldChar w:fldCharType="begin"/>
      </w:r>
      <w:r w:rsidR="009C050A">
        <w:instrText xml:space="preserve"> ADDIN ZOTERO_ITEM CSL_CITATION {"citationID":"XHub0uHM","properties":{"formattedCitation":"\\super 9\\nosupersub{}","plainCitation":"9","noteIndex":0},"citationItems":[{"id":258,"uris":["http://zotero.org/users/local/0zqklVfX/items/L8PDXLBH"],"itemData":{"id":258,"type":"article-journal","abstract":"Bacteria were first detected in human tumors more than 100 years ago, but the characterization of the tumor microbiome has remained challenging because of its low biomass. We undertook a comprehensive analysis of the tumor microbiome, studying 1526 tumors and their adjacent normal tissues across seven cancer types, including breast, lung, ovary, pancreas, melanoma, bone, and brain tumors. We found that each tumor type has a distinct microbiome composition and that breast cancer has a particularly rich and diverse microbiome. The intratumor bacteria are mostly intracellular and are present in both cancer and immune cells. We also noted correlations between intratumor bacteria or their predicted functions with tumor types and subtypes, patients’ smoking status, and the response to immunotherapy.","container-title":"Science","DOI":"10.1126/science.aay9189","issue":"6494","note":"publisher: American Association for the Advancement of Science","page":"973-980","source":"science.org (Atypon)","title":"The human tumor microbiome is composed of tumor type–specific intracellular bacteria","volume":"368","author":[{"family":"Nejman","given":"Deborah"},{"family":"Livyatan","given":"Ilana"},{"family":"Fuks","given":"Garold"},{"family":"Gavert","given":"Nancy"},{"family":"Zwang","given":"Yaara"},{"family":"Geller","given":"Leore T."},{"family":"Rotter-Maskowitz","given":"Aviva"},{"family":"Weiser","given":"Roi"},{"family":"Mallel","given":"Giuseppe"},{"family":"Gigi","given":"Elinor"},{"family":"Meltser","given":"Arnon"},{"family":"Douglas","given":"Gavin M."},{"family":"Kamer","given":"Iris"},{"family":"Gopalakrishnan","given":"Vancheswaran"},{"family":"Dadosh","given":"Tali"},{"family":"Levin-Zaidman","given":"Smadar"},{"family":"Avnet","given":"Sofia"},{"family":"Atlan","given":"Tehila"},{"family":"Cooper","given":"Zachary A."},{"family":"Arora","given":"Reetakshi"},{"family":"Cogdill","given":"Alexandria P."},{"family":"Khan","given":"Md Abdul Wadud"},{"family":"Ologun","given":"Gabriel"},{"family":"Bussi","given":"Yuval"},{"family":"Weinberger","given":"Adina"},{"family":"Lotan-Pompan","given":"Maya"},{"family":"Golani","given":"Ofra"},{"family":"Perry","given":"Gili"},{"family":"Rokah","given":"Merav"},{"family":"Bahar-Shany","given":"Keren"},{"family":"Rozeman","given":"Elisa A."},{"family":"Blank","given":"Christian U."},{"family":"Ronai","given":"Anat"},{"family":"Shaoul","given":"Ron"},{"family":"Amit","given":"Amnon"},{"family":"Dorfman","given":"Tatiana"},{"family":"Kremer","given":"Ran"},{"family":"Cohen","given":"Zvi R."},{"family":"Harnof","given":"Sagi"},{"family":"Siegal","given":"Tali"},{"family":"Yehuda-Shnaidman","given":"Einav"},{"family":"Gal-Yam","given":"Einav Nili"},{"family":"Shapira","given":"Hagit"},{"family":"Baldini","given":"Nicola"},{"family":"Langille","given":"Morgan G. I."},{"family":"Ben-Nun","given":"Alon"},{"family":"Kaufman","given":"Bella"},{"family":"Nissan","given":"Aviram"},{"family":"Golan","given":"Talia"},{"family":"Dadiani","given":"Maya"},{"family":"Levanon","given":"Keren"},{"family":"Bar","given":"Jair"},{"family":"Yust-Katz","given":"Shlomit"},{"family":"Barshack","given":"Iris"},{"family":"Peeper","given":"Daniel S."},{"family":"Raz","given":"Dan J."},{"family":"Segal","given":"Eran"},{"family":"Wargo","given":"Jennifer A."},{"family":"Sandbank","given":"Judith"},{"family":"Shental","given":"Noam"},{"family":"Straussman","given":"Ravid"}],"issued":{"date-parts":[["2020",5,29]]}}}],"schema":"https://github.com/citation-style-language/schema/raw/master/csl-citation.json"} </w:instrText>
      </w:r>
      <w:r w:rsidR="009C050A">
        <w:fldChar w:fldCharType="separate"/>
      </w:r>
      <w:r w:rsidR="009C050A" w:rsidRPr="009C050A">
        <w:rPr>
          <w:rFonts w:ascii="Calibri" w:hAnsi="Calibri" w:cs="Calibri"/>
          <w:szCs w:val="24"/>
          <w:vertAlign w:val="superscript"/>
        </w:rPr>
        <w:t>9</w:t>
      </w:r>
      <w:r w:rsidR="009C050A">
        <w:fldChar w:fldCharType="end"/>
      </w:r>
      <w:r w:rsidR="009C050A">
        <w:t>, however this is not always the case.</w:t>
      </w:r>
      <w:r w:rsidR="007124C4">
        <w:t xml:space="preserve"> Additionally, bacteria from the NAT might be transferred to tumor tissues, leading to a similarity between the microbiomes which </w:t>
      </w:r>
      <w:r w:rsidR="00B52187">
        <w:t xml:space="preserve">might </w:t>
      </w:r>
      <w:r w:rsidR="007124C4">
        <w:t xml:space="preserve">not </w:t>
      </w:r>
      <w:r w:rsidR="00B52187">
        <w:t>be conducive for</w:t>
      </w:r>
      <w:r w:rsidR="00B52187">
        <w:t xml:space="preserve"> </w:t>
      </w:r>
      <w:r w:rsidR="007124C4">
        <w:t xml:space="preserve">discrimination between the two tissues </w:t>
      </w:r>
      <w:r w:rsidR="007124C4">
        <w:fldChar w:fldCharType="begin"/>
      </w:r>
      <w:r w:rsidR="007124C4">
        <w:instrText xml:space="preserve"> ADDIN ZOTERO_ITEM CSL_CITATION {"citationID":"Lw1RvPPM","properties":{"formattedCitation":"\\super 9\\nosupersub{}","plainCitation":"9","noteIndex":0},"citationItems":[{"id":258,"uris":["http://zotero.org/users/local/0zqklVfX/items/L8PDXLBH"],"itemData":{"id":258,"type":"article-journal","abstract":"Bacteria were first detected in human tumors more than 100 years ago, but the characterization of the tumor microbiome has remained challenging because of its low biomass. We undertook a comprehensive analysis of the tumor microbiome, studying 1526 tumors and their adjacent normal tissues across seven cancer types, including breast, lung, ovary, pancreas, melanoma, bone, and brain tumors. We found that each tumor type has a distinct microbiome composition and that breast cancer has a particularly rich and diverse microbiome. The intratumor bacteria are mostly intracellular and are present in both cancer and immune cells. We also noted correlations between intratumor bacteria or their predicted functions with tumor types and subtypes, patients’ smoking status, and the response to immunotherapy.","container-title":"Science","DOI":"10.1126/science.aay9189","issue":"6494","note":"publisher: American Association for the Advancement of Science","page":"973-980","source":"science.org (Atypon)","title":"The human tumor microbiome is composed of tumor type–specific intracellular bacteria","volume":"368","author":[{"family":"Nejman","given":"Deborah"},{"family":"Livyatan","given":"Ilana"},{"family":"Fuks","given":"Garold"},{"family":"Gavert","given":"Nancy"},{"family":"Zwang","given":"Yaara"},{"family":"Geller","given":"Leore T."},{"family":"Rotter-Maskowitz","given":"Aviva"},{"family":"Weiser","given":"Roi"},{"family":"Mallel","given":"Giuseppe"},{"family":"Gigi","given":"Elinor"},{"family":"Meltser","given":"Arnon"},{"family":"Douglas","given":"Gavin M."},{"family":"Kamer","given":"Iris"},{"family":"Gopalakrishnan","given":"Vancheswaran"},{"family":"Dadosh","given":"Tali"},{"family":"Levin-Zaidman","given":"Smadar"},{"family":"Avnet","given":"Sofia"},{"family":"Atlan","given":"Tehila"},{"family":"Cooper","given":"Zachary A."},{"family":"Arora","given":"Reetakshi"},{"family":"Cogdill","given":"Alexandria P."},{"family":"Khan","given":"Md Abdul Wadud"},{"family":"Ologun","given":"Gabriel"},{"family":"Bussi","given":"Yuval"},{"family":"Weinberger","given":"Adina"},{"family":"Lotan-Pompan","given":"Maya"},{"family":"Golani","given":"Ofra"},{"family":"Perry","given":"Gili"},{"family":"Rokah","given":"Merav"},{"family":"Bahar-Shany","given":"Keren"},{"family":"Rozeman","given":"Elisa A."},{"family":"Blank","given":"Christian U."},{"family":"Ronai","given":"Anat"},{"family":"Shaoul","given":"Ron"},{"family":"Amit","given":"Amnon"},{"family":"Dorfman","given":"Tatiana"},{"family":"Kremer","given":"Ran"},{"family":"Cohen","given":"Zvi R."},{"family":"Harnof","given":"Sagi"},{"family":"Siegal","given":"Tali"},{"family":"Yehuda-Shnaidman","given":"Einav"},{"family":"Gal-Yam","given":"Einav Nili"},{"family":"Shapira","given":"Hagit"},{"family":"Baldini","given":"Nicola"},{"family":"Langille","given":"Morgan G. I."},{"family":"Ben-Nun","given":"Alon"},{"family":"Kaufman","given":"Bella"},{"family":"Nissan","given":"Aviram"},{"family":"Golan","given":"Talia"},{"family":"Dadiani","given":"Maya"},{"family":"Levanon","given":"Keren"},{"family":"Bar","given":"Jair"},{"family":"Yust-Katz","given":"Shlomit"},{"family":"Barshack","given":"Iris"},{"family":"Peeper","given":"Daniel S."},{"family":"Raz","given":"Dan J."},{"family":"Segal","given":"Eran"},{"family":"Wargo","given":"Jennifer A."},{"family":"Sandbank","given":"Judith"},{"family":"Shental","given":"Noam"},{"family":"Straussman","given":"Ravid"}],"issued":{"date-parts":[["2020",5,29]]}}}],"schema":"https://github.com/citation-style-language/schema/raw/master/csl-citation.json"} </w:instrText>
      </w:r>
      <w:r w:rsidR="007124C4">
        <w:fldChar w:fldCharType="separate"/>
      </w:r>
      <w:r w:rsidR="007124C4" w:rsidRPr="007124C4">
        <w:rPr>
          <w:rFonts w:ascii="Calibri" w:hAnsi="Calibri" w:cs="Calibri"/>
          <w:szCs w:val="24"/>
          <w:vertAlign w:val="superscript"/>
        </w:rPr>
        <w:t>9</w:t>
      </w:r>
      <w:r w:rsidR="007124C4">
        <w:fldChar w:fldCharType="end"/>
      </w:r>
      <w:r w:rsidR="007124C4">
        <w:t>.</w:t>
      </w:r>
      <w:r w:rsidR="00F10614">
        <w:t xml:space="preserve"> </w:t>
      </w:r>
      <w:r w:rsidR="00C26D1D">
        <w:t xml:space="preserve"> For CRC as well,</w:t>
      </w:r>
      <w:r w:rsidR="00255A26">
        <w:t xml:space="preserve"> there is microbial </w:t>
      </w:r>
      <w:proofErr w:type="spellStart"/>
      <w:r w:rsidR="00255A26">
        <w:t>dysbyiosis</w:t>
      </w:r>
      <w:proofErr w:type="spellEnd"/>
      <w:r w:rsidR="00255A26">
        <w:t xml:space="preserve"> between tumor and NAT for the same patient and also across stages </w:t>
      </w:r>
      <w:r w:rsidR="00255A26">
        <w:fldChar w:fldCharType="begin"/>
      </w:r>
      <w:r w:rsidR="00255A26">
        <w:instrText xml:space="preserve"> ADDIN ZOTERO_ITEM CSL_CITATION {"citationID":"fjdxSU7X","properties":{"formattedCitation":"\\super 38\\nosupersub{}","plainCitation":"38","noteIndex":0},"citationItems":[{"id":260,"uris":["http://zotero.org/users/local/0zqklVfX/items/JQBPAZPB"],"itemData":{"id":260,"type":"article-journal","abstract":"Complex and intricate circuitries regulate cellular proliferation, survival, and growth, and alterations of this network through genetic and epigenetic events result in aberrant cellular behaviors, often leading to carcinogenesis. Although specific germline mutations have been recognized as cancer inducers, the vast majority of neoplastic changes in humans occur through environmental exposure, lifestyle, and diet. An emerging concept in cancer biology implicates the microbiota as a powerful environmental factor modulating the carcinogenic process. For example, the intestinal microbiota influences cancer development or therapeutic responses through specific activities (immune responses, metabolites, microbial structures, and toxins). The numerous effects of microbiota on carcinogenesis, ranging from promoting, preventing, or even influencing therapeutic outcomes, highlight the complex relationship between the biota and the host. In this review, we discuss the latest findings on this complex microbial interaction with the host and highlight potential mechanisms by which the microbiota mediates such a wide impact on carcinogenesis.","collection-title":"Microbiome and Human Disease Pathogenesis","container-title":"Translational Research","DOI":"10.1016/j.trsl.2016.07.021","ISSN":"1931-5244","journalAbbreviation":"Translational Research","language":"en","page":"139-154","source":"ScienceDirect","title":"Microbiota as a mediator of cancer progression and therapy","volume":"179","author":[{"family":"Pope","given":"Jillian L."},{"family":"Tomkovich","given":"Sarah"},{"family":"Yang","given":"Ye"},{"family":"Jobin","given":"Christian"}],"issued":{"date-parts":[["2017",1,1]]}}}],"schema":"https://github.com/citation-style-language/schema/raw/master/csl-citation.json"} </w:instrText>
      </w:r>
      <w:r w:rsidR="00255A26">
        <w:fldChar w:fldCharType="separate"/>
      </w:r>
      <w:r w:rsidR="00255A26" w:rsidRPr="00255A26">
        <w:rPr>
          <w:rFonts w:ascii="Calibri" w:hAnsi="Calibri" w:cs="Calibri"/>
          <w:szCs w:val="24"/>
          <w:vertAlign w:val="superscript"/>
        </w:rPr>
        <w:t>38</w:t>
      </w:r>
      <w:r w:rsidR="00255A26">
        <w:fldChar w:fldCharType="end"/>
      </w:r>
      <w:r w:rsidR="00255A26">
        <w:t>.</w:t>
      </w:r>
    </w:p>
    <w:p w14:paraId="1132CE98" w14:textId="77777777" w:rsidR="007124C4" w:rsidRDefault="007124C4" w:rsidP="00F0583A"/>
    <w:p w14:paraId="22F37266" w14:textId="137F2ECB" w:rsidR="00A815EC" w:rsidRDefault="00A815EC" w:rsidP="00F0583A">
      <w:r>
        <w:t>The data might not be perfect, as</w:t>
      </w:r>
      <w:r w:rsidR="00E26537">
        <w:t xml:space="preserve">. </w:t>
      </w:r>
    </w:p>
    <w:p w14:paraId="1C739AA2" w14:textId="32EF656E" w:rsidR="00842D1D" w:rsidRDefault="00842D1D" w:rsidP="00F0583A">
      <w:pPr>
        <w:rPr>
          <w:rFonts w:ascii="Calibri" w:hAnsi="Calibri" w:cs="Calibri"/>
        </w:rPr>
      </w:pPr>
      <w:r w:rsidRPr="007F4E7B">
        <w:rPr>
          <w:rFonts w:ascii="Calibri" w:hAnsi="Calibri" w:cs="Calibri"/>
        </w:rPr>
        <w:t>Poore</w:t>
      </w:r>
      <w:r>
        <w:rPr>
          <w:rFonts w:ascii="Calibri" w:hAnsi="Calibri" w:cs="Calibri"/>
        </w:rPr>
        <w:t xml:space="preserve"> et al. </w:t>
      </w:r>
      <w:r>
        <w:rPr>
          <w:rFonts w:ascii="Calibri" w:hAnsi="Calibri" w:cs="Calibri"/>
        </w:rPr>
        <w:fldChar w:fldCharType="begin"/>
      </w:r>
      <w:r>
        <w:rPr>
          <w:rFonts w:ascii="Calibri" w:hAnsi="Calibri" w:cs="Calibri"/>
        </w:rPr>
        <w:instrText xml:space="preserve"> ADDIN ZOTERO_ITEM CSL_CITATION {"citationID":"WVnFJQVK","properties":{"formattedCitation":"\\super 6\\nosupersub{}","plainCitation":"6","noteIndex":0},"citationItems":[{"id":182,"uris":["http://zotero.org/users/local/0zqklVfX/items/3EG828JE"],"itemData":{"id":182,"type":"article-journal","abstract":"Systematic characterization of the cancer microbiome provides the opportunity to develop techniques that exploit non-human, microorganism-derived molecules in the diagnosis of a major human disease. Following recent demonstrations that some types of cancer show substantial microbial contributions1–10, we re-examined whole-genome and whole-transcriptome sequencing studies in The Cancer Genome Atlas11 (TCGA) of 33 types of cancer from treatment-naive patients (a total of 18,116 samples) for microbial reads, and found unique microbial signatures in tissue and blood within and between most major types of cancer. These TCGA blood signatures remained predictive when applied to patients with stage Ia–IIc cancer and cancers lacking any genomic alterations currently measured on two commercial-grade cell-free tumour DNA platforms, despite the use of very stringent decontamination analyses that discarded up to 92.3% of total sequence data. In addition, we could discriminate among samples from healthy, cancer-free individuals (n = 69) and those from patients with multiple types of cancer (prostate, lung, and melanoma; 100 samples in total) solely using plasma-derived, cell-free microbial nucleic acids. This potential microbiome-based oncology diagnostic tool warrants further exploration.","container-title":"Nature","DOI":"10.1038/s41586-020-2095-1","ISSN":"1476-4687","issue":"7800","language":"en","license":"2020 The Author(s), under exclusive licence to Springer Nature Limited","note":"number: 7800\npublisher: Nature Publishing Group","page":"567-574","source":"www.nature.com","title":"Microbiome analyses of blood and tissues suggest cancer diagnostic approach","volume":"579","author":[{"family":"Poore","given":"Gregory D."},{"family":"Kopylova","given":"Evguenia"},{"family":"Zhu","given":"Qiyun"},{"family":"Carpenter","given":"Carolina"},{"family":"Fraraccio","given":"Serena"},{"family":"Wandro","given":"Stephen"},{"family":"Kosciolek","given":"Tomasz"},{"family":"Janssen","given":"Stefan"},{"family":"Metcalf","given":"Jessica"},{"family":"Song","given":"Se Jin"},{"family":"Kanbar","given":"Jad"},{"family":"Miller-Montgomery","given":"Sandrine"},{"family":"Heaton","given":"Robert"},{"family":"Mckay","given":"Rana"},{"family":"Patel","given":"Sandip Pravin"},{"family":"Swafford","given":"Austin D."},{"family":"Knight","given":"Rob"}],"issued":{"date-parts":[["2020",3]]}}}],"schema":"https://github.com/citation-style-language/schema/raw/master/csl-citation.json"} </w:instrText>
      </w:r>
      <w:r>
        <w:rPr>
          <w:rFonts w:ascii="Calibri" w:hAnsi="Calibri" w:cs="Calibri"/>
        </w:rPr>
        <w:fldChar w:fldCharType="separate"/>
      </w:r>
      <w:r w:rsidRPr="00842D1D">
        <w:rPr>
          <w:rFonts w:ascii="Calibri" w:hAnsi="Calibri" w:cs="Calibri"/>
          <w:szCs w:val="24"/>
          <w:vertAlign w:val="superscript"/>
        </w:rPr>
        <w:t>6</w:t>
      </w:r>
      <w:r>
        <w:rPr>
          <w:rFonts w:ascii="Calibri" w:hAnsi="Calibri" w:cs="Calibri"/>
        </w:rPr>
        <w:fldChar w:fldCharType="end"/>
      </w:r>
      <w:r>
        <w:rPr>
          <w:rFonts w:ascii="Calibri" w:hAnsi="Calibri" w:cs="Calibri"/>
        </w:rPr>
        <w:t xml:space="preserve"> investigated microbial reads from TCGA whole-genome sequencing and RNA-sequencing to identify microbial signatures and discriminate </w:t>
      </w:r>
      <w:r w:rsidR="001A492D">
        <w:rPr>
          <w:rFonts w:ascii="Calibri" w:hAnsi="Calibri" w:cs="Calibri"/>
        </w:rPr>
        <w:t xml:space="preserve">within and across </w:t>
      </w:r>
      <w:r>
        <w:rPr>
          <w:rFonts w:ascii="Calibri" w:hAnsi="Calibri" w:cs="Calibri"/>
        </w:rPr>
        <w:t xml:space="preserve">cancers. </w:t>
      </w:r>
      <w:r w:rsidR="00D4541F">
        <w:rPr>
          <w:rFonts w:ascii="Calibri" w:hAnsi="Calibri" w:cs="Calibri"/>
        </w:rPr>
        <w:t>Using a prediction model, the authors achieved a good performance discriminating between early and late stage cancer for certain cancers, such as COAD and STAD, but not for discriminating intermediates stages. Thus, the microbial structure might not correlate with cancer stages for all types of cancers</w:t>
      </w:r>
      <w:r w:rsidR="00370AF1">
        <w:rPr>
          <w:rFonts w:ascii="Calibri" w:hAnsi="Calibri" w:cs="Calibri"/>
        </w:rPr>
        <w:t xml:space="preserve">.  The lack of performance might be due to microbial heterogeneity. The authors also achieve good performance in tumor versus normal prediction for COAD, HNSC and STAD. </w:t>
      </w:r>
    </w:p>
    <w:p w14:paraId="2513059A" w14:textId="33F34B6F" w:rsidR="00CC5943" w:rsidRDefault="00CC5943" w:rsidP="00F0583A">
      <w:pPr>
        <w:rPr>
          <w:lang w:val="en-GB"/>
        </w:rPr>
      </w:pPr>
      <w:proofErr w:type="spellStart"/>
      <w:r>
        <w:rPr>
          <w:rFonts w:ascii="Calibri" w:hAnsi="Calibri" w:cs="Calibri"/>
        </w:rPr>
        <w:t>Hermida</w:t>
      </w:r>
      <w:proofErr w:type="spellEnd"/>
      <w:r>
        <w:rPr>
          <w:rFonts w:ascii="Calibri" w:hAnsi="Calibri" w:cs="Calibri"/>
        </w:rPr>
        <w:t xml:space="preserve"> et al. </w:t>
      </w:r>
      <w:r>
        <w:rPr>
          <w:rFonts w:ascii="Calibri" w:hAnsi="Calibri" w:cs="Calibri"/>
        </w:rPr>
        <w:fldChar w:fldCharType="begin"/>
      </w:r>
      <w:r w:rsidR="00C46FCC">
        <w:rPr>
          <w:rFonts w:ascii="Calibri" w:hAnsi="Calibri" w:cs="Calibri"/>
        </w:rPr>
        <w:instrText xml:space="preserve"> ADDIN ZOTERO_ITEM CSL_CITATION {"citationID":"YLH5v9Kj","properties":{"formattedCitation":"\\super 41\\nosupersub{}","plainCitation":"41","noteIndex":0},"citationItems":[{"id":234,"uris":["http://zotero.org/users/local/0zqklVfX/items/G6GBB8GE"],"itemData":{"id":234,"type":"article-journal","abstract":"Tumor gene expression is predictive of patient prognosis in some cancers. However, RNA-seq and whole genome sequencing data contain not only reads from host tumor and normal tissue, but also reads from the tumor microbiome, which can be used to infer the microbial abundances in each tumor. Here, we show that tumor microbial abundances, alone or in combination with tumor gene expression, can predict cancer prognosis and drug response to some extent—microbial abundances are significantly less predictive of prognosis than gene expression, although similarly as predictive of drug response, but in mostly different cancer-drug combinations. Thus, it appears possible to leverage existing sequencing technology, or develop new protocols, to obtain more non-redundant information about prognosis and drug response from RNA-seq and whole genome sequencing experiments than could be obtained from tumor gene expression or genomic data alone.","container-title":"Nature Communications","DOI":"10.1038/s41467-022-30512-3","ISSN":"2041-1723","issue":"1","journalAbbreviation":"Nat Commun","language":"en","license":"2022 This is a U.S. government work and not under copyright protection in the U.S.; foreign copyright protection may apply","note":"number: 1\npublisher: Nature Publishing Group","page":"2896","source":"www.nature.com","title":"Predicting cancer prognosis and drug response from the tumor microbiome","volume":"13","author":[{"family":"Hermida","given":"Leandro C."},{"family":"Gertz","given":"E. Michael"},{"family":"Ruppin","given":"Eytan"}],"issued":{"date-parts":[["2022",5,24]]}}}],"schema":"https://github.com/citation-style-language/schema/raw/master/csl-citation.json"} </w:instrText>
      </w:r>
      <w:r>
        <w:rPr>
          <w:rFonts w:ascii="Calibri" w:hAnsi="Calibri" w:cs="Calibri"/>
        </w:rPr>
        <w:fldChar w:fldCharType="separate"/>
      </w:r>
      <w:r w:rsidR="00C46FCC" w:rsidRPr="00C46FCC">
        <w:rPr>
          <w:rFonts w:ascii="Calibri" w:hAnsi="Calibri" w:cs="Calibri"/>
          <w:szCs w:val="24"/>
          <w:vertAlign w:val="superscript"/>
        </w:rPr>
        <w:t>41</w:t>
      </w:r>
      <w:r>
        <w:rPr>
          <w:rFonts w:ascii="Calibri" w:hAnsi="Calibri" w:cs="Calibri"/>
        </w:rPr>
        <w:fldChar w:fldCharType="end"/>
      </w:r>
      <w:r w:rsidR="008F07C2">
        <w:rPr>
          <w:rFonts w:ascii="Calibri" w:hAnsi="Calibri" w:cs="Calibri"/>
        </w:rPr>
        <w:t xml:space="preserve"> build a prediction model combining gene expression and microbial abundance data. It was found that gene expression data was a much more powerful predictor than microbial abundance data and that integrating the two modalities offered little to no improvement </w:t>
      </w:r>
      <w:r w:rsidR="008F07C2">
        <w:rPr>
          <w:lang w:val="en-GB"/>
        </w:rPr>
        <w:t xml:space="preserve">when predicting drug response and patient prognosis. </w:t>
      </w:r>
    </w:p>
    <w:p w14:paraId="2DF3D76C" w14:textId="56365E9B" w:rsidR="00C70411" w:rsidRDefault="00C70411" w:rsidP="00F0583A">
      <w:r>
        <w:t xml:space="preserve">In terms of feature selection, penalized regression methods might not properly capture grouping of information </w:t>
      </w:r>
      <w:r w:rsidR="00B22080">
        <w:fldChar w:fldCharType="begin"/>
      </w:r>
      <w:r w:rsidR="00DD56C8">
        <w:instrText xml:space="preserve"> ADDIN ZOTERO_ITEM CSL_CITATION {"citationID":"Z9THiKbO","properties":{"formattedCitation":"\\super 27\\nosupersub{}","plainCitation":"27","noteIndex":0},"citationItems":[{"id":249,"uris":["http://zotero.org/users/local/0zqklVfX/items/XGL9MGUX"],"itemData":{"id":249,"type":"article-journal","abstract":"With the emergence of single-cell RNA sequencing (scRNA-seq) technology, scientists are able to examine gene expression at single-cell resolution. Analysis of scRNA-seq data has its own challenges, which stem from its high dimensionality. The method of machine learning comes with the potential of gene (feature) selection from the high-dimensional scRNA-seq data. Even though there exist multiple machine learning methods that appear to be suitable for feature selection, such as penalized regression, there is no rigorous comparison of their performances across data sets, where each poses its own challenges. Therefore, in this paper, we analyzed and compared multiple penalized regression methods for scRNA-seq data. Given the scRNA-seq data sets we analyzed, the results show that sparse group lasso (SGL) outperforms the other six methods (ridge, lasso, elastic net, drop lasso, group lasso, and big lasso) using the metrics area under the receiver operating curve (AUC) and computation time. Building on these findings, we proposed a new algorithm for feature selection using penalized regression methods. The proposed algorithm works by selecting a small subset of genes and applying SGL to select the differentially expressed genes in scRNA-seq data. By using hierarchical clustering to group genes, the proposed method bypasses the need for domain-specific knowledge for gene grouping information. In addition, the proposed algorithm provided consistently better AUC for the data sets used.","container-title":"Biology","DOI":"10.3390/biology11101495","ISSN":"2079-7737","issue":"10","journalAbbreviation":"Biology (Basel)","language":"eng","note":"PMID: 36290397\nPMCID: PMC9598401","page":"1495","source":"PubMed","title":"A Novel Algorithm for Feature Selection Using Penalized Regression with Applications to Single-Cell RNA Sequencing Data","volume":"11","author":[{"family":"Sen Puliparambil","given":"Bhavithry"},{"family":"Tomal","given":"Jabed H."},{"family":"Yan","given":"Yan"}],"issued":{"date-parts":[["2022",10,12]]}}}],"schema":"https://github.com/citation-style-language/schema/raw/master/csl-citation.json"} </w:instrText>
      </w:r>
      <w:r w:rsidR="00B22080">
        <w:fldChar w:fldCharType="separate"/>
      </w:r>
      <w:r w:rsidR="00DD56C8" w:rsidRPr="00DD56C8">
        <w:rPr>
          <w:rFonts w:ascii="Calibri" w:hAnsi="Calibri" w:cs="Calibri"/>
          <w:szCs w:val="24"/>
          <w:vertAlign w:val="superscript"/>
        </w:rPr>
        <w:t>27</w:t>
      </w:r>
      <w:r w:rsidR="00B22080">
        <w:fldChar w:fldCharType="end"/>
      </w:r>
      <w:r w:rsidR="00B22080">
        <w:t>.</w:t>
      </w:r>
    </w:p>
    <w:p w14:paraId="480954C4" w14:textId="2905BE05" w:rsidR="0024311D" w:rsidRDefault="0024311D" w:rsidP="00F0583A">
      <w:r>
        <w:lastRenderedPageBreak/>
        <w:t>However, the CGA and specifically this TCM a data has been used already in the past</w:t>
      </w:r>
    </w:p>
    <w:p w14:paraId="6FB8B054" w14:textId="09903E65" w:rsidR="00782B0E" w:rsidRDefault="00782B0E" w:rsidP="00782B0E">
      <w:pPr>
        <w:pStyle w:val="Heading1"/>
        <w:rPr>
          <w:lang w:val="en-GB"/>
        </w:rPr>
      </w:pPr>
      <w:r>
        <w:rPr>
          <w:lang w:val="en-GB"/>
        </w:rPr>
        <w:t>Conclusion</w:t>
      </w:r>
    </w:p>
    <w:p w14:paraId="11076B5E" w14:textId="729EE94F" w:rsidR="00F16DF2" w:rsidRDefault="00F16DF2" w:rsidP="00F16DF2">
      <w:pPr>
        <w:rPr>
          <w:lang w:val="en-GB"/>
        </w:rPr>
      </w:pPr>
      <w:r>
        <w:rPr>
          <w:lang w:val="en-GB"/>
        </w:rPr>
        <w:t xml:space="preserve">In conclusion, it appears that integrating genus and </w:t>
      </w:r>
      <w:proofErr w:type="spellStart"/>
      <w:r>
        <w:rPr>
          <w:lang w:val="en-GB"/>
        </w:rPr>
        <w:t>ge</w:t>
      </w:r>
      <w:proofErr w:type="spellEnd"/>
      <w:r>
        <w:rPr>
          <w:lang w:val="en-GB"/>
        </w:rPr>
        <w:t xml:space="preserve"> data does not help improve prediction performance. It is clear that the human microbiome has an effect on cancer aetiology, however, the prediction performance of just </w:t>
      </w:r>
      <w:proofErr w:type="spellStart"/>
      <w:r>
        <w:rPr>
          <w:lang w:val="en-GB"/>
        </w:rPr>
        <w:t>ge</w:t>
      </w:r>
      <w:proofErr w:type="spellEnd"/>
      <w:r>
        <w:rPr>
          <w:lang w:val="en-GB"/>
        </w:rPr>
        <w:t xml:space="preserve"> alone might be enough to capture the underlying patterns relevant for cancer diagnostics. This is similar to the redundancy of other omics types in human cancer diagnostics using multi-</w:t>
      </w:r>
      <w:proofErr w:type="spellStart"/>
      <w:r>
        <w:rPr>
          <w:lang w:val="en-GB"/>
        </w:rPr>
        <w:t>omic</w:t>
      </w:r>
      <w:proofErr w:type="spellEnd"/>
      <w:r>
        <w:rPr>
          <w:lang w:val="en-GB"/>
        </w:rPr>
        <w:t xml:space="preserve"> data.</w:t>
      </w:r>
      <w:r w:rsidR="0099673B">
        <w:rPr>
          <w:lang w:val="en-GB"/>
        </w:rPr>
        <w:t xml:space="preserve">, </w:t>
      </w:r>
    </w:p>
    <w:p w14:paraId="07E38F68" w14:textId="7D7F3139" w:rsidR="00F16DF2" w:rsidRDefault="00F16DF2" w:rsidP="00F16DF2">
      <w:pPr>
        <w:rPr>
          <w:lang w:val="en-GB"/>
        </w:rPr>
      </w:pPr>
      <w:r>
        <w:rPr>
          <w:lang w:val="en-GB"/>
        </w:rPr>
        <w:t>One problem might also be the data set. Future work could explore different data sets, such as the human microbiome project 2.</w:t>
      </w:r>
    </w:p>
    <w:p w14:paraId="13905A63" w14:textId="5E0702E7" w:rsidR="00D97D8E" w:rsidRDefault="00D97D8E" w:rsidP="00D97D8E">
      <w:pPr>
        <w:pStyle w:val="Heading1"/>
        <w:rPr>
          <w:lang w:val="en-GB"/>
        </w:rPr>
      </w:pPr>
      <w:r>
        <w:rPr>
          <w:lang w:val="en-GB"/>
        </w:rPr>
        <w:t>Future works</w:t>
      </w:r>
    </w:p>
    <w:p w14:paraId="4E07447D" w14:textId="19DF620D" w:rsidR="005B1BC4" w:rsidRPr="005B1BC4" w:rsidRDefault="005B1BC4" w:rsidP="005B1BC4">
      <w:pPr>
        <w:rPr>
          <w:lang w:val="en-GB"/>
        </w:rPr>
      </w:pPr>
      <w:r>
        <w:rPr>
          <w:lang w:val="en-GB"/>
        </w:rPr>
        <w:t>It could be worth exploring other modalities as well besides only gene expression.</w:t>
      </w:r>
      <w:r w:rsidR="00B22080">
        <w:rPr>
          <w:lang w:val="en-GB"/>
        </w:rPr>
        <w:t xml:space="preserve"> Why didn’t you use AUC?</w:t>
      </w:r>
      <w:r w:rsidR="004B2B0B">
        <w:rPr>
          <w:lang w:val="en-GB"/>
        </w:rPr>
        <w:t xml:space="preserve"> Does it make sense to use f1 score for </w:t>
      </w:r>
      <w:proofErr w:type="spellStart"/>
      <w:r w:rsidR="004B2B0B">
        <w:rPr>
          <w:lang w:val="en-GB"/>
        </w:rPr>
        <w:t>tumor</w:t>
      </w:r>
      <w:proofErr w:type="spellEnd"/>
      <w:r w:rsidR="004B2B0B">
        <w:rPr>
          <w:lang w:val="en-GB"/>
        </w:rPr>
        <w:t xml:space="preserve"> prediction?</w:t>
      </w:r>
      <w:r w:rsidR="0083597B">
        <w:rPr>
          <w:lang w:val="en-GB"/>
        </w:rPr>
        <w:t xml:space="preserve"> What about balanced accuracy for hyper parameter tuning?</w:t>
      </w:r>
      <w:r w:rsidR="004308CE">
        <w:rPr>
          <w:lang w:val="en-GB"/>
        </w:rPr>
        <w:t xml:space="preserve"> What about nonlinear feature selection?</w:t>
      </w:r>
      <w:r w:rsidR="000D591C">
        <w:rPr>
          <w:lang w:val="en-GB"/>
        </w:rPr>
        <w:t xml:space="preserve"> Try to discretize stage data into advanced and initial </w:t>
      </w:r>
      <w:proofErr w:type="spellStart"/>
      <w:r w:rsidR="000D591C">
        <w:rPr>
          <w:lang w:val="en-GB"/>
        </w:rPr>
        <w:t>tumor</w:t>
      </w:r>
      <w:proofErr w:type="spellEnd"/>
      <w:r w:rsidR="000D591C">
        <w:rPr>
          <w:lang w:val="en-GB"/>
        </w:rPr>
        <w:t xml:space="preserve"> stage</w:t>
      </w:r>
    </w:p>
    <w:p w14:paraId="4CE48A93" w14:textId="668CA64D" w:rsidR="00F16DF2" w:rsidRDefault="00F16DF2" w:rsidP="00F16DF2">
      <w:pPr>
        <w:pStyle w:val="Heading1"/>
        <w:rPr>
          <w:lang w:val="en-GB"/>
        </w:rPr>
      </w:pPr>
      <w:r>
        <w:rPr>
          <w:lang w:val="en-GB"/>
        </w:rPr>
        <w:t>Acknowledgments</w:t>
      </w:r>
    </w:p>
    <w:p w14:paraId="3CD4D255" w14:textId="421F4A6D" w:rsidR="00F16DF2" w:rsidRDefault="004308CE" w:rsidP="00F16DF2">
      <w:pPr>
        <w:rPr>
          <w:lang w:val="en-GB"/>
        </w:rPr>
      </w:pPr>
      <w:r>
        <w:rPr>
          <w:noProof/>
          <w:lang w:val="en-GB"/>
        </w:rPr>
        <w:drawing>
          <wp:anchor distT="0" distB="0" distL="114300" distR="114300" simplePos="0" relativeHeight="251670016" behindDoc="0" locked="0" layoutInCell="1" allowOverlap="1" wp14:anchorId="58C8534A" wp14:editId="346DBC99">
            <wp:simplePos x="0" y="0"/>
            <wp:positionH relativeFrom="margin">
              <wp:posOffset>4899660</wp:posOffset>
            </wp:positionH>
            <wp:positionV relativeFrom="margin">
              <wp:posOffset>3241887</wp:posOffset>
            </wp:positionV>
            <wp:extent cx="882650" cy="2078355"/>
            <wp:effectExtent l="0" t="0" r="0" b="0"/>
            <wp:wrapSquare wrapText="bothSides"/>
            <wp:docPr id="15" name="Picture 15" descr="Businessman counting tw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Businessman counting two"/>
                    <pic:cNvPicPr/>
                  </pic:nvPicPr>
                  <pic:blipFill>
                    <a:blip r:embed="rId20" cstate="print">
                      <a:extLst>
                        <a:ext uri="{28A0092B-C50C-407E-A947-70E740481C1C}">
                          <a14:useLocalDpi xmlns:a14="http://schemas.microsoft.com/office/drawing/2010/main" val="0"/>
                        </a:ext>
                      </a:extLst>
                    </a:blip>
                    <a:stretch>
                      <a:fillRect/>
                    </a:stretch>
                  </pic:blipFill>
                  <pic:spPr>
                    <a:xfrm>
                      <a:off x="0" y="0"/>
                      <a:ext cx="882650" cy="2078355"/>
                    </a:xfrm>
                    <a:prstGeom prst="rect">
                      <a:avLst/>
                    </a:prstGeom>
                  </pic:spPr>
                </pic:pic>
              </a:graphicData>
            </a:graphic>
          </wp:anchor>
        </w:drawing>
      </w:r>
      <w:r w:rsidR="0024360D">
        <w:rPr>
          <w:lang w:val="en-GB"/>
        </w:rPr>
        <w:t xml:space="preserve">I would like to thank my supervisor Prof. </w:t>
      </w:r>
      <w:r w:rsidR="00F16DF2">
        <w:rPr>
          <w:lang w:val="en-GB"/>
        </w:rPr>
        <w:t xml:space="preserve">Thomas </w:t>
      </w:r>
      <w:r w:rsidR="00013F94">
        <w:rPr>
          <w:noProof/>
          <w:lang w:val="en-GB"/>
        </w:rPr>
        <w:drawing>
          <wp:inline distT="0" distB="0" distL="0" distR="0" wp14:anchorId="311A3246" wp14:editId="1CD73BA7">
            <wp:extent cx="304800" cy="314325"/>
            <wp:effectExtent l="0" t="0" r="0" b="0"/>
            <wp:docPr id="14" name="Graphic 14" descr="A happy 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phic 14" descr="A happy face"/>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304800" cy="314325"/>
                    </a:xfrm>
                    <a:prstGeom prst="rect">
                      <a:avLst/>
                    </a:prstGeom>
                  </pic:spPr>
                </pic:pic>
              </a:graphicData>
            </a:graphic>
          </wp:inline>
        </w:drawing>
      </w:r>
      <w:r w:rsidR="00F16DF2">
        <w:rPr>
          <w:lang w:val="en-GB"/>
        </w:rPr>
        <w:t xml:space="preserve">and </w:t>
      </w:r>
      <w:r w:rsidR="0024360D">
        <w:rPr>
          <w:lang w:val="en-GB"/>
        </w:rPr>
        <w:t>daily supervisor</w:t>
      </w:r>
      <w:r w:rsidR="00F16DF2">
        <w:rPr>
          <w:lang w:val="en-GB"/>
        </w:rPr>
        <w:t xml:space="preserve"> Aakash</w:t>
      </w:r>
      <w:r w:rsidR="00013F94">
        <w:rPr>
          <w:lang w:val="en-GB"/>
        </w:rPr>
        <w:t xml:space="preserve"> </w:t>
      </w:r>
      <w:r w:rsidR="0024360D">
        <w:rPr>
          <w:lang w:val="en-GB"/>
        </w:rPr>
        <w:t>for always being there to supervise me and give me advice. While it was not always easy, I learned a lot.</w:t>
      </w:r>
    </w:p>
    <w:p w14:paraId="5075D9E9" w14:textId="4AA54A46" w:rsidR="0024360D" w:rsidRDefault="0024360D" w:rsidP="00F16DF2">
      <w:pPr>
        <w:rPr>
          <w:lang w:val="en-GB"/>
        </w:rPr>
      </w:pPr>
    </w:p>
    <w:p w14:paraId="274AFA55" w14:textId="59FC0B6E" w:rsidR="0024360D" w:rsidRDefault="0024360D" w:rsidP="00F16DF2">
      <w:pPr>
        <w:rPr>
          <w:lang w:val="en-GB"/>
        </w:rPr>
      </w:pPr>
    </w:p>
    <w:p w14:paraId="79BB086E" w14:textId="1FA1F6DF" w:rsidR="0024360D" w:rsidRDefault="0024360D" w:rsidP="00F16DF2">
      <w:pPr>
        <w:rPr>
          <w:lang w:val="en-GB"/>
        </w:rPr>
      </w:pPr>
    </w:p>
    <w:p w14:paraId="6BA9C582" w14:textId="2650DC2C" w:rsidR="0024360D" w:rsidRPr="00F16DF2" w:rsidRDefault="0024360D" w:rsidP="00F16DF2">
      <w:pPr>
        <w:rPr>
          <w:lang w:val="en-GB"/>
        </w:rPr>
      </w:pPr>
    </w:p>
    <w:p w14:paraId="75A1FD9B" w14:textId="3991504D" w:rsidR="003B7442" w:rsidRDefault="003B7442" w:rsidP="00F16DF2">
      <w:pPr>
        <w:pStyle w:val="Heading1"/>
        <w:rPr>
          <w:lang w:val="en-GB"/>
        </w:rPr>
      </w:pPr>
      <w:r>
        <w:rPr>
          <w:lang w:val="en-GB"/>
        </w:rPr>
        <w:t>Appendix</w:t>
      </w:r>
    </w:p>
    <w:p w14:paraId="5946A988" w14:textId="2E06AF63" w:rsidR="003B7442" w:rsidRDefault="003B7442" w:rsidP="003B7442">
      <w:pPr>
        <w:pStyle w:val="Heading2"/>
        <w:rPr>
          <w:lang w:val="en-GB"/>
        </w:rPr>
      </w:pPr>
      <w:r>
        <w:rPr>
          <w:lang w:val="en-GB"/>
        </w:rPr>
        <w:t>Data Exploration</w:t>
      </w:r>
    </w:p>
    <w:p w14:paraId="43F120AB" w14:textId="77777777" w:rsidR="002300CC" w:rsidRPr="008E44A0" w:rsidRDefault="002300CC" w:rsidP="002300CC">
      <w:pPr>
        <w:pStyle w:val="Heading2"/>
        <w:rPr>
          <w:lang w:val="en-GB"/>
        </w:rPr>
      </w:pPr>
      <w:r>
        <w:rPr>
          <w:lang w:val="en-GB"/>
        </w:rPr>
        <w:t>There is little qualitative difference in performance with holo-</w:t>
      </w:r>
      <w:proofErr w:type="spellStart"/>
      <w:r>
        <w:rPr>
          <w:lang w:val="en-GB"/>
        </w:rPr>
        <w:t>omic</w:t>
      </w:r>
      <w:proofErr w:type="spellEnd"/>
      <w:r>
        <w:rPr>
          <w:lang w:val="en-GB"/>
        </w:rPr>
        <w:t xml:space="preserve"> approach</w:t>
      </w:r>
    </w:p>
    <w:p w14:paraId="147F0762" w14:textId="77777777" w:rsidR="002300CC" w:rsidRDefault="002300CC" w:rsidP="002300CC">
      <w:pPr>
        <w:rPr>
          <w:lang w:val="en-GB"/>
        </w:rPr>
      </w:pPr>
      <w:r>
        <w:rPr>
          <w:lang w:val="en-GB"/>
        </w:rPr>
        <w:t xml:space="preserve">We performed a preliminary exploration of the available data sets in order to examine whether a holistic view could have benefits for cancer diagnostics. To this end, we used numerous dimensionality reduction techniques in order to examine the separation between classes for multiple diagnostic endpoints as an indicator of the possible predictive value of integrating omics and microbial data. The diagnostic endpoints were </w:t>
      </w:r>
      <w:proofErr w:type="spellStart"/>
      <w:r>
        <w:rPr>
          <w:lang w:val="en-GB"/>
        </w:rPr>
        <w:t>tumor</w:t>
      </w:r>
      <w:proofErr w:type="spellEnd"/>
      <w:r>
        <w:rPr>
          <w:lang w:val="en-GB"/>
        </w:rPr>
        <w:t xml:space="preserve"> versus normal prediction, and </w:t>
      </w:r>
      <w:proofErr w:type="spellStart"/>
      <w:r>
        <w:rPr>
          <w:lang w:val="en-GB"/>
        </w:rPr>
        <w:t>tumor</w:t>
      </w:r>
      <w:proofErr w:type="spellEnd"/>
      <w:r>
        <w:rPr>
          <w:lang w:val="en-GB"/>
        </w:rPr>
        <w:t xml:space="preserve"> stage prediction. We investigated the class separation using the PCA and t-SNE dimensionality reduction techniques.</w:t>
      </w:r>
    </w:p>
    <w:p w14:paraId="684AE41C" w14:textId="2569DA1A" w:rsidR="002300CC" w:rsidRDefault="002300CC" w:rsidP="002300CC">
      <w:pPr>
        <w:rPr>
          <w:lang w:val="en-GB"/>
        </w:rPr>
      </w:pPr>
      <w:r>
        <w:rPr>
          <w:lang w:val="en-GB"/>
        </w:rPr>
        <w:t>For each dimensionality reduction technique and for all 4 cancers, we performed dimensionality reduction on the gene expression data set separately, the genus taxonomical abundance data, and then on the concatenation of these datasets. Additionally, this was done for increasing amounts of selected features, and when using all features. Feature selection was performed using the chi-square test and using all data.</w:t>
      </w:r>
    </w:p>
    <w:p w14:paraId="12E6D0A2" w14:textId="77777777" w:rsidR="005C59CC" w:rsidRDefault="005C59CC" w:rsidP="005C59CC">
      <w:pPr>
        <w:pStyle w:val="Heading4"/>
        <w:rPr>
          <w:lang w:val="en-GB"/>
        </w:rPr>
      </w:pPr>
      <w:r>
        <w:rPr>
          <w:lang w:val="en-GB"/>
        </w:rPr>
        <w:lastRenderedPageBreak/>
        <w:t>Feature selection robustness</w:t>
      </w:r>
    </w:p>
    <w:p w14:paraId="3BDE9784" w14:textId="77777777" w:rsidR="005C59CC" w:rsidRDefault="005C59CC" w:rsidP="005C59CC">
      <w:pPr>
        <w:rPr>
          <w:lang w:val="en-GB"/>
        </w:rPr>
      </w:pPr>
      <w:r>
        <w:rPr>
          <w:lang w:val="en-GB"/>
        </w:rPr>
        <w:t>Devise experiment to examine feature selection robustness across iterations. The features are relatively varied</w:t>
      </w:r>
    </w:p>
    <w:p w14:paraId="68E0CB5E" w14:textId="75CB03C5" w:rsidR="005C59CC" w:rsidRPr="008E44A0" w:rsidRDefault="005C59CC" w:rsidP="002300CC">
      <w:pPr>
        <w:rPr>
          <w:lang w:val="en-GB"/>
        </w:rPr>
      </w:pPr>
      <w:r>
        <w:rPr>
          <w:lang w:val="en-GB"/>
        </w:rPr>
        <w:t>[picture here preferably of linear regression selection and stomach cancer in stage]a</w:t>
      </w:r>
    </w:p>
    <w:p w14:paraId="1C1DF824" w14:textId="77777777" w:rsidR="002300CC" w:rsidRDefault="002300CC" w:rsidP="002300CC">
      <w:pPr>
        <w:pStyle w:val="Heading3"/>
        <w:rPr>
          <w:lang w:val="en-GB"/>
        </w:rPr>
      </w:pPr>
      <w:proofErr w:type="spellStart"/>
      <w:r>
        <w:rPr>
          <w:lang w:val="en-GB"/>
        </w:rPr>
        <w:t>Tumor</w:t>
      </w:r>
      <w:proofErr w:type="spellEnd"/>
      <w:r>
        <w:rPr>
          <w:lang w:val="en-GB"/>
        </w:rPr>
        <w:t xml:space="preserve"> PCA does not show additional class separation</w:t>
      </w:r>
    </w:p>
    <w:p w14:paraId="44C53B1E" w14:textId="1CF10169" w:rsidR="002300CC" w:rsidRDefault="002300CC" w:rsidP="002300CC">
      <w:pPr>
        <w:rPr>
          <w:lang w:val="en-GB"/>
        </w:rPr>
      </w:pPr>
      <w:r>
        <w:rPr>
          <w:lang w:val="en-GB"/>
        </w:rPr>
        <w:t xml:space="preserve">The PCA for the </w:t>
      </w:r>
      <w:proofErr w:type="spellStart"/>
      <w:r>
        <w:rPr>
          <w:lang w:val="en-GB"/>
        </w:rPr>
        <w:t>tumor</w:t>
      </w:r>
      <w:proofErr w:type="spellEnd"/>
      <w:r>
        <w:rPr>
          <w:lang w:val="en-GB"/>
        </w:rPr>
        <w:t xml:space="preserve"> classification endpoint shows that there is no meaningful additional separation between the classes when integrating genus taxonomic data with gene expression versus using only gene expression data (</w:t>
      </w:r>
      <w:r>
        <w:rPr>
          <w:lang w:val="en-GB"/>
        </w:rPr>
        <w:fldChar w:fldCharType="begin"/>
      </w:r>
      <w:r>
        <w:rPr>
          <w:lang w:val="en-GB"/>
        </w:rPr>
        <w:instrText xml:space="preserve"> REF _Ref121920412 \h </w:instrText>
      </w:r>
      <w:r>
        <w:rPr>
          <w:lang w:val="en-GB"/>
        </w:rPr>
      </w:r>
      <w:r>
        <w:rPr>
          <w:lang w:val="en-GB"/>
        </w:rPr>
        <w:fldChar w:fldCharType="separate"/>
      </w:r>
      <w:r w:rsidR="00BD1C61">
        <w:t xml:space="preserve">Figure </w:t>
      </w:r>
      <w:r w:rsidR="00BD1C61">
        <w:rPr>
          <w:noProof/>
        </w:rPr>
        <w:t>12</w:t>
      </w:r>
      <w:r>
        <w:rPr>
          <w:lang w:val="en-GB"/>
        </w:rPr>
        <w:fldChar w:fldCharType="end"/>
      </w:r>
      <w:r>
        <w:rPr>
          <w:lang w:val="en-GB"/>
        </w:rPr>
        <w:t>). Additionally, the genus layer does not seem to provide much by itself separating power. This is possibly because the microbial information is not directly related to the phenotype and thus does not provide enough explaining power by itself.</w:t>
      </w:r>
    </w:p>
    <w:p w14:paraId="5D79D705" w14:textId="77777777" w:rsidR="002300CC" w:rsidRDefault="002300CC" w:rsidP="002300CC">
      <w:pPr>
        <w:keepNext/>
      </w:pPr>
      <w:r w:rsidRPr="00AD7BCD">
        <w:rPr>
          <w:noProof/>
          <w:lang w:val="en-GB"/>
        </w:rPr>
        <w:drawing>
          <wp:inline distT="0" distB="0" distL="0" distR="0" wp14:anchorId="571523E5" wp14:editId="610EEA6C">
            <wp:extent cx="3768090" cy="1256030"/>
            <wp:effectExtent l="0" t="0" r="0" b="0"/>
            <wp:docPr id="8"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768090" cy="1256030"/>
                    </a:xfrm>
                    <a:prstGeom prst="rect">
                      <a:avLst/>
                    </a:prstGeom>
                  </pic:spPr>
                </pic:pic>
              </a:graphicData>
            </a:graphic>
          </wp:inline>
        </w:drawing>
      </w:r>
    </w:p>
    <w:p w14:paraId="263AD4F4" w14:textId="4078C218" w:rsidR="002300CC" w:rsidRPr="006B2F31" w:rsidRDefault="002300CC" w:rsidP="002300CC">
      <w:pPr>
        <w:pStyle w:val="Caption"/>
      </w:pPr>
      <w:bookmarkStart w:id="13" w:name="_Ref121920412"/>
      <w:r>
        <w:t xml:space="preserve">Figure </w:t>
      </w:r>
      <w:fldSimple w:instr=" SEQ Figure \* ARABIC ">
        <w:r w:rsidR="00BD1C61">
          <w:rPr>
            <w:noProof/>
          </w:rPr>
          <w:t>12</w:t>
        </w:r>
      </w:fldSimple>
      <w:bookmarkEnd w:id="13"/>
      <w:r>
        <w:t xml:space="preserve">: PCA of STAD (stomach adenocarcinoma) for all modalities when there is no feature selection. The first graph contains the PCA for the genus abundance data (GENUS), the second graph for the gene expression data (GE) and the third graph for the concatenated genus + gene expression features (GE </w:t>
      </w:r>
      <w:r w:rsidRPr="004D301D">
        <w:t>∩</w:t>
      </w:r>
      <w:r>
        <w:t xml:space="preserve"> GENUS). The horizontal axis displays the first principal component, while the vertical axis displays the second principal component of the PCA. Finally, samples </w:t>
      </w:r>
      <w:r w:rsidRPr="004D301D">
        <w:t>in re</w:t>
      </w:r>
      <w:r>
        <w:t>d denote tumor samples while those in blue denote normal samples.</w:t>
      </w:r>
    </w:p>
    <w:p w14:paraId="3A084AF7" w14:textId="77777777" w:rsidR="002300CC" w:rsidRDefault="002300CC" w:rsidP="002300CC">
      <w:pPr>
        <w:rPr>
          <w:lang w:val="en-GB"/>
        </w:rPr>
      </w:pPr>
      <w:r>
        <w:rPr>
          <w:lang w:val="en-GB"/>
        </w:rPr>
        <w:t xml:space="preserve">This result is consistent across cancer types (i.e. for COAD, ESCA and HNSC). The results for these additional cancer types can be found in the appendix. </w:t>
      </w:r>
    </w:p>
    <w:p w14:paraId="6B30B3A7" w14:textId="77777777" w:rsidR="002300CC" w:rsidRDefault="002300CC" w:rsidP="002300CC">
      <w:pPr>
        <w:pStyle w:val="Heading3"/>
        <w:rPr>
          <w:lang w:val="en-GB"/>
        </w:rPr>
      </w:pPr>
      <w:r>
        <w:rPr>
          <w:lang w:val="en-GB"/>
        </w:rPr>
        <w:t>Results are consistent across feature selection amounts</w:t>
      </w:r>
    </w:p>
    <w:p w14:paraId="46690A46" w14:textId="77777777" w:rsidR="002300CC" w:rsidRDefault="002300CC" w:rsidP="002300CC">
      <w:pPr>
        <w:rPr>
          <w:lang w:val="en-GB"/>
        </w:rPr>
      </w:pPr>
      <w:r>
        <w:rPr>
          <w:lang w:val="en-GB"/>
        </w:rPr>
        <w:t>For PCA, performing feature selection leads to increased separation.</w:t>
      </w:r>
    </w:p>
    <w:p w14:paraId="46BBFBF7" w14:textId="77777777" w:rsidR="002300CC" w:rsidRPr="00AD7BCD" w:rsidRDefault="002300CC" w:rsidP="002300CC">
      <w:pPr>
        <w:rPr>
          <w:lang w:val="en-GB"/>
        </w:rPr>
      </w:pPr>
      <w:r>
        <w:rPr>
          <w:lang w:val="en-GB"/>
        </w:rPr>
        <w:t xml:space="preserve">For </w:t>
      </w:r>
      <w:proofErr w:type="spellStart"/>
      <w:r>
        <w:rPr>
          <w:lang w:val="en-GB"/>
        </w:rPr>
        <w:t>tumor</w:t>
      </w:r>
      <w:proofErr w:type="spellEnd"/>
      <w:r>
        <w:rPr>
          <w:lang w:val="en-GB"/>
        </w:rPr>
        <w:t xml:space="preserve"> versus normal prediction, features (0,5,10) exhibit about the same </w:t>
      </w:r>
      <w:proofErr w:type="spellStart"/>
      <w:r>
        <w:rPr>
          <w:lang w:val="en-GB"/>
        </w:rPr>
        <w:t>behavior</w:t>
      </w:r>
      <w:proofErr w:type="spellEnd"/>
      <w:r>
        <w:rPr>
          <w:lang w:val="en-GB"/>
        </w:rPr>
        <w:t xml:space="preserve">. GE tends to for show much better separation than genus, and </w:t>
      </w:r>
      <w:proofErr w:type="spellStart"/>
      <w:r>
        <w:rPr>
          <w:lang w:val="en-GB"/>
        </w:rPr>
        <w:t>GE+Genus</w:t>
      </w:r>
      <w:proofErr w:type="spellEnd"/>
      <w:r>
        <w:rPr>
          <w:lang w:val="en-GB"/>
        </w:rPr>
        <w:t xml:space="preserve"> is almost exactly the same as just GE, possibly because GE has much more features, and when features are selected, the selected features are probably GE features.</w:t>
      </w:r>
    </w:p>
    <w:p w14:paraId="34BE1915" w14:textId="77777777" w:rsidR="002300CC" w:rsidRDefault="002300CC" w:rsidP="002300CC">
      <w:pPr>
        <w:pStyle w:val="Heading3"/>
        <w:rPr>
          <w:lang w:val="en-GB"/>
        </w:rPr>
      </w:pPr>
      <w:r w:rsidRPr="00BD7FE5">
        <w:rPr>
          <w:lang w:val="en-GB"/>
        </w:rPr>
        <w:t xml:space="preserve">Using different </w:t>
      </w:r>
      <w:r>
        <w:rPr>
          <w:lang w:val="en-GB"/>
        </w:rPr>
        <w:t xml:space="preserve">dimensionality </w:t>
      </w:r>
      <w:r w:rsidRPr="00BD7FE5">
        <w:rPr>
          <w:lang w:val="en-GB"/>
        </w:rPr>
        <w:t xml:space="preserve">reduction techniques </w:t>
      </w:r>
      <w:r>
        <w:rPr>
          <w:lang w:val="en-GB"/>
        </w:rPr>
        <w:t>does not offer additional separation</w:t>
      </w:r>
    </w:p>
    <w:p w14:paraId="7BD5191C" w14:textId="77777777" w:rsidR="002300CC" w:rsidRPr="00BD7FE5" w:rsidRDefault="002300CC" w:rsidP="002300CC">
      <w:pPr>
        <w:rPr>
          <w:lang w:val="en-GB"/>
        </w:rPr>
      </w:pPr>
      <w:r>
        <w:rPr>
          <w:lang w:val="en-GB"/>
        </w:rPr>
        <w:t>To determine whether the lack of separation of the holo-</w:t>
      </w:r>
      <w:proofErr w:type="spellStart"/>
      <w:r>
        <w:rPr>
          <w:lang w:val="en-GB"/>
        </w:rPr>
        <w:t>omic</w:t>
      </w:r>
      <w:proofErr w:type="spellEnd"/>
      <w:r>
        <w:rPr>
          <w:lang w:val="en-GB"/>
        </w:rPr>
        <w:t xml:space="preserve"> approach was due to the dimensionality reduction method chosen, </w:t>
      </w:r>
      <w:r>
        <w:t>we repeated the above experiment using t-SNE.</w:t>
      </w:r>
    </w:p>
    <w:p w14:paraId="39314940" w14:textId="77777777" w:rsidR="002300CC" w:rsidRPr="00F46461" w:rsidRDefault="002300CC" w:rsidP="002300CC">
      <w:pPr>
        <w:keepNext/>
        <w:rPr>
          <w:lang w:val="nl-NL"/>
        </w:rPr>
      </w:pPr>
      <w:r w:rsidRPr="00AD7BCD">
        <w:rPr>
          <w:noProof/>
          <w:lang w:val="en-GB"/>
        </w:rPr>
        <w:drawing>
          <wp:inline distT="0" distB="0" distL="0" distR="0" wp14:anchorId="14441019" wp14:editId="122A40EA">
            <wp:extent cx="3747135" cy="1249045"/>
            <wp:effectExtent l="0" t="0" r="0" b="0"/>
            <wp:docPr id="9" name="Picture 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scatter 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747135" cy="1249045"/>
                    </a:xfrm>
                    <a:prstGeom prst="rect">
                      <a:avLst/>
                    </a:prstGeom>
                  </pic:spPr>
                </pic:pic>
              </a:graphicData>
            </a:graphic>
          </wp:inline>
        </w:drawing>
      </w:r>
    </w:p>
    <w:p w14:paraId="32D3DC51" w14:textId="0DD4E9C4" w:rsidR="002300CC" w:rsidRDefault="002300CC" w:rsidP="002300CC">
      <w:pPr>
        <w:pStyle w:val="Caption"/>
      </w:pPr>
      <w:bookmarkStart w:id="14" w:name="_Ref121920839"/>
      <w:r>
        <w:t xml:space="preserve">Figure </w:t>
      </w:r>
      <w:fldSimple w:instr=" SEQ Figure \* ARABIC ">
        <w:r w:rsidR="00BD1C61">
          <w:rPr>
            <w:noProof/>
          </w:rPr>
          <w:t>13</w:t>
        </w:r>
      </w:fldSimple>
      <w:bookmarkEnd w:id="14"/>
      <w:r>
        <w:t xml:space="preserve">: t-SNE of STAD (stomach adenocarcinoma) for all modalities when there is no feature selection. The first graph contains the PCA for the genus abundance data (GENUS), the second graph for the gene expression data (GE) and the third graph for the concatenated genus + gene expression features (GE </w:t>
      </w:r>
      <w:r w:rsidRPr="004D301D">
        <w:t>∩</w:t>
      </w:r>
      <w:r>
        <w:t xml:space="preserve"> GENUS). The horizontal axis displays the first t-SNE </w:t>
      </w:r>
      <w:r>
        <w:lastRenderedPageBreak/>
        <w:t xml:space="preserve">component, while the vertical axis displays the second t-SNE component. Finally, samples </w:t>
      </w:r>
      <w:r w:rsidRPr="004D301D">
        <w:t>in re</w:t>
      </w:r>
      <w:r>
        <w:t>d denote tumor samples while those in blue denote normal samples.</w:t>
      </w:r>
    </w:p>
    <w:p w14:paraId="04B7CE85" w14:textId="401791CB" w:rsidR="002300CC" w:rsidRPr="00AD7BCD" w:rsidRDefault="002300CC" w:rsidP="002300CC">
      <w:pPr>
        <w:rPr>
          <w:lang w:val="en-GB"/>
        </w:rPr>
      </w:pPr>
      <w:r>
        <w:rPr>
          <w:lang w:val="en-GB"/>
        </w:rPr>
        <w:t>With t-SNE, using the overlapping gene expression with genus data again provides a nearly identical amount of separation as when only using gene expression data (</w:t>
      </w:r>
      <w:r>
        <w:rPr>
          <w:lang w:val="en-GB"/>
        </w:rPr>
        <w:fldChar w:fldCharType="begin"/>
      </w:r>
      <w:r>
        <w:rPr>
          <w:lang w:val="en-GB"/>
        </w:rPr>
        <w:instrText xml:space="preserve"> REF _Ref121920839 \h </w:instrText>
      </w:r>
      <w:r>
        <w:rPr>
          <w:lang w:val="en-GB"/>
        </w:rPr>
      </w:r>
      <w:r>
        <w:rPr>
          <w:lang w:val="en-GB"/>
        </w:rPr>
        <w:fldChar w:fldCharType="separate"/>
      </w:r>
      <w:r w:rsidR="00BD1C61">
        <w:t xml:space="preserve">Figure </w:t>
      </w:r>
      <w:r w:rsidR="00BD1C61">
        <w:rPr>
          <w:noProof/>
        </w:rPr>
        <w:t>13</w:t>
      </w:r>
      <w:r>
        <w:rPr>
          <w:lang w:val="en-GB"/>
        </w:rPr>
        <w:fldChar w:fldCharType="end"/>
      </w:r>
      <w:r>
        <w:rPr>
          <w:lang w:val="en-GB"/>
        </w:rPr>
        <w:t xml:space="preserve">). Similar to PCA, using only the genus modality provides the worst separation between classes . </w:t>
      </w:r>
    </w:p>
    <w:p w14:paraId="1A7A758C" w14:textId="77777777" w:rsidR="002300CC" w:rsidRDefault="002300CC" w:rsidP="002300CC">
      <w:pPr>
        <w:pStyle w:val="Heading3"/>
        <w:rPr>
          <w:lang w:val="en-GB"/>
        </w:rPr>
      </w:pPr>
      <w:r>
        <w:rPr>
          <w:lang w:val="en-GB"/>
        </w:rPr>
        <w:t>There is unclear class separation for the stage class</w:t>
      </w:r>
    </w:p>
    <w:p w14:paraId="66FC3C4C" w14:textId="77777777" w:rsidR="002300CC" w:rsidRPr="001E56AF" w:rsidRDefault="002300CC" w:rsidP="002300CC">
      <w:pPr>
        <w:rPr>
          <w:lang w:val="en-GB"/>
        </w:rPr>
      </w:pPr>
    </w:p>
    <w:p w14:paraId="75A2118A" w14:textId="4572C950" w:rsidR="002300CC" w:rsidRPr="006B2F31" w:rsidRDefault="002300CC" w:rsidP="002300CC">
      <w:pPr>
        <w:rPr>
          <w:lang w:val="en-GB"/>
        </w:rPr>
      </w:pPr>
      <w:r>
        <w:rPr>
          <w:lang w:val="en-GB"/>
        </w:rPr>
        <w:t xml:space="preserve">In order to determine whether the above results were due to the classification endpoint chosen, we repeated the results using a different endpoint, the </w:t>
      </w:r>
      <w:proofErr w:type="spellStart"/>
      <w:r>
        <w:rPr>
          <w:lang w:val="en-GB"/>
        </w:rPr>
        <w:t>tumor</w:t>
      </w:r>
      <w:proofErr w:type="spellEnd"/>
      <w:r>
        <w:rPr>
          <w:lang w:val="en-GB"/>
        </w:rPr>
        <w:t xml:space="preserve"> stage. For the stage class endpoint, there is not much separation to be seen across any of the modalities (</w:t>
      </w:r>
      <w:r>
        <w:rPr>
          <w:lang w:val="en-GB"/>
        </w:rPr>
        <w:fldChar w:fldCharType="begin"/>
      </w:r>
      <w:r>
        <w:rPr>
          <w:lang w:val="en-GB"/>
        </w:rPr>
        <w:instrText xml:space="preserve"> REF _Ref121921085 \h </w:instrText>
      </w:r>
      <w:r>
        <w:rPr>
          <w:lang w:val="en-GB"/>
        </w:rPr>
      </w:r>
      <w:r>
        <w:rPr>
          <w:lang w:val="en-GB"/>
        </w:rPr>
        <w:fldChar w:fldCharType="separate"/>
      </w:r>
      <w:r w:rsidR="00BD1C61">
        <w:t xml:space="preserve">Figure </w:t>
      </w:r>
      <w:r w:rsidR="00BD1C61">
        <w:rPr>
          <w:noProof/>
        </w:rPr>
        <w:t>14</w:t>
      </w:r>
      <w:r>
        <w:rPr>
          <w:lang w:val="en-GB"/>
        </w:rPr>
        <w:fldChar w:fldCharType="end"/>
      </w:r>
      <w:r>
        <w:rPr>
          <w:lang w:val="en-GB"/>
        </w:rPr>
        <w:t xml:space="preserve">). This is likely because of the class imbalance. </w:t>
      </w:r>
    </w:p>
    <w:p w14:paraId="6587C47B" w14:textId="77777777" w:rsidR="002300CC" w:rsidRDefault="002300CC" w:rsidP="002300CC">
      <w:pPr>
        <w:keepNext/>
      </w:pPr>
      <w:r w:rsidRPr="006B2F31">
        <w:rPr>
          <w:noProof/>
          <w:lang w:val="en-GB"/>
        </w:rPr>
        <w:drawing>
          <wp:inline distT="0" distB="0" distL="0" distR="0" wp14:anchorId="7A08FC77" wp14:editId="45CA488E">
            <wp:extent cx="3781425" cy="1260475"/>
            <wp:effectExtent l="0" t="0" r="0" b="0"/>
            <wp:docPr id="10" name="Picture 1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scatter 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781425" cy="1260475"/>
                    </a:xfrm>
                    <a:prstGeom prst="rect">
                      <a:avLst/>
                    </a:prstGeom>
                  </pic:spPr>
                </pic:pic>
              </a:graphicData>
            </a:graphic>
          </wp:inline>
        </w:drawing>
      </w:r>
    </w:p>
    <w:p w14:paraId="24898B83" w14:textId="120341A8" w:rsidR="002300CC" w:rsidRDefault="002300CC" w:rsidP="002300CC">
      <w:pPr>
        <w:pStyle w:val="Caption"/>
      </w:pPr>
      <w:bookmarkStart w:id="15" w:name="_Ref121921085"/>
      <w:r>
        <w:t xml:space="preserve">Figure </w:t>
      </w:r>
      <w:fldSimple w:instr=" SEQ Figure \* ARABIC ">
        <w:r w:rsidR="00BD1C61">
          <w:rPr>
            <w:noProof/>
          </w:rPr>
          <w:t>14</w:t>
        </w:r>
      </w:fldSimple>
      <w:bookmarkEnd w:id="15"/>
      <w:r>
        <w:t xml:space="preserve">: PCA of STAD (stomach adenocarcinoma) for all modalities when there is no feature selection. The first graph contains the PCA for the genus abundance data (GENUS), the second graph for the gene expression data (GE) and the third graph for the concatenated genus + gene expression features (GE </w:t>
      </w:r>
      <w:r w:rsidRPr="004D301D">
        <w:t>∩</w:t>
      </w:r>
      <w:r>
        <w:t xml:space="preserve"> GENUS). The horizontal axis displays the first principal component, while the vertical axis displays the second principal component of the PCA. Finally, the different colored points represent the cancer stage of the different samples, with stage one being a normal non-tumor sample.</w:t>
      </w:r>
    </w:p>
    <w:p w14:paraId="4BB9D87C" w14:textId="77777777" w:rsidR="002300CC" w:rsidRPr="00805F9D" w:rsidRDefault="002300CC" w:rsidP="002300CC">
      <w:r w:rsidRPr="00805F9D">
        <w:rPr>
          <w:lang w:val="en-GB"/>
        </w:rPr>
        <w:t>Again, there is not much difference between the GE and the overlapped set. These results are similar when using t-SNE.</w:t>
      </w:r>
    </w:p>
    <w:p w14:paraId="33B2FA38" w14:textId="77777777" w:rsidR="002300CC" w:rsidRDefault="002300CC" w:rsidP="002300CC">
      <w:pPr>
        <w:pStyle w:val="Heading3"/>
        <w:rPr>
          <w:lang w:val="en-GB"/>
        </w:rPr>
      </w:pPr>
      <w:r>
        <w:rPr>
          <w:lang w:val="en-GB"/>
        </w:rPr>
        <w:t>Exploring the modalities balance of integrated features</w:t>
      </w:r>
    </w:p>
    <w:p w14:paraId="75010A32" w14:textId="49031308" w:rsidR="002300CC" w:rsidRPr="002300CC" w:rsidRDefault="002300CC" w:rsidP="002300CC">
      <w:pPr>
        <w:rPr>
          <w:lang w:val="en-GB"/>
        </w:rPr>
      </w:pPr>
      <w:r>
        <w:rPr>
          <w:lang w:val="en-GB"/>
        </w:rPr>
        <w:t>One problem with the above is that the integration occurs via simple concatenation, and if the feature selection process simply selects features from only one data set, then the integration performance will approximate that of the individual data set.</w:t>
      </w:r>
    </w:p>
    <w:p w14:paraId="1EBEB86A" w14:textId="36052657" w:rsidR="00AB203A" w:rsidRDefault="00AB203A" w:rsidP="00AB203A">
      <w:pPr>
        <w:pStyle w:val="Heading2"/>
        <w:rPr>
          <w:lang w:val="en-GB"/>
        </w:rPr>
      </w:pPr>
      <w:r>
        <w:rPr>
          <w:lang w:val="en-GB"/>
        </w:rPr>
        <w:t>Predictive performance</w:t>
      </w:r>
    </w:p>
    <w:p w14:paraId="7E9CB08B" w14:textId="4F31FB91" w:rsidR="00625602" w:rsidRDefault="00625602" w:rsidP="00625602">
      <w:pPr>
        <w:rPr>
          <w:lang w:val="en-GB"/>
        </w:rPr>
      </w:pPr>
      <w:r>
        <w:rPr>
          <w:lang w:val="en-GB"/>
        </w:rPr>
        <w:t>This section contains experiments for all cancers.</w:t>
      </w:r>
    </w:p>
    <w:p w14:paraId="4B8CD9B1" w14:textId="7F0A1D66" w:rsidR="00625602" w:rsidRDefault="00625602" w:rsidP="00625602">
      <w:pPr>
        <w:pStyle w:val="Heading3"/>
        <w:rPr>
          <w:lang w:val="en-GB"/>
        </w:rPr>
      </w:pPr>
      <w:proofErr w:type="spellStart"/>
      <w:r>
        <w:rPr>
          <w:lang w:val="en-GB"/>
        </w:rPr>
        <w:t>Tumor</w:t>
      </w:r>
      <w:proofErr w:type="spellEnd"/>
      <w:r>
        <w:rPr>
          <w:lang w:val="en-GB"/>
        </w:rPr>
        <w:t xml:space="preserve"> prediction for all cancers</w:t>
      </w:r>
    </w:p>
    <w:p w14:paraId="674CE950" w14:textId="4BDD8749" w:rsidR="00625602" w:rsidRPr="00A96526" w:rsidRDefault="00625602" w:rsidP="00625602">
      <w:pPr>
        <w:rPr>
          <w:lang w:val="en-GB"/>
        </w:rPr>
      </w:pPr>
      <w:r>
        <w:rPr>
          <w:lang w:val="en-GB"/>
        </w:rPr>
        <w:t xml:space="preserve">These are the performances for </w:t>
      </w:r>
      <w:proofErr w:type="spellStart"/>
      <w:r>
        <w:rPr>
          <w:lang w:val="en-GB"/>
        </w:rPr>
        <w:t>tumor</w:t>
      </w:r>
      <w:proofErr w:type="spellEnd"/>
      <w:r>
        <w:rPr>
          <w:lang w:val="en-GB"/>
        </w:rPr>
        <w:t xml:space="preserve"> prediction using SVC and chi-squared for all the cancers.</w:t>
      </w:r>
      <w:r w:rsidR="009A2C47">
        <w:rPr>
          <w:lang w:val="en-GB"/>
        </w:rPr>
        <w:t xml:space="preserve"> [give stat significance table]</w:t>
      </w:r>
    </w:p>
    <w:p w14:paraId="58C92857" w14:textId="4D16306F" w:rsidR="00625602" w:rsidRDefault="00625602" w:rsidP="00625602">
      <w:r w:rsidRPr="008D7032">
        <w:drawing>
          <wp:inline distT="0" distB="0" distL="0" distR="0" wp14:anchorId="50DFE790" wp14:editId="335ED321">
            <wp:extent cx="5269653" cy="133932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6">
                      <a:extLst>
                        <a:ext uri="{28A0092B-C50C-407E-A947-70E740481C1C}">
                          <a14:useLocalDpi xmlns:a14="http://schemas.microsoft.com/office/drawing/2010/main" val="0"/>
                        </a:ext>
                      </a:extLst>
                    </a:blip>
                    <a:stretch>
                      <a:fillRect/>
                    </a:stretch>
                  </pic:blipFill>
                  <pic:spPr>
                    <a:xfrm>
                      <a:off x="0" y="0"/>
                      <a:ext cx="5269653" cy="1339324"/>
                    </a:xfrm>
                    <a:prstGeom prst="rect">
                      <a:avLst/>
                    </a:prstGeom>
                  </pic:spPr>
                </pic:pic>
              </a:graphicData>
            </a:graphic>
          </wp:inline>
        </w:drawing>
      </w:r>
    </w:p>
    <w:p w14:paraId="53E51166" w14:textId="22A7F438" w:rsidR="00625602" w:rsidRDefault="00625602" w:rsidP="00625602">
      <w:pPr>
        <w:pStyle w:val="Caption"/>
      </w:pPr>
      <w:r>
        <w:t xml:space="preserve">Figure </w:t>
      </w:r>
      <w:fldSimple w:instr=" SEQ Figure \* ARABIC ">
        <w:r w:rsidR="00BD1C61">
          <w:rPr>
            <w:noProof/>
          </w:rPr>
          <w:t>15</w:t>
        </w:r>
      </w:fldSimple>
      <w:r>
        <w:t xml:space="preserve">: f1-score for the tumor versus normal prediction endpoint for COAD (colon adenocarcinoma), ESCA (esophageal carcinoma), HNSC (head and neck squamous carcinoma) and STAD (stomach adenocarcinoma), respectively. Each graph </w:t>
      </w:r>
      <w:r>
        <w:lastRenderedPageBreak/>
        <w:t xml:space="preserve">contains the f1-score for each modality (i.e. genus abundance data (GENUS), gene expression data (GE) and the concatenated genus + gene expression features (GE </w:t>
      </w:r>
      <w:r w:rsidRPr="004D301D">
        <w:t>∩</w:t>
      </w:r>
      <w:r>
        <w:t xml:space="preserve"> GENUS)). The endpoints of each horizontal line segment indicate the average f1-score across every random sample iteration, while the vertical line segments indicates the standard deviation of the f1-score across these iterations.</w:t>
      </w:r>
    </w:p>
    <w:p w14:paraId="5F78C8C2" w14:textId="733FBF3F" w:rsidR="00840FC7" w:rsidRDefault="00840FC7" w:rsidP="00625602">
      <w:pPr>
        <w:pStyle w:val="Heading3"/>
      </w:pPr>
      <w:r>
        <w:t>Stage prediction for all cancers</w:t>
      </w:r>
    </w:p>
    <w:p w14:paraId="6F98CC98" w14:textId="7CF45930" w:rsidR="00840FC7" w:rsidRDefault="00840FC7" w:rsidP="00840FC7">
      <w:r>
        <w:t>These are the performances for stage prediction for all cancers</w:t>
      </w:r>
    </w:p>
    <w:p w14:paraId="7F383BF0" w14:textId="3CE3C1EC" w:rsidR="0080063F" w:rsidRDefault="00B775F2" w:rsidP="0080063F">
      <w:pPr>
        <w:keepNext/>
      </w:pPr>
      <w:r>
        <w:rPr>
          <w:noProof/>
        </w:rPr>
        <w:t>for</w:t>
      </w:r>
      <w:r w:rsidR="00840FC7">
        <w:rPr>
          <w:noProof/>
        </w:rPr>
        <w:drawing>
          <wp:inline distT="0" distB="0" distL="0" distR="0" wp14:anchorId="3522B7BA" wp14:editId="585B2D3F">
            <wp:extent cx="5665634" cy="145129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7">
                      <a:extLst>
                        <a:ext uri="{28A0092B-C50C-407E-A947-70E740481C1C}">
                          <a14:useLocalDpi xmlns:a14="http://schemas.microsoft.com/office/drawing/2010/main" val="0"/>
                        </a:ext>
                      </a:extLst>
                    </a:blip>
                    <a:stretch>
                      <a:fillRect/>
                    </a:stretch>
                  </pic:blipFill>
                  <pic:spPr>
                    <a:xfrm>
                      <a:off x="0" y="0"/>
                      <a:ext cx="5665634" cy="1451297"/>
                    </a:xfrm>
                    <a:prstGeom prst="rect">
                      <a:avLst/>
                    </a:prstGeom>
                  </pic:spPr>
                </pic:pic>
              </a:graphicData>
            </a:graphic>
          </wp:inline>
        </w:drawing>
      </w:r>
    </w:p>
    <w:p w14:paraId="450E8CEF" w14:textId="15650483" w:rsidR="00840FC7" w:rsidRDefault="0080063F" w:rsidP="0080063F">
      <w:pPr>
        <w:pStyle w:val="Caption"/>
      </w:pPr>
      <w:r>
        <w:t xml:space="preserve">Figure </w:t>
      </w:r>
      <w:fldSimple w:instr=" SEQ Figure \* ARABIC ">
        <w:r w:rsidR="00BD1C61">
          <w:rPr>
            <w:noProof/>
          </w:rPr>
          <w:t>16</w:t>
        </w:r>
      </w:fldSimple>
      <w:r>
        <w:t xml:space="preserve">: f1-score for the stage prediction endpoint for COAD (colon adenocarcinoma), ESCA (esophageal carcinoma), HNSC (head and neck squamous carcinoma) and STAD (stomach adenocarcinoma), respectively. Each graph contains the f1-score for each modality (i.e. genus abundance data (GENUS), gene expression data (GE) and the concatenated genus + gene expression features (GE </w:t>
      </w:r>
      <w:r w:rsidRPr="004D301D">
        <w:t>∩</w:t>
      </w:r>
      <w:r>
        <w:t xml:space="preserve"> GENUS)). The endpoints of each horizontal line segment indicate the average f1-score across every random sample iteration, which in turn consists of the average f1-score for each stage class. The vertical line segments indicates the standard deviation of the f1-score across these iterations.</w:t>
      </w:r>
    </w:p>
    <w:p w14:paraId="2F61C36C" w14:textId="77777777" w:rsidR="0080063F" w:rsidRPr="00840FC7" w:rsidRDefault="0080063F" w:rsidP="00840FC7"/>
    <w:p w14:paraId="77860AF6" w14:textId="21A8B01B" w:rsidR="00625602" w:rsidRDefault="00625602" w:rsidP="00625602">
      <w:pPr>
        <w:pStyle w:val="Heading3"/>
      </w:pPr>
      <w:r>
        <w:t>Modality parity enforcement</w:t>
      </w:r>
    </w:p>
    <w:p w14:paraId="084518BF" w14:textId="39F49D4F" w:rsidR="00625602" w:rsidRDefault="00625602" w:rsidP="00625602">
      <w:r>
        <w:t>These are the results when using modality enforcement for all cancers.</w:t>
      </w:r>
    </w:p>
    <w:p w14:paraId="7843BF88" w14:textId="27EAC341" w:rsidR="008D7032" w:rsidRDefault="008D7032" w:rsidP="00625602"/>
    <w:p w14:paraId="1B0F5C16" w14:textId="53CB84AE" w:rsidR="00A96526" w:rsidRDefault="00A96526" w:rsidP="00625602"/>
    <w:p w14:paraId="6B15F483" w14:textId="77777777" w:rsidR="00625602" w:rsidRDefault="00625602" w:rsidP="00625602">
      <w:pPr>
        <w:keepNext/>
      </w:pPr>
      <w:r>
        <w:rPr>
          <w:noProof/>
          <w:lang w:val="en-GB"/>
        </w:rPr>
        <w:drawing>
          <wp:inline distT="0" distB="0" distL="0" distR="0" wp14:anchorId="17294DB8" wp14:editId="3E5A9446">
            <wp:extent cx="5269653" cy="133932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8">
                      <a:extLst>
                        <a:ext uri="{28A0092B-C50C-407E-A947-70E740481C1C}">
                          <a14:useLocalDpi xmlns:a14="http://schemas.microsoft.com/office/drawing/2010/main" val="0"/>
                        </a:ext>
                      </a:extLst>
                    </a:blip>
                    <a:stretch>
                      <a:fillRect/>
                    </a:stretch>
                  </pic:blipFill>
                  <pic:spPr>
                    <a:xfrm>
                      <a:off x="0" y="0"/>
                      <a:ext cx="5269653" cy="1339324"/>
                    </a:xfrm>
                    <a:prstGeom prst="rect">
                      <a:avLst/>
                    </a:prstGeom>
                  </pic:spPr>
                </pic:pic>
              </a:graphicData>
            </a:graphic>
          </wp:inline>
        </w:drawing>
      </w:r>
    </w:p>
    <w:p w14:paraId="79E5848A" w14:textId="0F85AF55" w:rsidR="00625602" w:rsidRPr="00625602" w:rsidRDefault="00625602" w:rsidP="00625602">
      <w:pPr>
        <w:pStyle w:val="Caption"/>
      </w:pPr>
      <w:r>
        <w:t xml:space="preserve">Figure </w:t>
      </w:r>
      <w:fldSimple w:instr=" SEQ Figure \* ARABIC ">
        <w:r w:rsidR="00BD1C61">
          <w:rPr>
            <w:noProof/>
          </w:rPr>
          <w:t>17</w:t>
        </w:r>
      </w:fldSimple>
      <w:r>
        <w:t xml:space="preserve">: </w:t>
      </w:r>
      <w:r w:rsidRPr="00E07EFA">
        <w:t>f1-score for the tumor versus normal prediction endpoint for COAD (colon adenocarcinoma), ESCA (esophageal carcinoma), HNSC (head and neck squamous carcinoma) and STAD (stomach adenocarcinoma), respectively. Each graph contains the f1-score for each modality (i.e. genus abundance data (GENUS), gene expression data (GE) and the concatenated genus + gene expression features (GE ∩ GENUS), and concatenated genus + gene expression features with enforced parity (GE ∩ GENUS (parity))). The endpoints of each horizontal line segment indicate the average f1-score across every random sample iteration, while the vertical line segments indicates the standard deviation of the f1-score across these iterations</w:t>
      </w:r>
      <w:r>
        <w:t xml:space="preserve">.  </w:t>
      </w:r>
    </w:p>
    <w:p w14:paraId="660A6F85" w14:textId="77777777" w:rsidR="006522F4" w:rsidRDefault="006522F4" w:rsidP="006522F4">
      <w:pPr>
        <w:keepNext/>
      </w:pPr>
      <w:r>
        <w:rPr>
          <w:noProof/>
          <w:lang w:val="en-GB"/>
        </w:rPr>
        <w:lastRenderedPageBreak/>
        <w:drawing>
          <wp:inline distT="0" distB="0" distL="0" distR="0" wp14:anchorId="46D0D12E" wp14:editId="53F5B930">
            <wp:extent cx="5731510" cy="2865755"/>
            <wp:effectExtent l="0" t="0" r="0" b="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14:paraId="396537C7" w14:textId="3497E057" w:rsidR="006522F4" w:rsidRDefault="006522F4" w:rsidP="006522F4">
      <w:pPr>
        <w:pStyle w:val="Caption"/>
      </w:pPr>
      <w:bookmarkStart w:id="16" w:name="_Ref121922778"/>
      <w:r>
        <w:t xml:space="preserve">Figure </w:t>
      </w:r>
      <w:fldSimple w:instr=" SEQ Figure \* ARABIC ">
        <w:r w:rsidR="00BD1C61">
          <w:rPr>
            <w:noProof/>
          </w:rPr>
          <w:t>18</w:t>
        </w:r>
      </w:fldSimple>
      <w:bookmarkEnd w:id="16"/>
      <w:r>
        <w:t xml:space="preserve">: the fraction of GE features (vertical axis) selected from the total amount of features for each feature amount (horizontal axis) when doing tumor versus normal prediction with the genus + gene expression modality (GE </w:t>
      </w:r>
      <w:r w:rsidRPr="004D301D">
        <w:t>∩</w:t>
      </w:r>
      <w:r>
        <w:t xml:space="preserve"> GENUS).  Each line displays the results for a different cancer, namely (COAD (colon adenocarcinoma), ESCA (esophageal carcinoma), HNSC (head and neck squamous carcinoma) and STAD (stomach adenocarcinoma). These results are for the </w:t>
      </w:r>
      <w:proofErr w:type="spellStart"/>
      <w:r>
        <w:t>linreg</w:t>
      </w:r>
      <w:proofErr w:type="spellEnd"/>
      <w:r>
        <w:t xml:space="preserve"> feature selection method.</w:t>
      </w:r>
    </w:p>
    <w:p w14:paraId="7B19ADCC" w14:textId="2AFFE940" w:rsidR="006522F4" w:rsidRDefault="006522F4" w:rsidP="006522F4">
      <w:r>
        <w:t>Furthermore, out of the 221 total GENUS features, less than 1% is selected in the feature selection process (</w:t>
      </w:r>
      <w:r>
        <w:fldChar w:fldCharType="begin"/>
      </w:r>
      <w:r>
        <w:instrText xml:space="preserve"> REF _Ref121922934 \h </w:instrText>
      </w:r>
      <w:r>
        <w:fldChar w:fldCharType="separate"/>
      </w:r>
      <w:r w:rsidR="00BD1C61">
        <w:t xml:space="preserve">Figure </w:t>
      </w:r>
      <w:r w:rsidR="00BD1C61">
        <w:rPr>
          <w:noProof/>
        </w:rPr>
        <w:t>19</w:t>
      </w:r>
      <w:r>
        <w:fldChar w:fldCharType="end"/>
      </w:r>
      <w:r>
        <w:t>).</w:t>
      </w:r>
    </w:p>
    <w:p w14:paraId="232D6984" w14:textId="77777777" w:rsidR="006522F4" w:rsidRDefault="006522F4" w:rsidP="006522F4">
      <w:pPr>
        <w:keepNext/>
      </w:pPr>
      <w:r>
        <w:rPr>
          <w:noProof/>
        </w:rPr>
        <w:drawing>
          <wp:inline distT="0" distB="0" distL="0" distR="0" wp14:anchorId="14CE3A5C" wp14:editId="46A19FAE">
            <wp:extent cx="5731510" cy="2865755"/>
            <wp:effectExtent l="0" t="0" r="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14:paraId="2035B0EA" w14:textId="2F8FDE39" w:rsidR="006522F4" w:rsidRDefault="006522F4" w:rsidP="006522F4">
      <w:pPr>
        <w:pStyle w:val="Caption"/>
      </w:pPr>
      <w:bookmarkStart w:id="17" w:name="_Ref121922934"/>
      <w:r>
        <w:t xml:space="preserve">Figure </w:t>
      </w:r>
      <w:fldSimple w:instr=" SEQ Figure \* ARABIC ">
        <w:r w:rsidR="00BD1C61">
          <w:rPr>
            <w:noProof/>
          </w:rPr>
          <w:t>19</w:t>
        </w:r>
      </w:fldSimple>
      <w:bookmarkEnd w:id="17"/>
      <w:r w:rsidRPr="005C6D67">
        <w:t xml:space="preserve">: </w:t>
      </w:r>
      <w:r>
        <w:t xml:space="preserve">the absolute amount of GENUS features (vertical axis) selected from the total amount of features for each feature amount (horizontal axis) when doing tumor versus normal prediction with the genus + gene expression modality (GE </w:t>
      </w:r>
      <w:r w:rsidRPr="004D301D">
        <w:t>∩</w:t>
      </w:r>
      <w:r>
        <w:t xml:space="preserve"> GENUS).  Each line displays the results for a different cancer, namely (COAD (colon adenocarcinoma), ESCA (esophageal carcinoma), HNSC (head and neck squamous carcinoma) and STAD (stomach adenocarcinoma). These results are for the </w:t>
      </w:r>
      <w:proofErr w:type="spellStart"/>
      <w:r>
        <w:t>linreg</w:t>
      </w:r>
      <w:proofErr w:type="spellEnd"/>
      <w:r>
        <w:t xml:space="preserve"> feature selection method.</w:t>
      </w:r>
    </w:p>
    <w:p w14:paraId="751C9EF1" w14:textId="77777777" w:rsidR="006522F4" w:rsidRPr="006522F4" w:rsidRDefault="006522F4" w:rsidP="006522F4">
      <w:pPr>
        <w:rPr>
          <w:lang w:val="en-GB"/>
        </w:rPr>
      </w:pPr>
    </w:p>
    <w:p w14:paraId="2C39D153" w14:textId="5331EF2F" w:rsidR="00AB203A" w:rsidRDefault="00AB203A" w:rsidP="00AB203A">
      <w:pPr>
        <w:pStyle w:val="Heading3"/>
        <w:rPr>
          <w:lang w:val="en-GB"/>
        </w:rPr>
      </w:pPr>
      <w:r>
        <w:rPr>
          <w:lang w:val="en-GB"/>
        </w:rPr>
        <w:lastRenderedPageBreak/>
        <w:t>Random Forest Regression</w:t>
      </w:r>
    </w:p>
    <w:p w14:paraId="3DB1CBFF" w14:textId="021CA161" w:rsidR="00AB203A" w:rsidRDefault="00AB203A" w:rsidP="00AB203A">
      <w:pPr>
        <w:rPr>
          <w:lang w:val="en-GB"/>
        </w:rPr>
      </w:pPr>
      <w:r>
        <w:rPr>
          <w:lang w:val="en-GB"/>
        </w:rPr>
        <w:t>We have also conducted the random Forest Regression Model with hyper parameter tuning for all the different cancers.</w:t>
      </w:r>
    </w:p>
    <w:p w14:paraId="1F67BBF7" w14:textId="2A255AC1" w:rsidR="00756993" w:rsidRDefault="00756993" w:rsidP="00756993">
      <w:pPr>
        <w:pStyle w:val="Heading3"/>
        <w:rPr>
          <w:lang w:val="en-GB"/>
        </w:rPr>
      </w:pPr>
      <w:r>
        <w:rPr>
          <w:lang w:val="en-GB"/>
        </w:rPr>
        <w:t>Complex integration with different models</w:t>
      </w:r>
    </w:p>
    <w:p w14:paraId="7617649E" w14:textId="726E3E65" w:rsidR="00756993" w:rsidRPr="00756993" w:rsidRDefault="00756993" w:rsidP="00756993">
      <w:pPr>
        <w:rPr>
          <w:lang w:val="en-GB"/>
        </w:rPr>
      </w:pPr>
      <w:r>
        <w:rPr>
          <w:lang w:val="en-GB"/>
        </w:rPr>
        <w:t>Complex integration with random Forest</w:t>
      </w:r>
    </w:p>
    <w:p w14:paraId="0527A0B9" w14:textId="77777777" w:rsidR="00FE7B96" w:rsidRPr="002E1F07" w:rsidRDefault="00FE7B96" w:rsidP="00FE7B96">
      <w:pPr>
        <w:pStyle w:val="Heading3"/>
        <w:rPr>
          <w:lang w:val="en-GB"/>
        </w:rPr>
      </w:pPr>
      <w:r w:rsidRPr="002E1F07">
        <w:rPr>
          <w:lang w:val="en-GB"/>
        </w:rPr>
        <w:t>Results independent of feature selection method</w:t>
      </w:r>
    </w:p>
    <w:p w14:paraId="5C4D7BE6" w14:textId="77777777" w:rsidR="00FE7B96" w:rsidRDefault="00FE7B96" w:rsidP="00FE7B96">
      <w:pPr>
        <w:rPr>
          <w:lang w:val="en-GB"/>
        </w:rPr>
      </w:pPr>
      <w:r>
        <w:rPr>
          <w:lang w:val="en-GB"/>
        </w:rPr>
        <w:t>To investigate whether the lower performance was due to the feature selection method, we attempted the experiments while using the chi2 test as well.</w:t>
      </w:r>
    </w:p>
    <w:p w14:paraId="23970438" w14:textId="77777777" w:rsidR="00FE7B96" w:rsidRDefault="00FE7B96" w:rsidP="00FE7B96">
      <w:pPr>
        <w:keepNext/>
      </w:pPr>
      <w:r>
        <w:rPr>
          <w:noProof/>
          <w:lang w:val="en-GB"/>
        </w:rPr>
        <w:drawing>
          <wp:inline distT="0" distB="0" distL="0" distR="0" wp14:anchorId="78EF2C0C" wp14:editId="0A79B29C">
            <wp:extent cx="5731510" cy="1339215"/>
            <wp:effectExtent l="0" t="0" r="0" b="0"/>
            <wp:docPr id="22" name="Picture 2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ox and whisker char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1339215"/>
                    </a:xfrm>
                    <a:prstGeom prst="rect">
                      <a:avLst/>
                    </a:prstGeom>
                  </pic:spPr>
                </pic:pic>
              </a:graphicData>
            </a:graphic>
          </wp:inline>
        </w:drawing>
      </w:r>
    </w:p>
    <w:p w14:paraId="73898DC4" w14:textId="6B67393F" w:rsidR="00FE7B96" w:rsidRDefault="00FE7B96" w:rsidP="00FE7B96">
      <w:pPr>
        <w:pStyle w:val="Caption"/>
        <w:rPr>
          <w:lang w:val="en-GB"/>
        </w:rPr>
      </w:pPr>
      <w:r>
        <w:t xml:space="preserve">Figure </w:t>
      </w:r>
      <w:fldSimple w:instr=" SEQ Figure \* ARABIC ">
        <w:r w:rsidR="00BD1C61">
          <w:rPr>
            <w:noProof/>
          </w:rPr>
          <w:t>20</w:t>
        </w:r>
      </w:fldSimple>
      <w:r>
        <w:t>: Same</w:t>
      </w:r>
    </w:p>
    <w:p w14:paraId="7F108598" w14:textId="77777777" w:rsidR="00FE7B96" w:rsidRDefault="00FE7B96" w:rsidP="00FE7B96">
      <w:pPr>
        <w:keepNext/>
      </w:pPr>
      <w:r>
        <w:rPr>
          <w:noProof/>
          <w:lang w:val="en-GB"/>
        </w:rPr>
        <w:drawing>
          <wp:inline distT="0" distB="0" distL="0" distR="0" wp14:anchorId="79C5D406" wp14:editId="3563E3B7">
            <wp:extent cx="5731510" cy="1339215"/>
            <wp:effectExtent l="0" t="0" r="0" b="0"/>
            <wp:docPr id="23" name="Picture 2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1339215"/>
                    </a:xfrm>
                    <a:prstGeom prst="rect">
                      <a:avLst/>
                    </a:prstGeom>
                  </pic:spPr>
                </pic:pic>
              </a:graphicData>
            </a:graphic>
          </wp:inline>
        </w:drawing>
      </w:r>
    </w:p>
    <w:p w14:paraId="7910660B" w14:textId="09341D08" w:rsidR="00FE7B96" w:rsidRPr="00FE7B96" w:rsidRDefault="00FE7B96" w:rsidP="00FE7B96">
      <w:pPr>
        <w:pStyle w:val="Caption"/>
        <w:rPr>
          <w:lang w:val="en-GB"/>
        </w:rPr>
      </w:pPr>
      <w:r>
        <w:t xml:space="preserve">Figure </w:t>
      </w:r>
      <w:fldSimple w:instr=" SEQ Figure \* ARABIC ">
        <w:r w:rsidR="00BD1C61">
          <w:rPr>
            <w:noProof/>
          </w:rPr>
          <w:t>21</w:t>
        </w:r>
      </w:fldSimple>
      <w:r>
        <w:t>: Cancer predictions for stage using chi2</w:t>
      </w:r>
    </w:p>
    <w:p w14:paraId="3232A4E1" w14:textId="77777777" w:rsidR="00384D67" w:rsidRPr="00C401CE" w:rsidRDefault="00384D67" w:rsidP="00384D67">
      <w:pPr>
        <w:rPr>
          <w:lang w:val="en-GB"/>
        </w:rPr>
      </w:pPr>
      <w:r>
        <w:rPr>
          <w:lang w:val="en-GB"/>
        </w:rPr>
        <w:t>The chi-square test is not model for dependency between features.</w:t>
      </w:r>
    </w:p>
    <w:p w14:paraId="5BEC2C2B" w14:textId="77777777" w:rsidR="00384D67" w:rsidRDefault="00384D67" w:rsidP="00384D67">
      <w:pPr>
        <w:pStyle w:val="Heading3"/>
      </w:pPr>
      <w:r>
        <w:t>GE modality dominance is smaller in stage prediction</w:t>
      </w:r>
    </w:p>
    <w:p w14:paraId="0E67650F" w14:textId="77777777" w:rsidR="00384D67" w:rsidRPr="00C401CE" w:rsidRDefault="00384D67" w:rsidP="00384D67">
      <w:pPr>
        <w:rPr>
          <w:lang w:val="en-GB"/>
        </w:rPr>
      </w:pPr>
      <w:r>
        <w:rPr>
          <w:lang w:val="en-GB"/>
        </w:rPr>
        <w:t xml:space="preserve">The dominance of the gene expression modality seems to be smaller for stage prediction, possibly because there is a wider variety of endpoint values and thus relationships between input and output to consider during the feature selection process. </w:t>
      </w:r>
    </w:p>
    <w:p w14:paraId="2F9CB875" w14:textId="77777777" w:rsidR="00384D67" w:rsidRDefault="00384D67" w:rsidP="00384D67">
      <w:pPr>
        <w:keepNext/>
      </w:pPr>
      <w:r>
        <w:rPr>
          <w:noProof/>
          <w:lang w:val="en-GB"/>
        </w:rPr>
        <w:lastRenderedPageBreak/>
        <w:drawing>
          <wp:inline distT="0" distB="0" distL="0" distR="0" wp14:anchorId="121EF1AA" wp14:editId="4829C1BA">
            <wp:extent cx="5731510" cy="2865755"/>
            <wp:effectExtent l="0" t="0" r="0" b="0"/>
            <wp:docPr id="31" name="Picture 3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line char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14:paraId="2A5D2956" w14:textId="350976E5" w:rsidR="00384D67" w:rsidRDefault="00384D67" w:rsidP="00384D67">
      <w:pPr>
        <w:pStyle w:val="Caption"/>
      </w:pPr>
      <w:r>
        <w:t xml:space="preserve">Figure </w:t>
      </w:r>
      <w:r>
        <w:fldChar w:fldCharType="begin"/>
      </w:r>
      <w:r>
        <w:instrText xml:space="preserve"> SEQ Figure \* ARABIC </w:instrText>
      </w:r>
      <w:r>
        <w:fldChar w:fldCharType="separate"/>
      </w:r>
      <w:r w:rsidR="00BD1C61">
        <w:rPr>
          <w:noProof/>
        </w:rPr>
        <w:t>22</w:t>
      </w:r>
      <w:r>
        <w:rPr>
          <w:noProof/>
        </w:rPr>
        <w:fldChar w:fldCharType="end"/>
      </w:r>
      <w:r>
        <w:t xml:space="preserve">: the fraction of GE features (vertical axis) selected from the total amount of features for each feature amount (horizontal axis) when doing stage prediction with the genus + gene expression modality (GE </w:t>
      </w:r>
      <w:r w:rsidRPr="004D301D">
        <w:t>∩</w:t>
      </w:r>
      <w:r>
        <w:t xml:space="preserve"> GENUS).  Each line displays the results for a different cancer, namely (COAD (colon adenocarcinoma), ESCA (esophageal carcinoma), HNSC (head and neck squamous carcinoma) and STAD (stomach adenocarcinoma). These results are for the </w:t>
      </w:r>
      <w:proofErr w:type="spellStart"/>
      <w:r>
        <w:t>linreg</w:t>
      </w:r>
      <w:proofErr w:type="spellEnd"/>
      <w:r>
        <w:t xml:space="preserve"> feature selection method.</w:t>
      </w:r>
    </w:p>
    <w:p w14:paraId="530790FF" w14:textId="77777777" w:rsidR="00384D67" w:rsidRDefault="00384D67" w:rsidP="00384D67">
      <w:pPr>
        <w:pStyle w:val="Caption"/>
      </w:pPr>
      <w:r>
        <w:rPr>
          <w:noProof/>
        </w:rPr>
        <w:drawing>
          <wp:inline distT="0" distB="0" distL="0" distR="0" wp14:anchorId="04F9D48A" wp14:editId="7F5B6F0C">
            <wp:extent cx="5731510" cy="2865755"/>
            <wp:effectExtent l="0" t="0" r="0" b="0"/>
            <wp:docPr id="32" name="Picture 3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line char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14:paraId="64526EC9" w14:textId="3DED270F" w:rsidR="00384D67" w:rsidRDefault="00384D67" w:rsidP="00384D67">
      <w:pPr>
        <w:pStyle w:val="Caption"/>
      </w:pPr>
      <w:r>
        <w:t xml:space="preserve">Figure </w:t>
      </w:r>
      <w:r>
        <w:fldChar w:fldCharType="begin"/>
      </w:r>
      <w:r>
        <w:instrText xml:space="preserve"> SEQ Figure \* ARABIC </w:instrText>
      </w:r>
      <w:r>
        <w:fldChar w:fldCharType="separate"/>
      </w:r>
      <w:r w:rsidR="00BD1C61">
        <w:rPr>
          <w:noProof/>
        </w:rPr>
        <w:t>23</w:t>
      </w:r>
      <w:r>
        <w:rPr>
          <w:noProof/>
        </w:rPr>
        <w:fldChar w:fldCharType="end"/>
      </w:r>
      <w:r>
        <w:t xml:space="preserve">: the absolute amount of GENUS features (vertical axis) selected from the total amount of features for each feature amount (horizontal axis) when doing stage prediction with the genus + gene expression modality (GE </w:t>
      </w:r>
      <w:r w:rsidRPr="004D301D">
        <w:t>∩</w:t>
      </w:r>
      <w:r>
        <w:t xml:space="preserve"> GENUS).  Each line displays the results for a different cancer, namely (COAD (colon adenocarcinoma), ESCA (esophageal carcinoma), HNSC (head and neck squamous carcinoma) and STAD (stomach adenocarcinoma). These results are for the </w:t>
      </w:r>
      <w:proofErr w:type="spellStart"/>
      <w:r>
        <w:t>linreg</w:t>
      </w:r>
      <w:proofErr w:type="spellEnd"/>
      <w:r>
        <w:t xml:space="preserve"> feature selection method.</w:t>
      </w:r>
    </w:p>
    <w:p w14:paraId="4971014A" w14:textId="77777777" w:rsidR="00384D67" w:rsidRDefault="00384D67" w:rsidP="00384D67">
      <w:pPr>
        <w:pStyle w:val="Caption"/>
        <w:rPr>
          <w:lang w:val="en-GB"/>
        </w:rPr>
      </w:pPr>
      <w:r>
        <w:rPr>
          <w:lang w:val="en-GB"/>
        </w:rPr>
        <w:t>One possible way to deal with this is to correct for the amount of base features in each modality. Additionally, it is possible to use feature selection on the original modalities separately prior to concatenating.</w:t>
      </w:r>
    </w:p>
    <w:p w14:paraId="0F4B5FC8" w14:textId="77777777" w:rsidR="00384D67" w:rsidRDefault="00384D67" w:rsidP="00384D67">
      <w:pPr>
        <w:rPr>
          <w:lang w:val="en-GB"/>
        </w:rPr>
      </w:pPr>
      <w:r>
        <w:rPr>
          <w:lang w:val="en-GB"/>
        </w:rPr>
        <w:t xml:space="preserve">When selecting features with </w:t>
      </w:r>
      <w:proofErr w:type="spellStart"/>
      <w:r>
        <w:rPr>
          <w:lang w:val="en-GB"/>
        </w:rPr>
        <w:t>linreg</w:t>
      </w:r>
      <w:proofErr w:type="spellEnd"/>
      <w:r>
        <w:rPr>
          <w:lang w:val="en-GB"/>
        </w:rPr>
        <w:t xml:space="preserve"> for HNSC for </w:t>
      </w:r>
      <w:proofErr w:type="spellStart"/>
      <w:r>
        <w:rPr>
          <w:lang w:val="en-GB"/>
        </w:rPr>
        <w:t>tumor</w:t>
      </w:r>
      <w:proofErr w:type="spellEnd"/>
      <w:r>
        <w:rPr>
          <w:lang w:val="en-GB"/>
        </w:rPr>
        <w:t xml:space="preserve"> versus normal prediction, one microbial genus which is consistently selected is </w:t>
      </w:r>
      <w:proofErr w:type="spellStart"/>
      <w:r>
        <w:rPr>
          <w:lang w:val="en-GB"/>
        </w:rPr>
        <w:t>Prevotella</w:t>
      </w:r>
      <w:proofErr w:type="spellEnd"/>
      <w:r>
        <w:rPr>
          <w:lang w:val="en-GB"/>
        </w:rPr>
        <w:t xml:space="preserve">. Across iterations, even when only 6 features are selected, this one is selected. </w:t>
      </w:r>
    </w:p>
    <w:p w14:paraId="59A644B6" w14:textId="77777777" w:rsidR="00384D67" w:rsidRDefault="00384D67" w:rsidP="00384D67">
      <w:pPr>
        <w:rPr>
          <w:lang w:val="en-GB"/>
        </w:rPr>
      </w:pPr>
      <w:r>
        <w:rPr>
          <w:lang w:val="en-GB"/>
        </w:rPr>
        <w:lastRenderedPageBreak/>
        <w:t xml:space="preserve">For </w:t>
      </w:r>
      <w:proofErr w:type="spellStart"/>
      <w:r>
        <w:rPr>
          <w:lang w:val="en-GB"/>
        </w:rPr>
        <w:t>linreg</w:t>
      </w:r>
      <w:proofErr w:type="spellEnd"/>
      <w:r>
        <w:rPr>
          <w:lang w:val="en-GB"/>
        </w:rPr>
        <w:t>/HNSC/Stage prediction, in certain iterations with 6 or 10 features selected, the microbial Genus which is consistently selected (when one is selected) is Fusobacterium.</w:t>
      </w:r>
    </w:p>
    <w:p w14:paraId="5AA6D7C7" w14:textId="7E70F0BA" w:rsidR="00384D67" w:rsidRDefault="00384D67" w:rsidP="00384D67">
      <w:pPr>
        <w:rPr>
          <w:lang w:val="en-GB"/>
        </w:rPr>
      </w:pPr>
      <w:r>
        <w:rPr>
          <w:lang w:val="en-GB"/>
        </w:rPr>
        <w:t xml:space="preserve">This is consistent with previous studies confirming the association between Fusobacterium and oral squamous cell carcinoma </w:t>
      </w:r>
      <w:r>
        <w:rPr>
          <w:lang w:val="en-GB"/>
        </w:rPr>
        <w:fldChar w:fldCharType="begin"/>
      </w:r>
      <w:r w:rsidR="00C46FCC">
        <w:rPr>
          <w:lang w:val="en-GB"/>
        </w:rPr>
        <w:instrText xml:space="preserve"> ADDIN ZOTERO_ITEM CSL_CITATION {"citationID":"rKk1gCGw","properties":{"formattedCitation":"\\super 42\\nosupersub{}","plainCitation":"42","noteIndex":0},"citationItems":[{"id":211,"uris":["http://zotero.org/users/local/0zqklVfX/items/5PI4WUJS"],"itemData":{"id":211,"type":"article-journal","abstract":"Studies on the possible association between bacteria and oral squamous cell carcinoma (OSCC) remain inconclusive, largely due to methodological variations/limitations. The objective of this study was to characterize the species composition as well as functional potential of the bacteriome associated with OSCC. DNA obtained from 20 fresh OSCC biopsies (cases) and 20 deep-epithelium swabs (matched control subjects) was sequenced for the V1-V3 region using Illumina’s 2 × 300 bp chemistry. High quality, non-chimeric merged reads were classified to species level using a prioritized BLASTN-algorithm. Downstream analyses were performed using QIIME, PICRUSt, and LEfSe. Fusobacterium nucleatum subsp. polymorphum was the most significantly overrepresented species in the tumors followed by Pseudomonas aeruginosa and Campylobacter sp. Oral taxon 44, while Streptococcus mitis, Rothia mucilaginosa and Haemophilus parainfluenzae were the most significantly abundant in the controls. Functional prediction showed that genes involved in bacterial mobility, flagellar assembly, bacterial chemotaxis and LPS synthesis were enriched in the tumors while those responsible for DNA repair and combination, purine metabolism, phenylalanine, tyrosine and tryptophan biosynthesis, ribosome biogenesis and glycolysis/gluconeogenesis were significantly associated with the controls. This is the first epidemiological evidence for association of F. nucleatum and P. aeruginosa with OSCC. Functionally, an “inflammatory bacteriome” is enriched in OSSC.","container-title":"Scientific Reports","DOI":"10.1038/s41598-017-02079-3","ISSN":"2045-2322","journalAbbreviation":"Sci Rep","note":"PMID: 28500338\nPMCID: PMC5431832","page":"1834","source":"PubMed Central","title":"Inflammatory bacteriome featuring Fusobacterium nucleatum and Pseudomonas aeruginosa identified in association with oral squamous cell carcinoma","volume":"7","author":[{"family":"Al-hebshi","given":"Nezar Noor"},{"family":"Nasher","given":"Akram Thabet"},{"family":"Maryoud","given":"Mohamed Yousef"},{"family":"Homeida","given":"Husham E."},{"family":"Chen","given":"Tsute"},{"family":"Idris","given":"Ali Mohamed"},{"family":"Johnson","given":"Newell W."}],"issued":{"date-parts":[["2017",5,12]]}}}],"schema":"https://github.com/citation-style-language/schema/raw/master/csl-citation.json"} </w:instrText>
      </w:r>
      <w:r>
        <w:rPr>
          <w:lang w:val="en-GB"/>
        </w:rPr>
        <w:fldChar w:fldCharType="separate"/>
      </w:r>
      <w:r w:rsidR="00C46FCC" w:rsidRPr="00C46FCC">
        <w:rPr>
          <w:rFonts w:ascii="Calibri" w:hAnsi="Calibri" w:cs="Calibri"/>
          <w:szCs w:val="24"/>
          <w:vertAlign w:val="superscript"/>
        </w:rPr>
        <w:t>42</w:t>
      </w:r>
      <w:r>
        <w:rPr>
          <w:lang w:val="en-GB"/>
        </w:rPr>
        <w:fldChar w:fldCharType="end"/>
      </w:r>
      <w:r>
        <w:rPr>
          <w:lang w:val="en-GB"/>
        </w:rPr>
        <w:t>.</w:t>
      </w:r>
    </w:p>
    <w:p w14:paraId="4DB0C914" w14:textId="77777777" w:rsidR="00384D67" w:rsidRDefault="00384D67" w:rsidP="00384D67">
      <w:pPr>
        <w:rPr>
          <w:lang w:val="en-GB"/>
        </w:rPr>
      </w:pPr>
      <w:r>
        <w:rPr>
          <w:lang w:val="en-GB"/>
        </w:rPr>
        <w:t xml:space="preserve">The same counts for </w:t>
      </w:r>
      <w:proofErr w:type="spellStart"/>
      <w:r>
        <w:rPr>
          <w:lang w:val="en-GB"/>
        </w:rPr>
        <w:t>linreg</w:t>
      </w:r>
      <w:proofErr w:type="spellEnd"/>
      <w:r>
        <w:rPr>
          <w:lang w:val="en-GB"/>
        </w:rPr>
        <w:t xml:space="preserve"> for COAD for stage prediction with 6 features but  him with Bacteroides.</w:t>
      </w:r>
    </w:p>
    <w:p w14:paraId="08835A7A" w14:textId="05226BDA" w:rsidR="00384D67" w:rsidRDefault="00A6607B" w:rsidP="00A6607B">
      <w:pPr>
        <w:rPr>
          <w:lang w:val="en-GB"/>
        </w:rPr>
      </w:pPr>
      <w:r>
        <w:rPr>
          <w:lang w:val="en-GB"/>
        </w:rPr>
        <w:t>[Maybe make a table with all the combinatorial combinations along with distribution of selected or the most frequently selected genus] maybe try univariate for PERMANOVA tests? (</w:t>
      </w:r>
    </w:p>
    <w:p w14:paraId="2993969D" w14:textId="44338BB4" w:rsidR="00013F94" w:rsidRDefault="00013F94" w:rsidP="00F16DF2">
      <w:pPr>
        <w:pStyle w:val="Heading1"/>
        <w:rPr>
          <w:lang w:val="en-GB"/>
        </w:rPr>
      </w:pPr>
      <w:r>
        <w:rPr>
          <w:lang w:val="en-GB"/>
        </w:rPr>
        <w:t>Purgatory</w:t>
      </w:r>
    </w:p>
    <w:p w14:paraId="0882F440" w14:textId="77777777" w:rsidR="00013F94" w:rsidRDefault="00013F94" w:rsidP="00013F94">
      <w:pPr>
        <w:rPr>
          <w:lang w:val="en-GB"/>
        </w:rPr>
      </w:pPr>
      <w:r>
        <w:rPr>
          <w:lang w:val="en-GB"/>
        </w:rPr>
        <w:t xml:space="preserve">The first step for the analysis of microbial omics data is choosing which type of data to use. Microbial data is often obtained through either amplicon sequencing or shotgun sequencing. Amplicon sequencing amplifies specific regions of the microbial 16S rRNA gene while shotgun sequencing reads all genomic DNA in a sample. There are numerous crucial differences between these types of sequencing methods, which can affect the type of downstream analyses which can be performed. </w:t>
      </w:r>
    </w:p>
    <w:p w14:paraId="37D8856A" w14:textId="505A830F" w:rsidR="00013F94" w:rsidRDefault="00013F94" w:rsidP="00013F94">
      <w:pPr>
        <w:rPr>
          <w:lang w:val="en-GB"/>
        </w:rPr>
      </w:pPr>
      <w:r>
        <w:rPr>
          <w:lang w:val="en-GB"/>
        </w:rPr>
        <w:t>Shotgun sequencing makes it easier to identify species, and occasionally even strains. It can identify all taxa, including fungi and viruses, instead of just bacteria and archaea. However, it might lead to sequencing of host DNA which can obscure results, contains more complex data and might have less reference genomes available to match to a certain taxa. Either way, it has provided valuable insight into the phylogeny, biodiversity, metabolic abilities and functional diversity of many organisms.</w:t>
      </w:r>
    </w:p>
    <w:p w14:paraId="3B62BD54" w14:textId="38111D64" w:rsidR="004E4112" w:rsidRDefault="001F6FDC" w:rsidP="00013F94">
      <w:pPr>
        <w:rPr>
          <w:lang w:val="en-GB"/>
        </w:rPr>
      </w:pPr>
      <w:r w:rsidRPr="00581746">
        <w:rPr>
          <w:noProof/>
          <w:lang w:val="en-GB"/>
        </w:rPr>
        <w:drawing>
          <wp:inline distT="0" distB="0" distL="0" distR="0" wp14:anchorId="31D87AE6" wp14:editId="459D213E">
            <wp:extent cx="5731510" cy="1457325"/>
            <wp:effectExtent l="0" t="0" r="0"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35"/>
                    <a:stretch>
                      <a:fillRect/>
                    </a:stretch>
                  </pic:blipFill>
                  <pic:spPr>
                    <a:xfrm>
                      <a:off x="0" y="0"/>
                      <a:ext cx="5731510" cy="1457325"/>
                    </a:xfrm>
                    <a:prstGeom prst="rect">
                      <a:avLst/>
                    </a:prstGeom>
                  </pic:spPr>
                </pic:pic>
              </a:graphicData>
            </a:graphic>
          </wp:inline>
        </w:drawing>
      </w:r>
    </w:p>
    <w:p w14:paraId="03A16551" w14:textId="081680D5" w:rsidR="001F6FDC" w:rsidRDefault="001F6FDC" w:rsidP="00013F94">
      <w:pPr>
        <w:rPr>
          <w:lang w:val="en-GB"/>
        </w:rPr>
      </w:pPr>
      <w:r w:rsidRPr="00581746">
        <w:rPr>
          <w:noProof/>
          <w:lang w:val="en-GB"/>
        </w:rPr>
        <w:drawing>
          <wp:inline distT="0" distB="0" distL="0" distR="0" wp14:anchorId="625930D6" wp14:editId="59758BE7">
            <wp:extent cx="5731510" cy="1904365"/>
            <wp:effectExtent l="0" t="0" r="0"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36"/>
                    <a:stretch>
                      <a:fillRect/>
                    </a:stretch>
                  </pic:blipFill>
                  <pic:spPr>
                    <a:xfrm>
                      <a:off x="0" y="0"/>
                      <a:ext cx="5731510" cy="1904365"/>
                    </a:xfrm>
                    <a:prstGeom prst="rect">
                      <a:avLst/>
                    </a:prstGeom>
                  </pic:spPr>
                </pic:pic>
              </a:graphicData>
            </a:graphic>
          </wp:inline>
        </w:drawing>
      </w:r>
    </w:p>
    <w:p w14:paraId="3F8991F3" w14:textId="4EEC05A2" w:rsidR="004E4112" w:rsidRDefault="004E4112" w:rsidP="00013F94">
      <w:pPr>
        <w:rPr>
          <w:lang w:val="en-GB"/>
        </w:rPr>
      </w:pPr>
      <w:r>
        <w:rPr>
          <w:lang w:val="en-GB"/>
        </w:rPr>
        <w:t>Result sectioning:</w:t>
      </w:r>
    </w:p>
    <w:p w14:paraId="4FA0EBEC" w14:textId="15AAC09D" w:rsidR="004E4112" w:rsidRDefault="004E4112" w:rsidP="00013F94">
      <w:pPr>
        <w:rPr>
          <w:b/>
          <w:bCs/>
          <w:lang w:val="en-GB"/>
        </w:rPr>
      </w:pPr>
      <w:r w:rsidRPr="004E4112">
        <w:rPr>
          <w:b/>
          <w:bCs/>
          <w:lang w:val="en-GB"/>
        </w:rPr>
        <w:t>there is little</w:t>
      </w:r>
      <w:r>
        <w:rPr>
          <w:b/>
          <w:bCs/>
          <w:lang w:val="en-GB"/>
        </w:rPr>
        <w:t xml:space="preserve"> qualitative</w:t>
      </w:r>
      <w:r w:rsidRPr="004E4112">
        <w:rPr>
          <w:b/>
          <w:bCs/>
          <w:lang w:val="en-GB"/>
        </w:rPr>
        <w:t xml:space="preserve"> difference in performance</w:t>
      </w:r>
    </w:p>
    <w:p w14:paraId="5C1F7368" w14:textId="5003D3B7" w:rsidR="004E4112" w:rsidRDefault="004E4112" w:rsidP="00013F94">
      <w:pPr>
        <w:rPr>
          <w:lang w:val="en-GB"/>
        </w:rPr>
      </w:pPr>
      <w:proofErr w:type="spellStart"/>
      <w:r>
        <w:rPr>
          <w:lang w:val="en-GB"/>
        </w:rPr>
        <w:t>tumor</w:t>
      </w:r>
      <w:proofErr w:type="spellEnd"/>
      <w:r>
        <w:rPr>
          <w:lang w:val="en-GB"/>
        </w:rPr>
        <w:t xml:space="preserve"> PCA does not show additional class separation</w:t>
      </w:r>
    </w:p>
    <w:p w14:paraId="3DDE0094" w14:textId="3558B80C" w:rsidR="004E4112" w:rsidRDefault="004E4112" w:rsidP="00013F94">
      <w:pPr>
        <w:rPr>
          <w:lang w:val="en-GB"/>
        </w:rPr>
      </w:pPr>
      <w:r>
        <w:rPr>
          <w:lang w:val="en-GB"/>
        </w:rPr>
        <w:t>results are consistent across feature selection amounts</w:t>
      </w:r>
    </w:p>
    <w:p w14:paraId="27996ACB" w14:textId="142CF3FD" w:rsidR="004E4112" w:rsidRDefault="004E4112" w:rsidP="00013F94">
      <w:pPr>
        <w:rPr>
          <w:lang w:val="en-GB"/>
        </w:rPr>
      </w:pPr>
      <w:r>
        <w:rPr>
          <w:lang w:val="en-GB"/>
        </w:rPr>
        <w:lastRenderedPageBreak/>
        <w:t>using different dimensionality reduction techniques does not help</w:t>
      </w:r>
    </w:p>
    <w:p w14:paraId="1B98FE9D" w14:textId="28224987" w:rsidR="004E4112" w:rsidRDefault="004E4112" w:rsidP="00013F94">
      <w:pPr>
        <w:rPr>
          <w:lang w:val="en-GB"/>
        </w:rPr>
      </w:pPr>
      <w:r>
        <w:rPr>
          <w:lang w:val="en-GB"/>
        </w:rPr>
        <w:t>there is unclear class separation for stage endpoint</w:t>
      </w:r>
    </w:p>
    <w:p w14:paraId="466B819B" w14:textId="1F22B86A" w:rsidR="004E4112" w:rsidRPr="004E4112" w:rsidRDefault="004E4112" w:rsidP="00013F94">
      <w:pPr>
        <w:rPr>
          <w:b/>
          <w:bCs/>
          <w:lang w:val="en-GB"/>
        </w:rPr>
      </w:pPr>
      <w:r w:rsidRPr="004E4112">
        <w:rPr>
          <w:b/>
          <w:bCs/>
          <w:lang w:val="en-GB"/>
        </w:rPr>
        <w:t>there is little quantitative difference in performance</w:t>
      </w:r>
    </w:p>
    <w:p w14:paraId="7AED5D0A" w14:textId="4E9D7D62" w:rsidR="004E4112" w:rsidRDefault="004E4112" w:rsidP="00013F94">
      <w:pPr>
        <w:rPr>
          <w:lang w:val="en-GB"/>
        </w:rPr>
      </w:pPr>
      <w:r>
        <w:rPr>
          <w:lang w:val="en-GB"/>
        </w:rPr>
        <w:t>holo- omics approach does not lead to improvement</w:t>
      </w:r>
    </w:p>
    <w:p w14:paraId="0AE007BA" w14:textId="60D2A01C" w:rsidR="004E4112" w:rsidRDefault="004E4112" w:rsidP="00013F94">
      <w:pPr>
        <w:rPr>
          <w:lang w:val="en-GB"/>
        </w:rPr>
      </w:pPr>
      <w:r>
        <w:rPr>
          <w:lang w:val="en-GB"/>
        </w:rPr>
        <w:t>genus layer provides worse performance</w:t>
      </w:r>
    </w:p>
    <w:p w14:paraId="0B5536A7" w14:textId="641A6938" w:rsidR="004E4112" w:rsidRDefault="004E4112" w:rsidP="00013F94">
      <w:pPr>
        <w:rPr>
          <w:lang w:val="en-GB"/>
        </w:rPr>
      </w:pPr>
      <w:r>
        <w:rPr>
          <w:lang w:val="en-GB"/>
        </w:rPr>
        <w:t>results are independent of prediction model</w:t>
      </w:r>
    </w:p>
    <w:p w14:paraId="644380E4" w14:textId="0A5AAEFF" w:rsidR="004E4112" w:rsidRDefault="004E4112" w:rsidP="00013F94">
      <w:pPr>
        <w:rPr>
          <w:lang w:val="en-GB"/>
        </w:rPr>
      </w:pPr>
      <w:r>
        <w:rPr>
          <w:lang w:val="en-GB"/>
        </w:rPr>
        <w:t>feature selection is dominated by one modality</w:t>
      </w:r>
    </w:p>
    <w:p w14:paraId="53F819AB" w14:textId="116110BC" w:rsidR="004E4112" w:rsidRDefault="004E4112" w:rsidP="00013F94">
      <w:pPr>
        <w:rPr>
          <w:lang w:val="en-GB"/>
        </w:rPr>
      </w:pPr>
      <w:r>
        <w:rPr>
          <w:lang w:val="en-GB"/>
        </w:rPr>
        <w:t>results consistent across prediction targets</w:t>
      </w:r>
    </w:p>
    <w:p w14:paraId="53CBB2EB" w14:textId="740DD6A7" w:rsidR="004E4112" w:rsidRDefault="004E4112" w:rsidP="00013F94">
      <w:pPr>
        <w:rPr>
          <w:lang w:val="en-GB"/>
        </w:rPr>
      </w:pPr>
      <w:r>
        <w:rPr>
          <w:lang w:val="en-GB"/>
        </w:rPr>
        <w:t>enforcing class balance does not improve performance</w:t>
      </w:r>
    </w:p>
    <w:p w14:paraId="51F0BAAE" w14:textId="62F0BE42" w:rsidR="004E4112" w:rsidRDefault="004E4112" w:rsidP="00013F94">
      <w:pPr>
        <w:rPr>
          <w:b/>
          <w:bCs/>
          <w:lang w:val="en-GB"/>
        </w:rPr>
      </w:pPr>
      <w:r w:rsidRPr="004E4112">
        <w:rPr>
          <w:b/>
          <w:bCs/>
          <w:lang w:val="en-GB"/>
        </w:rPr>
        <w:t>lack of</w:t>
      </w:r>
      <w:r w:rsidR="00705F15">
        <w:rPr>
          <w:b/>
          <w:bCs/>
          <w:lang w:val="en-GB"/>
        </w:rPr>
        <w:softHyphen/>
      </w:r>
      <w:r w:rsidR="00705F15">
        <w:rPr>
          <w:b/>
          <w:bCs/>
          <w:lang w:val="en-GB"/>
        </w:rPr>
        <w:softHyphen/>
      </w:r>
      <w:r w:rsidRPr="004E4112">
        <w:rPr>
          <w:b/>
          <w:bCs/>
          <w:lang w:val="en-GB"/>
        </w:rPr>
        <w:t xml:space="preserve"> performance improvement is due to data</w:t>
      </w:r>
    </w:p>
    <w:p w14:paraId="2353D181" w14:textId="15166B08" w:rsidR="004E4112" w:rsidRDefault="004E4112" w:rsidP="00013F94">
      <w:pPr>
        <w:rPr>
          <w:lang w:val="en-GB"/>
        </w:rPr>
      </w:pPr>
      <w:r>
        <w:rPr>
          <w:lang w:val="en-GB"/>
        </w:rPr>
        <w:t>genus data selection</w:t>
      </w:r>
    </w:p>
    <w:p w14:paraId="1814DFAF" w14:textId="3839D0CA" w:rsidR="004E4112" w:rsidRDefault="004E4112" w:rsidP="00013F94">
      <w:pPr>
        <w:rPr>
          <w:lang w:val="en-GB"/>
        </w:rPr>
      </w:pPr>
      <w:r>
        <w:rPr>
          <w:lang w:val="en-GB"/>
        </w:rPr>
        <w:t>feature selection is sensible</w:t>
      </w:r>
    </w:p>
    <w:p w14:paraId="1D0B9E71" w14:textId="185504C5" w:rsidR="004E4112" w:rsidRPr="004E4112" w:rsidRDefault="004E4112" w:rsidP="00013F94">
      <w:pPr>
        <w:rPr>
          <w:b/>
          <w:bCs/>
          <w:lang w:val="en-GB"/>
        </w:rPr>
      </w:pPr>
      <w:proofErr w:type="spellStart"/>
      <w:r w:rsidRPr="004E4112">
        <w:rPr>
          <w:b/>
          <w:bCs/>
          <w:lang w:val="en-GB"/>
        </w:rPr>
        <w:t>unsectioned</w:t>
      </w:r>
      <w:proofErr w:type="spellEnd"/>
    </w:p>
    <w:p w14:paraId="209E1E0D" w14:textId="60634F29" w:rsidR="004E4112" w:rsidRDefault="004E4112" w:rsidP="00013F94">
      <w:pPr>
        <w:rPr>
          <w:lang w:val="en-GB"/>
        </w:rPr>
      </w:pPr>
      <w:r>
        <w:rPr>
          <w:lang w:val="en-GB"/>
        </w:rPr>
        <w:t>smarter integration method does not improve results (AE and NMF)</w:t>
      </w:r>
    </w:p>
    <w:p w14:paraId="5CE0C284" w14:textId="5DC6FCF9" w:rsidR="004E4112" w:rsidRPr="004E4112" w:rsidRDefault="004E4112" w:rsidP="00013F94">
      <w:pPr>
        <w:rPr>
          <w:lang w:val="en-GB"/>
        </w:rPr>
      </w:pPr>
      <w:r>
        <w:rPr>
          <w:lang w:val="en-GB"/>
        </w:rPr>
        <w:t>no improvement for different feature selection technique</w:t>
      </w:r>
    </w:p>
    <w:p w14:paraId="3046DEA2" w14:textId="312312C3" w:rsidR="00B17DBC" w:rsidRDefault="00F16DF2" w:rsidP="00F16DF2">
      <w:pPr>
        <w:pStyle w:val="Heading1"/>
        <w:rPr>
          <w:lang w:val="en-GB"/>
        </w:rPr>
      </w:pPr>
      <w:r>
        <w:rPr>
          <w:lang w:val="en-GB"/>
        </w:rPr>
        <w:t>References</w:t>
      </w:r>
    </w:p>
    <w:p w14:paraId="0A3719B2" w14:textId="77777777" w:rsidR="00B17DBC" w:rsidRPr="00CA251C" w:rsidRDefault="00B17DBC" w:rsidP="00CA251C">
      <w:pPr>
        <w:rPr>
          <w:lang w:val="en-GB"/>
        </w:rPr>
      </w:pPr>
    </w:p>
    <w:p w14:paraId="53E70BF8" w14:textId="77777777" w:rsidR="00C46FCC" w:rsidRPr="00C46FCC" w:rsidRDefault="008D0A23" w:rsidP="00C46FCC">
      <w:pPr>
        <w:pStyle w:val="Bibliography"/>
        <w:rPr>
          <w:rFonts w:ascii="Calibri" w:hAnsi="Calibri" w:cs="Calibri"/>
        </w:rPr>
      </w:pPr>
      <w:r>
        <w:rPr>
          <w:lang w:val="en-GB"/>
        </w:rPr>
        <w:fldChar w:fldCharType="begin"/>
      </w:r>
      <w:r>
        <w:rPr>
          <w:lang w:val="en-GB"/>
        </w:rPr>
        <w:instrText xml:space="preserve"> ADDIN ZOTERO_BIBL {"uncited":[],"omitted":[],"custom":[]} CSL_BIBLIOGRAPHY </w:instrText>
      </w:r>
      <w:r>
        <w:rPr>
          <w:lang w:val="en-GB"/>
        </w:rPr>
        <w:fldChar w:fldCharType="separate"/>
      </w:r>
      <w:r w:rsidR="00C46FCC" w:rsidRPr="00C46FCC">
        <w:rPr>
          <w:rFonts w:ascii="Calibri" w:hAnsi="Calibri" w:cs="Calibri"/>
        </w:rPr>
        <w:t>1.</w:t>
      </w:r>
      <w:r w:rsidR="00C46FCC" w:rsidRPr="00C46FCC">
        <w:rPr>
          <w:rFonts w:ascii="Calibri" w:hAnsi="Calibri" w:cs="Calibri"/>
        </w:rPr>
        <w:tab/>
        <w:t xml:space="preserve">Tomczak, K., </w:t>
      </w:r>
      <w:proofErr w:type="spellStart"/>
      <w:r w:rsidR="00C46FCC" w:rsidRPr="00C46FCC">
        <w:rPr>
          <w:rFonts w:ascii="Calibri" w:hAnsi="Calibri" w:cs="Calibri"/>
        </w:rPr>
        <w:t>Czerwińska</w:t>
      </w:r>
      <w:proofErr w:type="spellEnd"/>
      <w:r w:rsidR="00C46FCC" w:rsidRPr="00C46FCC">
        <w:rPr>
          <w:rFonts w:ascii="Calibri" w:hAnsi="Calibri" w:cs="Calibri"/>
        </w:rPr>
        <w:t xml:space="preserve">, P. &amp; </w:t>
      </w:r>
      <w:proofErr w:type="spellStart"/>
      <w:r w:rsidR="00C46FCC" w:rsidRPr="00C46FCC">
        <w:rPr>
          <w:rFonts w:ascii="Calibri" w:hAnsi="Calibri" w:cs="Calibri"/>
        </w:rPr>
        <w:t>Wiznerowicz</w:t>
      </w:r>
      <w:proofErr w:type="spellEnd"/>
      <w:r w:rsidR="00C46FCC" w:rsidRPr="00C46FCC">
        <w:rPr>
          <w:rFonts w:ascii="Calibri" w:hAnsi="Calibri" w:cs="Calibri"/>
        </w:rPr>
        <w:t>, M. Review&lt;</w:t>
      </w:r>
      <w:proofErr w:type="spellStart"/>
      <w:r w:rsidR="00C46FCC" w:rsidRPr="00C46FCC">
        <w:rPr>
          <w:rFonts w:ascii="Calibri" w:hAnsi="Calibri" w:cs="Calibri"/>
        </w:rPr>
        <w:t>br</w:t>
      </w:r>
      <w:proofErr w:type="spellEnd"/>
      <w:r w:rsidR="00C46FCC" w:rsidRPr="00C46FCC">
        <w:rPr>
          <w:rFonts w:ascii="Calibri" w:hAnsi="Calibri" w:cs="Calibri"/>
        </w:rPr>
        <w:t xml:space="preserve">&gt;The Cancer Genome Atlas (TCGA): an immeasurable source of knowledge. </w:t>
      </w:r>
      <w:r w:rsidR="00C46FCC" w:rsidRPr="00C46FCC">
        <w:rPr>
          <w:rFonts w:ascii="Calibri" w:hAnsi="Calibri" w:cs="Calibri"/>
          <w:i/>
          <w:iCs/>
        </w:rPr>
        <w:t xml:space="preserve">Contemp. Oncol. </w:t>
      </w:r>
      <w:proofErr w:type="spellStart"/>
      <w:r w:rsidR="00C46FCC" w:rsidRPr="00C46FCC">
        <w:rPr>
          <w:rFonts w:ascii="Calibri" w:hAnsi="Calibri" w:cs="Calibri"/>
          <w:i/>
          <w:iCs/>
        </w:rPr>
        <w:t>Onkol</w:t>
      </w:r>
      <w:proofErr w:type="spellEnd"/>
      <w:r w:rsidR="00C46FCC" w:rsidRPr="00C46FCC">
        <w:rPr>
          <w:rFonts w:ascii="Calibri" w:hAnsi="Calibri" w:cs="Calibri"/>
          <w:i/>
          <w:iCs/>
        </w:rPr>
        <w:t>.</w:t>
      </w:r>
      <w:r w:rsidR="00C46FCC" w:rsidRPr="00C46FCC">
        <w:rPr>
          <w:rFonts w:ascii="Calibri" w:hAnsi="Calibri" w:cs="Calibri"/>
        </w:rPr>
        <w:t xml:space="preserve"> </w:t>
      </w:r>
      <w:r w:rsidR="00C46FCC" w:rsidRPr="00C46FCC">
        <w:rPr>
          <w:rFonts w:ascii="Calibri" w:hAnsi="Calibri" w:cs="Calibri"/>
          <w:b/>
          <w:bCs/>
        </w:rPr>
        <w:t>2015</w:t>
      </w:r>
      <w:r w:rsidR="00C46FCC" w:rsidRPr="00C46FCC">
        <w:rPr>
          <w:rFonts w:ascii="Calibri" w:hAnsi="Calibri" w:cs="Calibri"/>
        </w:rPr>
        <w:t>, 68–77 (2015).</w:t>
      </w:r>
    </w:p>
    <w:p w14:paraId="61C2FE23" w14:textId="77777777" w:rsidR="00C46FCC" w:rsidRPr="00C46FCC" w:rsidRDefault="00C46FCC" w:rsidP="00C46FCC">
      <w:pPr>
        <w:pStyle w:val="Bibliography"/>
        <w:rPr>
          <w:rFonts w:ascii="Calibri" w:hAnsi="Calibri" w:cs="Calibri"/>
        </w:rPr>
      </w:pPr>
      <w:r w:rsidRPr="00C46FCC">
        <w:rPr>
          <w:rFonts w:ascii="Calibri" w:hAnsi="Calibri" w:cs="Calibri"/>
        </w:rPr>
        <w:t>2.</w:t>
      </w:r>
      <w:r w:rsidRPr="00C46FCC">
        <w:rPr>
          <w:rFonts w:ascii="Calibri" w:hAnsi="Calibri" w:cs="Calibri"/>
        </w:rPr>
        <w:tab/>
        <w:t>Machiraju, G., Amar, D. &amp; Ashley, E. Multi-omics factorization illustrates the added value of deep learning approaches. 7.</w:t>
      </w:r>
    </w:p>
    <w:p w14:paraId="109C64C7" w14:textId="77777777" w:rsidR="00C46FCC" w:rsidRPr="00C46FCC" w:rsidRDefault="00C46FCC" w:rsidP="00C46FCC">
      <w:pPr>
        <w:pStyle w:val="Bibliography"/>
        <w:rPr>
          <w:rFonts w:ascii="Calibri" w:hAnsi="Calibri" w:cs="Calibri"/>
        </w:rPr>
      </w:pPr>
      <w:r w:rsidRPr="00C46FCC">
        <w:rPr>
          <w:rFonts w:ascii="Calibri" w:hAnsi="Calibri" w:cs="Calibri"/>
        </w:rPr>
        <w:t>3.</w:t>
      </w:r>
      <w:r w:rsidRPr="00C46FCC">
        <w:rPr>
          <w:rFonts w:ascii="Calibri" w:hAnsi="Calibri" w:cs="Calibri"/>
        </w:rPr>
        <w:tab/>
      </w:r>
      <w:proofErr w:type="spellStart"/>
      <w:r w:rsidRPr="00C46FCC">
        <w:rPr>
          <w:rFonts w:ascii="Calibri" w:hAnsi="Calibri" w:cs="Calibri"/>
        </w:rPr>
        <w:t>Dohlman</w:t>
      </w:r>
      <w:proofErr w:type="spellEnd"/>
      <w:r w:rsidRPr="00C46FCC">
        <w:rPr>
          <w:rFonts w:ascii="Calibri" w:hAnsi="Calibri" w:cs="Calibri"/>
        </w:rPr>
        <w:t xml:space="preserve">, A. B. </w:t>
      </w:r>
      <w:r w:rsidRPr="00C46FCC">
        <w:rPr>
          <w:rFonts w:ascii="Calibri" w:hAnsi="Calibri" w:cs="Calibri"/>
          <w:i/>
          <w:iCs/>
        </w:rPr>
        <w:t>et al.</w:t>
      </w:r>
      <w:r w:rsidRPr="00C46FCC">
        <w:rPr>
          <w:rFonts w:ascii="Calibri" w:hAnsi="Calibri" w:cs="Calibri"/>
        </w:rPr>
        <w:t xml:space="preserve"> The cancer microbiome atlas: a pan-cancer comparative analysis to distinguish tissue-resident microbiota from contaminants. </w:t>
      </w:r>
      <w:r w:rsidRPr="00C46FCC">
        <w:rPr>
          <w:rFonts w:ascii="Calibri" w:hAnsi="Calibri" w:cs="Calibri"/>
          <w:i/>
          <w:iCs/>
        </w:rPr>
        <w:t>Cell Host Microbe</w:t>
      </w:r>
      <w:r w:rsidRPr="00C46FCC">
        <w:rPr>
          <w:rFonts w:ascii="Calibri" w:hAnsi="Calibri" w:cs="Calibri"/>
        </w:rPr>
        <w:t xml:space="preserve"> </w:t>
      </w:r>
      <w:r w:rsidRPr="00C46FCC">
        <w:rPr>
          <w:rFonts w:ascii="Calibri" w:hAnsi="Calibri" w:cs="Calibri"/>
          <w:b/>
          <w:bCs/>
        </w:rPr>
        <w:t>29</w:t>
      </w:r>
      <w:r w:rsidRPr="00C46FCC">
        <w:rPr>
          <w:rFonts w:ascii="Calibri" w:hAnsi="Calibri" w:cs="Calibri"/>
        </w:rPr>
        <w:t>, 281-298.e5 (2021).</w:t>
      </w:r>
    </w:p>
    <w:p w14:paraId="5AD2D486" w14:textId="77777777" w:rsidR="00C46FCC" w:rsidRPr="00C46FCC" w:rsidRDefault="00C46FCC" w:rsidP="00C46FCC">
      <w:pPr>
        <w:pStyle w:val="Bibliography"/>
        <w:rPr>
          <w:rFonts w:ascii="Calibri" w:hAnsi="Calibri" w:cs="Calibri"/>
          <w:lang w:val="nl-NL"/>
        </w:rPr>
      </w:pPr>
      <w:r w:rsidRPr="00C46FCC">
        <w:rPr>
          <w:rFonts w:ascii="Calibri" w:hAnsi="Calibri" w:cs="Calibri"/>
        </w:rPr>
        <w:t>4.</w:t>
      </w:r>
      <w:r w:rsidRPr="00C46FCC">
        <w:rPr>
          <w:rFonts w:ascii="Calibri" w:hAnsi="Calibri" w:cs="Calibri"/>
        </w:rPr>
        <w:tab/>
        <w:t xml:space="preserve">Ehrlich, S. D. </w:t>
      </w:r>
      <w:proofErr w:type="spellStart"/>
      <w:r w:rsidRPr="00C46FCC">
        <w:rPr>
          <w:rFonts w:ascii="Calibri" w:hAnsi="Calibri" w:cs="Calibri"/>
        </w:rPr>
        <w:t>MetaHIT</w:t>
      </w:r>
      <w:proofErr w:type="spellEnd"/>
      <w:r w:rsidRPr="00C46FCC">
        <w:rPr>
          <w:rFonts w:ascii="Calibri" w:hAnsi="Calibri" w:cs="Calibri"/>
        </w:rPr>
        <w:t xml:space="preserve">: The European Union Project on Metagenomics of the Human Intestinal Tract. in </w:t>
      </w:r>
      <w:r w:rsidRPr="00C46FCC">
        <w:rPr>
          <w:rFonts w:ascii="Calibri" w:hAnsi="Calibri" w:cs="Calibri"/>
          <w:i/>
          <w:iCs/>
        </w:rPr>
        <w:t>Metagenomics of the Human Body</w:t>
      </w:r>
      <w:r w:rsidRPr="00C46FCC">
        <w:rPr>
          <w:rFonts w:ascii="Calibri" w:hAnsi="Calibri" w:cs="Calibri"/>
        </w:rPr>
        <w:t xml:space="preserve"> (ed. </w:t>
      </w:r>
      <w:r w:rsidRPr="00C46FCC">
        <w:rPr>
          <w:rFonts w:ascii="Calibri" w:hAnsi="Calibri" w:cs="Calibri"/>
          <w:lang w:val="nl-NL"/>
        </w:rPr>
        <w:t>Nelson, K. E.) 307–316 (Springer, 2011). doi:10.1007/978-1-4419-7089-3_15.</w:t>
      </w:r>
    </w:p>
    <w:p w14:paraId="652FF54A" w14:textId="77777777" w:rsidR="00C46FCC" w:rsidRPr="00C46FCC" w:rsidRDefault="00C46FCC" w:rsidP="00C46FCC">
      <w:pPr>
        <w:pStyle w:val="Bibliography"/>
        <w:rPr>
          <w:rFonts w:ascii="Calibri" w:hAnsi="Calibri" w:cs="Calibri"/>
        </w:rPr>
      </w:pPr>
      <w:r w:rsidRPr="00C46FCC">
        <w:rPr>
          <w:rFonts w:ascii="Calibri" w:hAnsi="Calibri" w:cs="Calibri"/>
          <w:lang w:val="nl-NL"/>
        </w:rPr>
        <w:t>5.</w:t>
      </w:r>
      <w:r w:rsidRPr="00C46FCC">
        <w:rPr>
          <w:rFonts w:ascii="Calibri" w:hAnsi="Calibri" w:cs="Calibri"/>
          <w:lang w:val="nl-NL"/>
        </w:rPr>
        <w:tab/>
        <w:t xml:space="preserve">Proctor, L. M. </w:t>
      </w:r>
      <w:r w:rsidRPr="00C46FCC">
        <w:rPr>
          <w:rFonts w:ascii="Calibri" w:hAnsi="Calibri" w:cs="Calibri"/>
          <w:i/>
          <w:iCs/>
          <w:lang w:val="nl-NL"/>
        </w:rPr>
        <w:t>et al.</w:t>
      </w:r>
      <w:r w:rsidRPr="00C46FCC">
        <w:rPr>
          <w:rFonts w:ascii="Calibri" w:hAnsi="Calibri" w:cs="Calibri"/>
          <w:lang w:val="nl-NL"/>
        </w:rPr>
        <w:t xml:space="preserve"> </w:t>
      </w:r>
      <w:r w:rsidRPr="00C46FCC">
        <w:rPr>
          <w:rFonts w:ascii="Calibri" w:hAnsi="Calibri" w:cs="Calibri"/>
        </w:rPr>
        <w:t xml:space="preserve">The Integrative Human Microbiome Project. </w:t>
      </w:r>
      <w:r w:rsidRPr="00C46FCC">
        <w:rPr>
          <w:rFonts w:ascii="Calibri" w:hAnsi="Calibri" w:cs="Calibri"/>
          <w:i/>
          <w:iCs/>
        </w:rPr>
        <w:t>Nature</w:t>
      </w:r>
      <w:r w:rsidRPr="00C46FCC">
        <w:rPr>
          <w:rFonts w:ascii="Calibri" w:hAnsi="Calibri" w:cs="Calibri"/>
        </w:rPr>
        <w:t xml:space="preserve"> </w:t>
      </w:r>
      <w:r w:rsidRPr="00C46FCC">
        <w:rPr>
          <w:rFonts w:ascii="Calibri" w:hAnsi="Calibri" w:cs="Calibri"/>
          <w:b/>
          <w:bCs/>
        </w:rPr>
        <w:t>569</w:t>
      </w:r>
      <w:r w:rsidRPr="00C46FCC">
        <w:rPr>
          <w:rFonts w:ascii="Calibri" w:hAnsi="Calibri" w:cs="Calibri"/>
        </w:rPr>
        <w:t>, 641–648 (2019).</w:t>
      </w:r>
    </w:p>
    <w:p w14:paraId="7BE20533" w14:textId="77777777" w:rsidR="00C46FCC" w:rsidRPr="00C46FCC" w:rsidRDefault="00C46FCC" w:rsidP="00C46FCC">
      <w:pPr>
        <w:pStyle w:val="Bibliography"/>
        <w:rPr>
          <w:rFonts w:ascii="Calibri" w:hAnsi="Calibri" w:cs="Calibri"/>
        </w:rPr>
      </w:pPr>
      <w:r w:rsidRPr="00C46FCC">
        <w:rPr>
          <w:rFonts w:ascii="Calibri" w:hAnsi="Calibri" w:cs="Calibri"/>
        </w:rPr>
        <w:lastRenderedPageBreak/>
        <w:t>6.</w:t>
      </w:r>
      <w:r w:rsidRPr="00C46FCC">
        <w:rPr>
          <w:rFonts w:ascii="Calibri" w:hAnsi="Calibri" w:cs="Calibri"/>
        </w:rPr>
        <w:tab/>
        <w:t xml:space="preserve">Poore, G. D. </w:t>
      </w:r>
      <w:r w:rsidRPr="00C46FCC">
        <w:rPr>
          <w:rFonts w:ascii="Calibri" w:hAnsi="Calibri" w:cs="Calibri"/>
          <w:i/>
          <w:iCs/>
        </w:rPr>
        <w:t>et al.</w:t>
      </w:r>
      <w:r w:rsidRPr="00C46FCC">
        <w:rPr>
          <w:rFonts w:ascii="Calibri" w:hAnsi="Calibri" w:cs="Calibri"/>
        </w:rPr>
        <w:t xml:space="preserve"> Microbiome analyses of blood and tissues suggest cancer diagnostic approach. </w:t>
      </w:r>
      <w:r w:rsidRPr="00C46FCC">
        <w:rPr>
          <w:rFonts w:ascii="Calibri" w:hAnsi="Calibri" w:cs="Calibri"/>
          <w:i/>
          <w:iCs/>
        </w:rPr>
        <w:t>Nature</w:t>
      </w:r>
      <w:r w:rsidRPr="00C46FCC">
        <w:rPr>
          <w:rFonts w:ascii="Calibri" w:hAnsi="Calibri" w:cs="Calibri"/>
        </w:rPr>
        <w:t xml:space="preserve"> </w:t>
      </w:r>
      <w:r w:rsidRPr="00C46FCC">
        <w:rPr>
          <w:rFonts w:ascii="Calibri" w:hAnsi="Calibri" w:cs="Calibri"/>
          <w:b/>
          <w:bCs/>
        </w:rPr>
        <w:t>579</w:t>
      </w:r>
      <w:r w:rsidRPr="00C46FCC">
        <w:rPr>
          <w:rFonts w:ascii="Calibri" w:hAnsi="Calibri" w:cs="Calibri"/>
        </w:rPr>
        <w:t>, 567–574 (2020).</w:t>
      </w:r>
    </w:p>
    <w:p w14:paraId="28EE7642" w14:textId="77777777" w:rsidR="00C46FCC" w:rsidRPr="00C46FCC" w:rsidRDefault="00C46FCC" w:rsidP="00C46FCC">
      <w:pPr>
        <w:pStyle w:val="Bibliography"/>
        <w:rPr>
          <w:rFonts w:ascii="Calibri" w:hAnsi="Calibri" w:cs="Calibri"/>
        </w:rPr>
      </w:pPr>
      <w:r w:rsidRPr="00C46FCC">
        <w:rPr>
          <w:rFonts w:ascii="Calibri" w:hAnsi="Calibri" w:cs="Calibri"/>
        </w:rPr>
        <w:t>7.</w:t>
      </w:r>
      <w:r w:rsidRPr="00C46FCC">
        <w:rPr>
          <w:rFonts w:ascii="Calibri" w:hAnsi="Calibri" w:cs="Calibri"/>
        </w:rPr>
        <w:tab/>
      </w:r>
      <w:proofErr w:type="spellStart"/>
      <w:r w:rsidRPr="00C46FCC">
        <w:rPr>
          <w:rFonts w:ascii="Calibri" w:hAnsi="Calibri" w:cs="Calibri"/>
        </w:rPr>
        <w:t>Knippel</w:t>
      </w:r>
      <w:proofErr w:type="spellEnd"/>
      <w:r w:rsidRPr="00C46FCC">
        <w:rPr>
          <w:rFonts w:ascii="Calibri" w:hAnsi="Calibri" w:cs="Calibri"/>
        </w:rPr>
        <w:t xml:space="preserve">, R. J., Drewes, J. L. &amp; Sears, C. L. The Cancer Microbiome: Recent Highlights and Knowledge Gaps. </w:t>
      </w:r>
      <w:r w:rsidRPr="00C46FCC">
        <w:rPr>
          <w:rFonts w:ascii="Calibri" w:hAnsi="Calibri" w:cs="Calibri"/>
          <w:i/>
          <w:iCs/>
        </w:rPr>
        <w:t xml:space="preserve">Cancer </w:t>
      </w:r>
      <w:proofErr w:type="spellStart"/>
      <w:r w:rsidRPr="00C46FCC">
        <w:rPr>
          <w:rFonts w:ascii="Calibri" w:hAnsi="Calibri" w:cs="Calibri"/>
          <w:i/>
          <w:iCs/>
        </w:rPr>
        <w:t>Discov</w:t>
      </w:r>
      <w:proofErr w:type="spellEnd"/>
      <w:r w:rsidRPr="00C46FCC">
        <w:rPr>
          <w:rFonts w:ascii="Calibri" w:hAnsi="Calibri" w:cs="Calibri"/>
          <w:i/>
          <w:iCs/>
        </w:rPr>
        <w:t>.</w:t>
      </w:r>
      <w:r w:rsidRPr="00C46FCC">
        <w:rPr>
          <w:rFonts w:ascii="Calibri" w:hAnsi="Calibri" w:cs="Calibri"/>
        </w:rPr>
        <w:t xml:space="preserve"> </w:t>
      </w:r>
      <w:r w:rsidRPr="00C46FCC">
        <w:rPr>
          <w:rFonts w:ascii="Calibri" w:hAnsi="Calibri" w:cs="Calibri"/>
          <w:b/>
          <w:bCs/>
        </w:rPr>
        <w:t>11</w:t>
      </w:r>
      <w:r w:rsidRPr="00C46FCC">
        <w:rPr>
          <w:rFonts w:ascii="Calibri" w:hAnsi="Calibri" w:cs="Calibri"/>
        </w:rPr>
        <w:t>, 2378–2395 (2021).</w:t>
      </w:r>
    </w:p>
    <w:p w14:paraId="5F3B77D9" w14:textId="77777777" w:rsidR="00C46FCC" w:rsidRPr="00C46FCC" w:rsidRDefault="00C46FCC" w:rsidP="00C46FCC">
      <w:pPr>
        <w:pStyle w:val="Bibliography"/>
        <w:rPr>
          <w:rFonts w:ascii="Calibri" w:hAnsi="Calibri" w:cs="Calibri"/>
        </w:rPr>
      </w:pPr>
      <w:r w:rsidRPr="00C46FCC">
        <w:rPr>
          <w:rFonts w:ascii="Calibri" w:hAnsi="Calibri" w:cs="Calibri"/>
        </w:rPr>
        <w:t>8.</w:t>
      </w:r>
      <w:r w:rsidRPr="00C46FCC">
        <w:rPr>
          <w:rFonts w:ascii="Calibri" w:hAnsi="Calibri" w:cs="Calibri"/>
        </w:rPr>
        <w:tab/>
        <w:t xml:space="preserve">Garrett, W. S. The gut microbiota and colon cancer. </w:t>
      </w:r>
      <w:r w:rsidRPr="00C46FCC">
        <w:rPr>
          <w:rFonts w:ascii="Calibri" w:hAnsi="Calibri" w:cs="Calibri"/>
          <w:i/>
          <w:iCs/>
        </w:rPr>
        <w:t>Science</w:t>
      </w:r>
      <w:r w:rsidRPr="00C46FCC">
        <w:rPr>
          <w:rFonts w:ascii="Calibri" w:hAnsi="Calibri" w:cs="Calibri"/>
        </w:rPr>
        <w:t xml:space="preserve"> </w:t>
      </w:r>
      <w:r w:rsidRPr="00C46FCC">
        <w:rPr>
          <w:rFonts w:ascii="Calibri" w:hAnsi="Calibri" w:cs="Calibri"/>
          <w:b/>
          <w:bCs/>
        </w:rPr>
        <w:t>364</w:t>
      </w:r>
      <w:r w:rsidRPr="00C46FCC">
        <w:rPr>
          <w:rFonts w:ascii="Calibri" w:hAnsi="Calibri" w:cs="Calibri"/>
        </w:rPr>
        <w:t>, 1133–1135 (2019).</w:t>
      </w:r>
    </w:p>
    <w:p w14:paraId="0771B0AE" w14:textId="77777777" w:rsidR="00C46FCC" w:rsidRPr="00C46FCC" w:rsidRDefault="00C46FCC" w:rsidP="00C46FCC">
      <w:pPr>
        <w:pStyle w:val="Bibliography"/>
        <w:rPr>
          <w:rFonts w:ascii="Calibri" w:hAnsi="Calibri" w:cs="Calibri"/>
        </w:rPr>
      </w:pPr>
      <w:r w:rsidRPr="00C46FCC">
        <w:rPr>
          <w:rFonts w:ascii="Calibri" w:hAnsi="Calibri" w:cs="Calibri"/>
        </w:rPr>
        <w:t>9.</w:t>
      </w:r>
      <w:r w:rsidRPr="00C46FCC">
        <w:rPr>
          <w:rFonts w:ascii="Calibri" w:hAnsi="Calibri" w:cs="Calibri"/>
        </w:rPr>
        <w:tab/>
      </w:r>
      <w:proofErr w:type="spellStart"/>
      <w:r w:rsidRPr="00C46FCC">
        <w:rPr>
          <w:rFonts w:ascii="Calibri" w:hAnsi="Calibri" w:cs="Calibri"/>
        </w:rPr>
        <w:t>Nejman</w:t>
      </w:r>
      <w:proofErr w:type="spellEnd"/>
      <w:r w:rsidRPr="00C46FCC">
        <w:rPr>
          <w:rFonts w:ascii="Calibri" w:hAnsi="Calibri" w:cs="Calibri"/>
        </w:rPr>
        <w:t xml:space="preserve">, D. </w:t>
      </w:r>
      <w:r w:rsidRPr="00C46FCC">
        <w:rPr>
          <w:rFonts w:ascii="Calibri" w:hAnsi="Calibri" w:cs="Calibri"/>
          <w:i/>
          <w:iCs/>
        </w:rPr>
        <w:t>et al.</w:t>
      </w:r>
      <w:r w:rsidRPr="00C46FCC">
        <w:rPr>
          <w:rFonts w:ascii="Calibri" w:hAnsi="Calibri" w:cs="Calibri"/>
        </w:rPr>
        <w:t xml:space="preserve"> The human tumor microbiome is composed of tumor type–specific intracellular bacteria. </w:t>
      </w:r>
      <w:r w:rsidRPr="00C46FCC">
        <w:rPr>
          <w:rFonts w:ascii="Calibri" w:hAnsi="Calibri" w:cs="Calibri"/>
          <w:i/>
          <w:iCs/>
        </w:rPr>
        <w:t>Science</w:t>
      </w:r>
      <w:r w:rsidRPr="00C46FCC">
        <w:rPr>
          <w:rFonts w:ascii="Calibri" w:hAnsi="Calibri" w:cs="Calibri"/>
        </w:rPr>
        <w:t xml:space="preserve"> </w:t>
      </w:r>
      <w:r w:rsidRPr="00C46FCC">
        <w:rPr>
          <w:rFonts w:ascii="Calibri" w:hAnsi="Calibri" w:cs="Calibri"/>
          <w:b/>
          <w:bCs/>
        </w:rPr>
        <w:t>368</w:t>
      </w:r>
      <w:r w:rsidRPr="00C46FCC">
        <w:rPr>
          <w:rFonts w:ascii="Calibri" w:hAnsi="Calibri" w:cs="Calibri"/>
        </w:rPr>
        <w:t>, 973–980 (2020).</w:t>
      </w:r>
    </w:p>
    <w:p w14:paraId="2F93A574" w14:textId="77777777" w:rsidR="00C46FCC" w:rsidRPr="00C46FCC" w:rsidRDefault="00C46FCC" w:rsidP="00C46FCC">
      <w:pPr>
        <w:pStyle w:val="Bibliography"/>
        <w:rPr>
          <w:rFonts w:ascii="Calibri" w:hAnsi="Calibri" w:cs="Calibri"/>
        </w:rPr>
      </w:pPr>
      <w:r w:rsidRPr="00C46FCC">
        <w:rPr>
          <w:rFonts w:ascii="Calibri" w:hAnsi="Calibri" w:cs="Calibri"/>
        </w:rPr>
        <w:t>10.</w:t>
      </w:r>
      <w:r w:rsidRPr="00C46FCC">
        <w:rPr>
          <w:rFonts w:ascii="Calibri" w:hAnsi="Calibri" w:cs="Calibri"/>
        </w:rPr>
        <w:tab/>
      </w:r>
      <w:proofErr w:type="spellStart"/>
      <w:r w:rsidRPr="00C46FCC">
        <w:rPr>
          <w:rFonts w:ascii="Calibri" w:hAnsi="Calibri" w:cs="Calibri"/>
        </w:rPr>
        <w:t>Nyholm</w:t>
      </w:r>
      <w:proofErr w:type="spellEnd"/>
      <w:r w:rsidRPr="00C46FCC">
        <w:rPr>
          <w:rFonts w:ascii="Calibri" w:hAnsi="Calibri" w:cs="Calibri"/>
        </w:rPr>
        <w:t xml:space="preserve">, L. </w:t>
      </w:r>
      <w:r w:rsidRPr="00C46FCC">
        <w:rPr>
          <w:rFonts w:ascii="Calibri" w:hAnsi="Calibri" w:cs="Calibri"/>
          <w:i/>
          <w:iCs/>
        </w:rPr>
        <w:t>et al.</w:t>
      </w:r>
      <w:r w:rsidRPr="00C46FCC">
        <w:rPr>
          <w:rFonts w:ascii="Calibri" w:hAnsi="Calibri" w:cs="Calibri"/>
        </w:rPr>
        <w:t xml:space="preserve"> Holo-Omics: Integrated Host-Microbiota Multi-omics for Basic and Applied Biological Research. </w:t>
      </w:r>
      <w:proofErr w:type="spellStart"/>
      <w:r w:rsidRPr="00C46FCC">
        <w:rPr>
          <w:rFonts w:ascii="Calibri" w:hAnsi="Calibri" w:cs="Calibri"/>
          <w:i/>
          <w:iCs/>
        </w:rPr>
        <w:t>iScience</w:t>
      </w:r>
      <w:proofErr w:type="spellEnd"/>
      <w:r w:rsidRPr="00C46FCC">
        <w:rPr>
          <w:rFonts w:ascii="Calibri" w:hAnsi="Calibri" w:cs="Calibri"/>
        </w:rPr>
        <w:t xml:space="preserve"> </w:t>
      </w:r>
      <w:r w:rsidRPr="00C46FCC">
        <w:rPr>
          <w:rFonts w:ascii="Calibri" w:hAnsi="Calibri" w:cs="Calibri"/>
          <w:b/>
          <w:bCs/>
        </w:rPr>
        <w:t>23</w:t>
      </w:r>
      <w:r w:rsidRPr="00C46FCC">
        <w:rPr>
          <w:rFonts w:ascii="Calibri" w:hAnsi="Calibri" w:cs="Calibri"/>
        </w:rPr>
        <w:t>, 101414 (2020).</w:t>
      </w:r>
    </w:p>
    <w:p w14:paraId="4E3F2D5B" w14:textId="77777777" w:rsidR="00C46FCC" w:rsidRPr="00C46FCC" w:rsidRDefault="00C46FCC" w:rsidP="00C46FCC">
      <w:pPr>
        <w:pStyle w:val="Bibliography"/>
        <w:rPr>
          <w:rFonts w:ascii="Calibri" w:hAnsi="Calibri" w:cs="Calibri"/>
        </w:rPr>
      </w:pPr>
      <w:r w:rsidRPr="00C46FCC">
        <w:rPr>
          <w:rFonts w:ascii="Calibri" w:hAnsi="Calibri" w:cs="Calibri"/>
        </w:rPr>
        <w:t>11.</w:t>
      </w:r>
      <w:r w:rsidRPr="00C46FCC">
        <w:rPr>
          <w:rFonts w:ascii="Calibri" w:hAnsi="Calibri" w:cs="Calibri"/>
        </w:rPr>
        <w:tab/>
        <w:t xml:space="preserve">Kwon, M., </w:t>
      </w:r>
      <w:proofErr w:type="spellStart"/>
      <w:r w:rsidRPr="00C46FCC">
        <w:rPr>
          <w:rFonts w:ascii="Calibri" w:hAnsi="Calibri" w:cs="Calibri"/>
        </w:rPr>
        <w:t>Seo</w:t>
      </w:r>
      <w:proofErr w:type="spellEnd"/>
      <w:r w:rsidRPr="00C46FCC">
        <w:rPr>
          <w:rFonts w:ascii="Calibri" w:hAnsi="Calibri" w:cs="Calibri"/>
        </w:rPr>
        <w:t xml:space="preserve">, S.-S., Kim, M. K., Lee, D. O. &amp; Lim, M. C. Compositional and Functional Differences between Microbiota and Cervical Carcinogenesis as Identified by Shotgun Metagenomic Sequencing. </w:t>
      </w:r>
      <w:r w:rsidRPr="00C46FCC">
        <w:rPr>
          <w:rFonts w:ascii="Calibri" w:hAnsi="Calibri" w:cs="Calibri"/>
          <w:i/>
          <w:iCs/>
        </w:rPr>
        <w:t>Cancers</w:t>
      </w:r>
      <w:r w:rsidRPr="00C46FCC">
        <w:rPr>
          <w:rFonts w:ascii="Calibri" w:hAnsi="Calibri" w:cs="Calibri"/>
        </w:rPr>
        <w:t xml:space="preserve"> </w:t>
      </w:r>
      <w:r w:rsidRPr="00C46FCC">
        <w:rPr>
          <w:rFonts w:ascii="Calibri" w:hAnsi="Calibri" w:cs="Calibri"/>
          <w:b/>
          <w:bCs/>
        </w:rPr>
        <w:t>11</w:t>
      </w:r>
      <w:r w:rsidRPr="00C46FCC">
        <w:rPr>
          <w:rFonts w:ascii="Calibri" w:hAnsi="Calibri" w:cs="Calibri"/>
        </w:rPr>
        <w:t>, 309 (2019).</w:t>
      </w:r>
    </w:p>
    <w:p w14:paraId="68BBCA35" w14:textId="77777777" w:rsidR="00C46FCC" w:rsidRPr="00C46FCC" w:rsidRDefault="00C46FCC" w:rsidP="00C46FCC">
      <w:pPr>
        <w:pStyle w:val="Bibliography"/>
        <w:rPr>
          <w:rFonts w:ascii="Calibri" w:hAnsi="Calibri" w:cs="Calibri"/>
        </w:rPr>
      </w:pPr>
      <w:r w:rsidRPr="00C46FCC">
        <w:rPr>
          <w:rFonts w:ascii="Calibri" w:hAnsi="Calibri" w:cs="Calibri"/>
        </w:rPr>
        <w:t>12.</w:t>
      </w:r>
      <w:r w:rsidRPr="00C46FCC">
        <w:rPr>
          <w:rFonts w:ascii="Calibri" w:hAnsi="Calibri" w:cs="Calibri"/>
        </w:rPr>
        <w:tab/>
      </w:r>
      <w:proofErr w:type="spellStart"/>
      <w:r w:rsidRPr="00C46FCC">
        <w:rPr>
          <w:rFonts w:ascii="Calibri" w:hAnsi="Calibri" w:cs="Calibri"/>
        </w:rPr>
        <w:t>Gnanasekar</w:t>
      </w:r>
      <w:proofErr w:type="spellEnd"/>
      <w:r w:rsidRPr="00C46FCC">
        <w:rPr>
          <w:rFonts w:ascii="Calibri" w:hAnsi="Calibri" w:cs="Calibri"/>
        </w:rPr>
        <w:t xml:space="preserve">, A. </w:t>
      </w:r>
      <w:r w:rsidRPr="00C46FCC">
        <w:rPr>
          <w:rFonts w:ascii="Calibri" w:hAnsi="Calibri" w:cs="Calibri"/>
          <w:i/>
          <w:iCs/>
        </w:rPr>
        <w:t>et al.</w:t>
      </w:r>
      <w:r w:rsidRPr="00C46FCC">
        <w:rPr>
          <w:rFonts w:ascii="Calibri" w:hAnsi="Calibri" w:cs="Calibri"/>
        </w:rPr>
        <w:t xml:space="preserve"> The intratumor microbiome predicts prognosis across gender and subtypes in papillary thyroid carcinoma. </w:t>
      </w:r>
      <w:proofErr w:type="spellStart"/>
      <w:r w:rsidRPr="00C46FCC">
        <w:rPr>
          <w:rFonts w:ascii="Calibri" w:hAnsi="Calibri" w:cs="Calibri"/>
          <w:i/>
          <w:iCs/>
        </w:rPr>
        <w:t>Comput</w:t>
      </w:r>
      <w:proofErr w:type="spellEnd"/>
      <w:r w:rsidRPr="00C46FCC">
        <w:rPr>
          <w:rFonts w:ascii="Calibri" w:hAnsi="Calibri" w:cs="Calibri"/>
          <w:i/>
          <w:iCs/>
        </w:rPr>
        <w:t xml:space="preserve">. Struct. </w:t>
      </w:r>
      <w:proofErr w:type="spellStart"/>
      <w:r w:rsidRPr="00C46FCC">
        <w:rPr>
          <w:rFonts w:ascii="Calibri" w:hAnsi="Calibri" w:cs="Calibri"/>
          <w:i/>
          <w:iCs/>
        </w:rPr>
        <w:t>Biotechnol</w:t>
      </w:r>
      <w:proofErr w:type="spellEnd"/>
      <w:r w:rsidRPr="00C46FCC">
        <w:rPr>
          <w:rFonts w:ascii="Calibri" w:hAnsi="Calibri" w:cs="Calibri"/>
          <w:i/>
          <w:iCs/>
        </w:rPr>
        <w:t>. J.</w:t>
      </w:r>
      <w:r w:rsidRPr="00C46FCC">
        <w:rPr>
          <w:rFonts w:ascii="Calibri" w:hAnsi="Calibri" w:cs="Calibri"/>
        </w:rPr>
        <w:t xml:space="preserve"> </w:t>
      </w:r>
      <w:r w:rsidRPr="00C46FCC">
        <w:rPr>
          <w:rFonts w:ascii="Calibri" w:hAnsi="Calibri" w:cs="Calibri"/>
          <w:b/>
          <w:bCs/>
        </w:rPr>
        <w:t>19</w:t>
      </w:r>
      <w:r w:rsidRPr="00C46FCC">
        <w:rPr>
          <w:rFonts w:ascii="Calibri" w:hAnsi="Calibri" w:cs="Calibri"/>
        </w:rPr>
        <w:t>, 1986–1997 (2021).</w:t>
      </w:r>
    </w:p>
    <w:p w14:paraId="07493E68" w14:textId="77777777" w:rsidR="00C46FCC" w:rsidRPr="00C46FCC" w:rsidRDefault="00C46FCC" w:rsidP="00C46FCC">
      <w:pPr>
        <w:pStyle w:val="Bibliography"/>
        <w:rPr>
          <w:rFonts w:ascii="Calibri" w:hAnsi="Calibri" w:cs="Calibri"/>
        </w:rPr>
      </w:pPr>
      <w:r w:rsidRPr="00C46FCC">
        <w:rPr>
          <w:rFonts w:ascii="Calibri" w:hAnsi="Calibri" w:cs="Calibri"/>
        </w:rPr>
        <w:t>13.</w:t>
      </w:r>
      <w:r w:rsidRPr="00C46FCC">
        <w:rPr>
          <w:rFonts w:ascii="Calibri" w:hAnsi="Calibri" w:cs="Calibri"/>
        </w:rPr>
        <w:tab/>
      </w:r>
      <w:proofErr w:type="spellStart"/>
      <w:r w:rsidRPr="00C46FCC">
        <w:rPr>
          <w:rFonts w:ascii="Calibri" w:hAnsi="Calibri" w:cs="Calibri"/>
        </w:rPr>
        <w:t>Elinav</w:t>
      </w:r>
      <w:proofErr w:type="spellEnd"/>
      <w:r w:rsidRPr="00C46FCC">
        <w:rPr>
          <w:rFonts w:ascii="Calibri" w:hAnsi="Calibri" w:cs="Calibri"/>
        </w:rPr>
        <w:t xml:space="preserve">, E., Garrett, W. S., </w:t>
      </w:r>
      <w:proofErr w:type="spellStart"/>
      <w:r w:rsidRPr="00C46FCC">
        <w:rPr>
          <w:rFonts w:ascii="Calibri" w:hAnsi="Calibri" w:cs="Calibri"/>
        </w:rPr>
        <w:t>Trinchieri</w:t>
      </w:r>
      <w:proofErr w:type="spellEnd"/>
      <w:r w:rsidRPr="00C46FCC">
        <w:rPr>
          <w:rFonts w:ascii="Calibri" w:hAnsi="Calibri" w:cs="Calibri"/>
        </w:rPr>
        <w:t xml:space="preserve">, G. &amp; </w:t>
      </w:r>
      <w:proofErr w:type="spellStart"/>
      <w:r w:rsidRPr="00C46FCC">
        <w:rPr>
          <w:rFonts w:ascii="Calibri" w:hAnsi="Calibri" w:cs="Calibri"/>
        </w:rPr>
        <w:t>Wargo</w:t>
      </w:r>
      <w:proofErr w:type="spellEnd"/>
      <w:r w:rsidRPr="00C46FCC">
        <w:rPr>
          <w:rFonts w:ascii="Calibri" w:hAnsi="Calibri" w:cs="Calibri"/>
        </w:rPr>
        <w:t xml:space="preserve">, J. The cancer microbiome. </w:t>
      </w:r>
      <w:r w:rsidRPr="00C46FCC">
        <w:rPr>
          <w:rFonts w:ascii="Calibri" w:hAnsi="Calibri" w:cs="Calibri"/>
          <w:i/>
          <w:iCs/>
        </w:rPr>
        <w:t>Nat. Rev. Cancer</w:t>
      </w:r>
      <w:r w:rsidRPr="00C46FCC">
        <w:rPr>
          <w:rFonts w:ascii="Calibri" w:hAnsi="Calibri" w:cs="Calibri"/>
        </w:rPr>
        <w:t xml:space="preserve"> </w:t>
      </w:r>
      <w:r w:rsidRPr="00C46FCC">
        <w:rPr>
          <w:rFonts w:ascii="Calibri" w:hAnsi="Calibri" w:cs="Calibri"/>
          <w:b/>
          <w:bCs/>
        </w:rPr>
        <w:t>19</w:t>
      </w:r>
      <w:r w:rsidRPr="00C46FCC">
        <w:rPr>
          <w:rFonts w:ascii="Calibri" w:hAnsi="Calibri" w:cs="Calibri"/>
        </w:rPr>
        <w:t>, 371–376 (2019).</w:t>
      </w:r>
    </w:p>
    <w:p w14:paraId="1FEBC585" w14:textId="77777777" w:rsidR="00C46FCC" w:rsidRPr="00C46FCC" w:rsidRDefault="00C46FCC" w:rsidP="00C46FCC">
      <w:pPr>
        <w:pStyle w:val="Bibliography"/>
        <w:rPr>
          <w:rFonts w:ascii="Calibri" w:hAnsi="Calibri" w:cs="Calibri"/>
        </w:rPr>
      </w:pPr>
      <w:r w:rsidRPr="00C46FCC">
        <w:rPr>
          <w:rFonts w:ascii="Calibri" w:hAnsi="Calibri" w:cs="Calibri"/>
        </w:rPr>
        <w:t>14.</w:t>
      </w:r>
      <w:r w:rsidRPr="00C46FCC">
        <w:rPr>
          <w:rFonts w:ascii="Calibri" w:hAnsi="Calibri" w:cs="Calibri"/>
        </w:rPr>
        <w:tab/>
        <w:t xml:space="preserve">Sivan, A. </w:t>
      </w:r>
      <w:r w:rsidRPr="00C46FCC">
        <w:rPr>
          <w:rFonts w:ascii="Calibri" w:hAnsi="Calibri" w:cs="Calibri"/>
          <w:i/>
          <w:iCs/>
        </w:rPr>
        <w:t>et al.</w:t>
      </w:r>
      <w:r w:rsidRPr="00C46FCC">
        <w:rPr>
          <w:rFonts w:ascii="Calibri" w:hAnsi="Calibri" w:cs="Calibri"/>
        </w:rPr>
        <w:t xml:space="preserve"> Commensal Bifidobacterium promotes antitumor immunity and facilitates anti–PD-L1 efficacy. </w:t>
      </w:r>
      <w:r w:rsidRPr="00C46FCC">
        <w:rPr>
          <w:rFonts w:ascii="Calibri" w:hAnsi="Calibri" w:cs="Calibri"/>
          <w:i/>
          <w:iCs/>
        </w:rPr>
        <w:t>Science</w:t>
      </w:r>
      <w:r w:rsidRPr="00C46FCC">
        <w:rPr>
          <w:rFonts w:ascii="Calibri" w:hAnsi="Calibri" w:cs="Calibri"/>
        </w:rPr>
        <w:t xml:space="preserve"> </w:t>
      </w:r>
      <w:r w:rsidRPr="00C46FCC">
        <w:rPr>
          <w:rFonts w:ascii="Calibri" w:hAnsi="Calibri" w:cs="Calibri"/>
          <w:b/>
          <w:bCs/>
        </w:rPr>
        <w:t>350</w:t>
      </w:r>
      <w:r w:rsidRPr="00C46FCC">
        <w:rPr>
          <w:rFonts w:ascii="Calibri" w:hAnsi="Calibri" w:cs="Calibri"/>
        </w:rPr>
        <w:t>, 1084–1089 (2015).</w:t>
      </w:r>
    </w:p>
    <w:p w14:paraId="33053976" w14:textId="77777777" w:rsidR="00C46FCC" w:rsidRPr="00C46FCC" w:rsidRDefault="00C46FCC" w:rsidP="00C46FCC">
      <w:pPr>
        <w:pStyle w:val="Bibliography"/>
        <w:rPr>
          <w:rFonts w:ascii="Calibri" w:hAnsi="Calibri" w:cs="Calibri"/>
        </w:rPr>
      </w:pPr>
      <w:r w:rsidRPr="00C46FCC">
        <w:rPr>
          <w:rFonts w:ascii="Calibri" w:hAnsi="Calibri" w:cs="Calibri"/>
        </w:rPr>
        <w:t>15.</w:t>
      </w:r>
      <w:r w:rsidRPr="00C46FCC">
        <w:rPr>
          <w:rFonts w:ascii="Calibri" w:hAnsi="Calibri" w:cs="Calibri"/>
        </w:rPr>
        <w:tab/>
        <w:t xml:space="preserve">Gopalakrishnan, V. </w:t>
      </w:r>
      <w:r w:rsidRPr="00C46FCC">
        <w:rPr>
          <w:rFonts w:ascii="Calibri" w:hAnsi="Calibri" w:cs="Calibri"/>
          <w:i/>
          <w:iCs/>
        </w:rPr>
        <w:t>et al.</w:t>
      </w:r>
      <w:r w:rsidRPr="00C46FCC">
        <w:rPr>
          <w:rFonts w:ascii="Calibri" w:hAnsi="Calibri" w:cs="Calibri"/>
        </w:rPr>
        <w:t xml:space="preserve"> Gut microbiome modulates response to anti–PD-1 immunotherapy in melanoma patients. </w:t>
      </w:r>
      <w:r w:rsidRPr="00C46FCC">
        <w:rPr>
          <w:rFonts w:ascii="Calibri" w:hAnsi="Calibri" w:cs="Calibri"/>
          <w:i/>
          <w:iCs/>
        </w:rPr>
        <w:t>Science</w:t>
      </w:r>
      <w:r w:rsidRPr="00C46FCC">
        <w:rPr>
          <w:rFonts w:ascii="Calibri" w:hAnsi="Calibri" w:cs="Calibri"/>
        </w:rPr>
        <w:t xml:space="preserve"> </w:t>
      </w:r>
      <w:r w:rsidRPr="00C46FCC">
        <w:rPr>
          <w:rFonts w:ascii="Calibri" w:hAnsi="Calibri" w:cs="Calibri"/>
          <w:b/>
          <w:bCs/>
        </w:rPr>
        <w:t>359</w:t>
      </w:r>
      <w:r w:rsidRPr="00C46FCC">
        <w:rPr>
          <w:rFonts w:ascii="Calibri" w:hAnsi="Calibri" w:cs="Calibri"/>
        </w:rPr>
        <w:t>, 97–103 (2018).</w:t>
      </w:r>
    </w:p>
    <w:p w14:paraId="6A7A3BE8" w14:textId="77777777" w:rsidR="00C46FCC" w:rsidRPr="00C46FCC" w:rsidRDefault="00C46FCC" w:rsidP="00C46FCC">
      <w:pPr>
        <w:pStyle w:val="Bibliography"/>
        <w:rPr>
          <w:rFonts w:ascii="Calibri" w:hAnsi="Calibri" w:cs="Calibri"/>
        </w:rPr>
      </w:pPr>
      <w:r w:rsidRPr="00C46FCC">
        <w:rPr>
          <w:rFonts w:ascii="Calibri" w:hAnsi="Calibri" w:cs="Calibri"/>
        </w:rPr>
        <w:t>16.</w:t>
      </w:r>
      <w:r w:rsidRPr="00C46FCC">
        <w:rPr>
          <w:rFonts w:ascii="Calibri" w:hAnsi="Calibri" w:cs="Calibri"/>
        </w:rPr>
        <w:tab/>
        <w:t xml:space="preserve">Fang, H., Du, Y., Pan, S., Zhong, M. &amp; Tang, J. Patients with Parkinson’s disease predict a lower incidence of colorectal cancer. </w:t>
      </w:r>
      <w:r w:rsidRPr="00C46FCC">
        <w:rPr>
          <w:rFonts w:ascii="Calibri" w:hAnsi="Calibri" w:cs="Calibri"/>
          <w:i/>
          <w:iCs/>
        </w:rPr>
        <w:t xml:space="preserve">BMC </w:t>
      </w:r>
      <w:proofErr w:type="spellStart"/>
      <w:r w:rsidRPr="00C46FCC">
        <w:rPr>
          <w:rFonts w:ascii="Calibri" w:hAnsi="Calibri" w:cs="Calibri"/>
          <w:i/>
          <w:iCs/>
        </w:rPr>
        <w:t>Geriatr</w:t>
      </w:r>
      <w:proofErr w:type="spellEnd"/>
      <w:r w:rsidRPr="00C46FCC">
        <w:rPr>
          <w:rFonts w:ascii="Calibri" w:hAnsi="Calibri" w:cs="Calibri"/>
          <w:i/>
          <w:iCs/>
        </w:rPr>
        <w:t>.</w:t>
      </w:r>
      <w:r w:rsidRPr="00C46FCC">
        <w:rPr>
          <w:rFonts w:ascii="Calibri" w:hAnsi="Calibri" w:cs="Calibri"/>
        </w:rPr>
        <w:t xml:space="preserve"> </w:t>
      </w:r>
      <w:r w:rsidRPr="00C46FCC">
        <w:rPr>
          <w:rFonts w:ascii="Calibri" w:hAnsi="Calibri" w:cs="Calibri"/>
          <w:b/>
          <w:bCs/>
        </w:rPr>
        <w:t>21</w:t>
      </w:r>
      <w:r w:rsidRPr="00C46FCC">
        <w:rPr>
          <w:rFonts w:ascii="Calibri" w:hAnsi="Calibri" w:cs="Calibri"/>
        </w:rPr>
        <w:t>, 564 (2021).</w:t>
      </w:r>
    </w:p>
    <w:p w14:paraId="6E591D87" w14:textId="77777777" w:rsidR="00C46FCC" w:rsidRPr="00C46FCC" w:rsidRDefault="00C46FCC" w:rsidP="00C46FCC">
      <w:pPr>
        <w:pStyle w:val="Bibliography"/>
        <w:rPr>
          <w:rFonts w:ascii="Calibri" w:hAnsi="Calibri" w:cs="Calibri"/>
        </w:rPr>
      </w:pPr>
      <w:r w:rsidRPr="00C46FCC">
        <w:rPr>
          <w:rFonts w:ascii="Calibri" w:hAnsi="Calibri" w:cs="Calibri"/>
        </w:rPr>
        <w:t>17.</w:t>
      </w:r>
      <w:r w:rsidRPr="00C46FCC">
        <w:rPr>
          <w:rFonts w:ascii="Calibri" w:hAnsi="Calibri" w:cs="Calibri"/>
        </w:rPr>
        <w:tab/>
        <w:t xml:space="preserve">Greathouse, K. L. </w:t>
      </w:r>
      <w:r w:rsidRPr="00C46FCC">
        <w:rPr>
          <w:rFonts w:ascii="Calibri" w:hAnsi="Calibri" w:cs="Calibri"/>
          <w:i/>
          <w:iCs/>
        </w:rPr>
        <w:t>et al.</w:t>
      </w:r>
      <w:r w:rsidRPr="00C46FCC">
        <w:rPr>
          <w:rFonts w:ascii="Calibri" w:hAnsi="Calibri" w:cs="Calibri"/>
        </w:rPr>
        <w:t xml:space="preserve"> Interaction between the microbiome and TP53 in human lung cancer. </w:t>
      </w:r>
      <w:r w:rsidRPr="00C46FCC">
        <w:rPr>
          <w:rFonts w:ascii="Calibri" w:hAnsi="Calibri" w:cs="Calibri"/>
          <w:i/>
          <w:iCs/>
        </w:rPr>
        <w:t>Genome Biol.</w:t>
      </w:r>
      <w:r w:rsidRPr="00C46FCC">
        <w:rPr>
          <w:rFonts w:ascii="Calibri" w:hAnsi="Calibri" w:cs="Calibri"/>
        </w:rPr>
        <w:t xml:space="preserve"> </w:t>
      </w:r>
      <w:r w:rsidRPr="00C46FCC">
        <w:rPr>
          <w:rFonts w:ascii="Calibri" w:hAnsi="Calibri" w:cs="Calibri"/>
          <w:b/>
          <w:bCs/>
        </w:rPr>
        <w:t>19</w:t>
      </w:r>
      <w:r w:rsidRPr="00C46FCC">
        <w:rPr>
          <w:rFonts w:ascii="Calibri" w:hAnsi="Calibri" w:cs="Calibri"/>
        </w:rPr>
        <w:t>, 123 (2018).</w:t>
      </w:r>
    </w:p>
    <w:p w14:paraId="6BCEB39C" w14:textId="77777777" w:rsidR="00C46FCC" w:rsidRPr="00C46FCC" w:rsidRDefault="00C46FCC" w:rsidP="00C46FCC">
      <w:pPr>
        <w:pStyle w:val="Bibliography"/>
        <w:rPr>
          <w:rFonts w:ascii="Calibri" w:hAnsi="Calibri" w:cs="Calibri"/>
        </w:rPr>
      </w:pPr>
      <w:r w:rsidRPr="00C46FCC">
        <w:rPr>
          <w:rFonts w:ascii="Calibri" w:hAnsi="Calibri" w:cs="Calibri"/>
        </w:rPr>
        <w:lastRenderedPageBreak/>
        <w:t>18.</w:t>
      </w:r>
      <w:r w:rsidRPr="00C46FCC">
        <w:rPr>
          <w:rFonts w:ascii="Calibri" w:hAnsi="Calibri" w:cs="Calibri"/>
        </w:rPr>
        <w:tab/>
        <w:t xml:space="preserve">Wang, Y., Wang, Y. &amp; Wang, J. A comprehensive analysis of intratumor microbiome in head and neck squamous cell carcinoma. </w:t>
      </w:r>
      <w:r w:rsidRPr="00C46FCC">
        <w:rPr>
          <w:rFonts w:ascii="Calibri" w:hAnsi="Calibri" w:cs="Calibri"/>
          <w:i/>
          <w:iCs/>
        </w:rPr>
        <w:t xml:space="preserve">Eur. Arch. </w:t>
      </w:r>
      <w:proofErr w:type="spellStart"/>
      <w:r w:rsidRPr="00C46FCC">
        <w:rPr>
          <w:rFonts w:ascii="Calibri" w:hAnsi="Calibri" w:cs="Calibri"/>
          <w:i/>
          <w:iCs/>
        </w:rPr>
        <w:t>Otorhinolaryngol</w:t>
      </w:r>
      <w:proofErr w:type="spellEnd"/>
      <w:r w:rsidRPr="00C46FCC">
        <w:rPr>
          <w:rFonts w:ascii="Calibri" w:hAnsi="Calibri" w:cs="Calibri"/>
          <w:i/>
          <w:iCs/>
        </w:rPr>
        <w:t>.</w:t>
      </w:r>
      <w:r w:rsidRPr="00C46FCC">
        <w:rPr>
          <w:rFonts w:ascii="Calibri" w:hAnsi="Calibri" w:cs="Calibri"/>
        </w:rPr>
        <w:t xml:space="preserve"> (2022) doi:10.1007/s00405-022-07284-z.</w:t>
      </w:r>
    </w:p>
    <w:p w14:paraId="73CD5357" w14:textId="77777777" w:rsidR="00C46FCC" w:rsidRPr="00C46FCC" w:rsidRDefault="00C46FCC" w:rsidP="00C46FCC">
      <w:pPr>
        <w:pStyle w:val="Bibliography"/>
        <w:rPr>
          <w:rFonts w:ascii="Calibri" w:hAnsi="Calibri" w:cs="Calibri"/>
        </w:rPr>
      </w:pPr>
      <w:r w:rsidRPr="00C46FCC">
        <w:rPr>
          <w:rFonts w:ascii="Calibri" w:hAnsi="Calibri" w:cs="Calibri"/>
        </w:rPr>
        <w:t>19.</w:t>
      </w:r>
      <w:r w:rsidRPr="00C46FCC">
        <w:rPr>
          <w:rFonts w:ascii="Calibri" w:hAnsi="Calibri" w:cs="Calibri"/>
        </w:rPr>
        <w:tab/>
      </w:r>
      <w:proofErr w:type="spellStart"/>
      <w:r w:rsidRPr="00C46FCC">
        <w:rPr>
          <w:rFonts w:ascii="Calibri" w:hAnsi="Calibri" w:cs="Calibri"/>
        </w:rPr>
        <w:t>Chakladar</w:t>
      </w:r>
      <w:proofErr w:type="spellEnd"/>
      <w:r w:rsidRPr="00C46FCC">
        <w:rPr>
          <w:rFonts w:ascii="Calibri" w:hAnsi="Calibri" w:cs="Calibri"/>
        </w:rPr>
        <w:t xml:space="preserve">, J. </w:t>
      </w:r>
      <w:r w:rsidRPr="00C46FCC">
        <w:rPr>
          <w:rFonts w:ascii="Calibri" w:hAnsi="Calibri" w:cs="Calibri"/>
          <w:i/>
          <w:iCs/>
        </w:rPr>
        <w:t>et al.</w:t>
      </w:r>
      <w:r w:rsidRPr="00C46FCC">
        <w:rPr>
          <w:rFonts w:ascii="Calibri" w:hAnsi="Calibri" w:cs="Calibri"/>
        </w:rPr>
        <w:t xml:space="preserve"> The Pancreatic Microbiome is Associated with Carcinogenesis and Worse Prognosis in Males and Smokers. </w:t>
      </w:r>
      <w:r w:rsidRPr="00C46FCC">
        <w:rPr>
          <w:rFonts w:ascii="Calibri" w:hAnsi="Calibri" w:cs="Calibri"/>
          <w:i/>
          <w:iCs/>
        </w:rPr>
        <w:t>Cancers</w:t>
      </w:r>
      <w:r w:rsidRPr="00C46FCC">
        <w:rPr>
          <w:rFonts w:ascii="Calibri" w:hAnsi="Calibri" w:cs="Calibri"/>
        </w:rPr>
        <w:t xml:space="preserve"> </w:t>
      </w:r>
      <w:r w:rsidRPr="00C46FCC">
        <w:rPr>
          <w:rFonts w:ascii="Calibri" w:hAnsi="Calibri" w:cs="Calibri"/>
          <w:b/>
          <w:bCs/>
        </w:rPr>
        <w:t>12</w:t>
      </w:r>
      <w:r w:rsidRPr="00C46FCC">
        <w:rPr>
          <w:rFonts w:ascii="Calibri" w:hAnsi="Calibri" w:cs="Calibri"/>
        </w:rPr>
        <w:t>, 2672 (2020).</w:t>
      </w:r>
    </w:p>
    <w:p w14:paraId="2703318F" w14:textId="77777777" w:rsidR="00C46FCC" w:rsidRPr="00C46FCC" w:rsidRDefault="00C46FCC" w:rsidP="00C46FCC">
      <w:pPr>
        <w:pStyle w:val="Bibliography"/>
        <w:rPr>
          <w:rFonts w:ascii="Calibri" w:hAnsi="Calibri" w:cs="Calibri"/>
        </w:rPr>
      </w:pPr>
      <w:r w:rsidRPr="00C46FCC">
        <w:rPr>
          <w:rFonts w:ascii="Calibri" w:hAnsi="Calibri" w:cs="Calibri"/>
        </w:rPr>
        <w:t>20.</w:t>
      </w:r>
      <w:r w:rsidRPr="00C46FCC">
        <w:rPr>
          <w:rFonts w:ascii="Calibri" w:hAnsi="Calibri" w:cs="Calibri"/>
        </w:rPr>
        <w:tab/>
        <w:t xml:space="preserve">Erickson, A. R. </w:t>
      </w:r>
      <w:r w:rsidRPr="00C46FCC">
        <w:rPr>
          <w:rFonts w:ascii="Calibri" w:hAnsi="Calibri" w:cs="Calibri"/>
          <w:i/>
          <w:iCs/>
        </w:rPr>
        <w:t>et al.</w:t>
      </w:r>
      <w:r w:rsidRPr="00C46FCC">
        <w:rPr>
          <w:rFonts w:ascii="Calibri" w:hAnsi="Calibri" w:cs="Calibri"/>
        </w:rPr>
        <w:t xml:space="preserve"> Integrated Metagenomics/</w:t>
      </w:r>
      <w:proofErr w:type="spellStart"/>
      <w:r w:rsidRPr="00C46FCC">
        <w:rPr>
          <w:rFonts w:ascii="Calibri" w:hAnsi="Calibri" w:cs="Calibri"/>
        </w:rPr>
        <w:t>Metaproteomics</w:t>
      </w:r>
      <w:proofErr w:type="spellEnd"/>
      <w:r w:rsidRPr="00C46FCC">
        <w:rPr>
          <w:rFonts w:ascii="Calibri" w:hAnsi="Calibri" w:cs="Calibri"/>
        </w:rPr>
        <w:t xml:space="preserve"> Reveals Human Host-Microbiota Signatures of Crohn’s Disease. </w:t>
      </w:r>
      <w:proofErr w:type="spellStart"/>
      <w:r w:rsidRPr="00C46FCC">
        <w:rPr>
          <w:rFonts w:ascii="Calibri" w:hAnsi="Calibri" w:cs="Calibri"/>
          <w:i/>
          <w:iCs/>
        </w:rPr>
        <w:t>PLoS</w:t>
      </w:r>
      <w:proofErr w:type="spellEnd"/>
      <w:r w:rsidRPr="00C46FCC">
        <w:rPr>
          <w:rFonts w:ascii="Calibri" w:hAnsi="Calibri" w:cs="Calibri"/>
          <w:i/>
          <w:iCs/>
        </w:rPr>
        <w:t xml:space="preserve"> ONE</w:t>
      </w:r>
      <w:r w:rsidRPr="00C46FCC">
        <w:rPr>
          <w:rFonts w:ascii="Calibri" w:hAnsi="Calibri" w:cs="Calibri"/>
        </w:rPr>
        <w:t xml:space="preserve"> </w:t>
      </w:r>
      <w:r w:rsidRPr="00C46FCC">
        <w:rPr>
          <w:rFonts w:ascii="Calibri" w:hAnsi="Calibri" w:cs="Calibri"/>
          <w:b/>
          <w:bCs/>
        </w:rPr>
        <w:t>7</w:t>
      </w:r>
      <w:r w:rsidRPr="00C46FCC">
        <w:rPr>
          <w:rFonts w:ascii="Calibri" w:hAnsi="Calibri" w:cs="Calibri"/>
        </w:rPr>
        <w:t>, e49138 (2012).</w:t>
      </w:r>
    </w:p>
    <w:p w14:paraId="409105A7" w14:textId="77777777" w:rsidR="00C46FCC" w:rsidRPr="00C46FCC" w:rsidRDefault="00C46FCC" w:rsidP="00C46FCC">
      <w:pPr>
        <w:pStyle w:val="Bibliography"/>
        <w:rPr>
          <w:rFonts w:ascii="Calibri" w:hAnsi="Calibri" w:cs="Calibri"/>
          <w:lang w:val="nl-NL"/>
        </w:rPr>
      </w:pPr>
      <w:r w:rsidRPr="00C46FCC">
        <w:rPr>
          <w:rFonts w:ascii="Calibri" w:hAnsi="Calibri" w:cs="Calibri"/>
        </w:rPr>
        <w:t>21.</w:t>
      </w:r>
      <w:r w:rsidRPr="00C46FCC">
        <w:rPr>
          <w:rFonts w:ascii="Calibri" w:hAnsi="Calibri" w:cs="Calibri"/>
        </w:rPr>
        <w:tab/>
      </w:r>
      <w:proofErr w:type="spellStart"/>
      <w:r w:rsidRPr="00C46FCC">
        <w:rPr>
          <w:rFonts w:ascii="Calibri" w:hAnsi="Calibri" w:cs="Calibri"/>
        </w:rPr>
        <w:t>Alberdi</w:t>
      </w:r>
      <w:proofErr w:type="spellEnd"/>
      <w:r w:rsidRPr="00C46FCC">
        <w:rPr>
          <w:rFonts w:ascii="Calibri" w:hAnsi="Calibri" w:cs="Calibri"/>
        </w:rPr>
        <w:t xml:space="preserve">, A., Andersen, S. B., </w:t>
      </w:r>
      <w:proofErr w:type="spellStart"/>
      <w:r w:rsidRPr="00C46FCC">
        <w:rPr>
          <w:rFonts w:ascii="Calibri" w:hAnsi="Calibri" w:cs="Calibri"/>
        </w:rPr>
        <w:t>Limborg</w:t>
      </w:r>
      <w:proofErr w:type="spellEnd"/>
      <w:r w:rsidRPr="00C46FCC">
        <w:rPr>
          <w:rFonts w:ascii="Calibri" w:hAnsi="Calibri" w:cs="Calibri"/>
        </w:rPr>
        <w:t xml:space="preserve">, M. T., Dunn, R. R. &amp; Gilbert, M. T. P. Disentangling host–microbiota complexity through </w:t>
      </w:r>
      <w:proofErr w:type="spellStart"/>
      <w:r w:rsidRPr="00C46FCC">
        <w:rPr>
          <w:rFonts w:ascii="Calibri" w:hAnsi="Calibri" w:cs="Calibri"/>
        </w:rPr>
        <w:t>hologenomics</w:t>
      </w:r>
      <w:proofErr w:type="spellEnd"/>
      <w:r w:rsidRPr="00C46FCC">
        <w:rPr>
          <w:rFonts w:ascii="Calibri" w:hAnsi="Calibri" w:cs="Calibri"/>
        </w:rPr>
        <w:t xml:space="preserve">. </w:t>
      </w:r>
      <w:r w:rsidRPr="00C46FCC">
        <w:rPr>
          <w:rFonts w:ascii="Calibri" w:hAnsi="Calibri" w:cs="Calibri"/>
          <w:i/>
          <w:iCs/>
          <w:lang w:val="nl-NL"/>
        </w:rPr>
        <w:t>Nat. Rev. Genet.</w:t>
      </w:r>
      <w:r w:rsidRPr="00C46FCC">
        <w:rPr>
          <w:rFonts w:ascii="Calibri" w:hAnsi="Calibri" w:cs="Calibri"/>
          <w:lang w:val="nl-NL"/>
        </w:rPr>
        <w:t xml:space="preserve"> 1–17 (2021) doi:10.1038/s41576-021-00421-0.</w:t>
      </w:r>
    </w:p>
    <w:p w14:paraId="1692B52E" w14:textId="77777777" w:rsidR="00C46FCC" w:rsidRPr="00C46FCC" w:rsidRDefault="00C46FCC" w:rsidP="00C46FCC">
      <w:pPr>
        <w:pStyle w:val="Bibliography"/>
        <w:rPr>
          <w:rFonts w:ascii="Calibri" w:hAnsi="Calibri" w:cs="Calibri"/>
        </w:rPr>
      </w:pPr>
      <w:r w:rsidRPr="00C46FCC">
        <w:rPr>
          <w:rFonts w:ascii="Calibri" w:hAnsi="Calibri" w:cs="Calibri"/>
          <w:lang w:val="nl-NL"/>
        </w:rPr>
        <w:t>22.</w:t>
      </w:r>
      <w:r w:rsidRPr="00C46FCC">
        <w:rPr>
          <w:rFonts w:ascii="Calibri" w:hAnsi="Calibri" w:cs="Calibri"/>
          <w:lang w:val="nl-NL"/>
        </w:rPr>
        <w:tab/>
        <w:t xml:space="preserve">Limborg, M. T. </w:t>
      </w:r>
      <w:r w:rsidRPr="00C46FCC">
        <w:rPr>
          <w:rFonts w:ascii="Calibri" w:hAnsi="Calibri" w:cs="Calibri"/>
          <w:i/>
          <w:iCs/>
          <w:lang w:val="nl-NL"/>
        </w:rPr>
        <w:t>et al.</w:t>
      </w:r>
      <w:r w:rsidRPr="00C46FCC">
        <w:rPr>
          <w:rFonts w:ascii="Calibri" w:hAnsi="Calibri" w:cs="Calibri"/>
          <w:lang w:val="nl-NL"/>
        </w:rPr>
        <w:t xml:space="preserve"> </w:t>
      </w:r>
      <w:r w:rsidRPr="00C46FCC">
        <w:rPr>
          <w:rFonts w:ascii="Calibri" w:hAnsi="Calibri" w:cs="Calibri"/>
        </w:rPr>
        <w:t xml:space="preserve">Applied </w:t>
      </w:r>
      <w:proofErr w:type="spellStart"/>
      <w:r w:rsidRPr="00C46FCC">
        <w:rPr>
          <w:rFonts w:ascii="Calibri" w:hAnsi="Calibri" w:cs="Calibri"/>
        </w:rPr>
        <w:t>Hologenomics</w:t>
      </w:r>
      <w:proofErr w:type="spellEnd"/>
      <w:r w:rsidRPr="00C46FCC">
        <w:rPr>
          <w:rFonts w:ascii="Calibri" w:hAnsi="Calibri" w:cs="Calibri"/>
        </w:rPr>
        <w:t xml:space="preserve">: Feasibility and Potential in Aquaculture. </w:t>
      </w:r>
      <w:r w:rsidRPr="00C46FCC">
        <w:rPr>
          <w:rFonts w:ascii="Calibri" w:hAnsi="Calibri" w:cs="Calibri"/>
          <w:i/>
          <w:iCs/>
        </w:rPr>
        <w:t xml:space="preserve">Trends </w:t>
      </w:r>
      <w:proofErr w:type="spellStart"/>
      <w:r w:rsidRPr="00C46FCC">
        <w:rPr>
          <w:rFonts w:ascii="Calibri" w:hAnsi="Calibri" w:cs="Calibri"/>
          <w:i/>
          <w:iCs/>
        </w:rPr>
        <w:t>Biotechnol</w:t>
      </w:r>
      <w:proofErr w:type="spellEnd"/>
      <w:r w:rsidRPr="00C46FCC">
        <w:rPr>
          <w:rFonts w:ascii="Calibri" w:hAnsi="Calibri" w:cs="Calibri"/>
          <w:i/>
          <w:iCs/>
        </w:rPr>
        <w:t>.</w:t>
      </w:r>
      <w:r w:rsidRPr="00C46FCC">
        <w:rPr>
          <w:rFonts w:ascii="Calibri" w:hAnsi="Calibri" w:cs="Calibri"/>
        </w:rPr>
        <w:t xml:space="preserve"> </w:t>
      </w:r>
      <w:r w:rsidRPr="00C46FCC">
        <w:rPr>
          <w:rFonts w:ascii="Calibri" w:hAnsi="Calibri" w:cs="Calibri"/>
          <w:b/>
          <w:bCs/>
        </w:rPr>
        <w:t>36</w:t>
      </w:r>
      <w:r w:rsidRPr="00C46FCC">
        <w:rPr>
          <w:rFonts w:ascii="Calibri" w:hAnsi="Calibri" w:cs="Calibri"/>
        </w:rPr>
        <w:t>, 252–264 (2018).</w:t>
      </w:r>
    </w:p>
    <w:p w14:paraId="153D7390" w14:textId="77777777" w:rsidR="00C46FCC" w:rsidRPr="00C46FCC" w:rsidRDefault="00C46FCC" w:rsidP="00C46FCC">
      <w:pPr>
        <w:pStyle w:val="Bibliography"/>
        <w:rPr>
          <w:rFonts w:ascii="Calibri" w:hAnsi="Calibri" w:cs="Calibri"/>
        </w:rPr>
      </w:pPr>
      <w:r w:rsidRPr="00C46FCC">
        <w:rPr>
          <w:rFonts w:ascii="Calibri" w:hAnsi="Calibri" w:cs="Calibri"/>
        </w:rPr>
        <w:t>23.</w:t>
      </w:r>
      <w:r w:rsidRPr="00C46FCC">
        <w:rPr>
          <w:rFonts w:ascii="Calibri" w:hAnsi="Calibri" w:cs="Calibri"/>
        </w:rPr>
        <w:tab/>
        <w:t xml:space="preserve">Way, G. P. &amp; Greene, C. S. Extracting a biologically relevant latent space from cancer transcriptomes with variational autoencoders. </w:t>
      </w:r>
      <w:r w:rsidRPr="00C46FCC">
        <w:rPr>
          <w:rFonts w:ascii="Calibri" w:hAnsi="Calibri" w:cs="Calibri"/>
          <w:i/>
          <w:iCs/>
        </w:rPr>
        <w:t xml:space="preserve">Pac. </w:t>
      </w:r>
      <w:proofErr w:type="spellStart"/>
      <w:r w:rsidRPr="00C46FCC">
        <w:rPr>
          <w:rFonts w:ascii="Calibri" w:hAnsi="Calibri" w:cs="Calibri"/>
          <w:i/>
          <w:iCs/>
        </w:rPr>
        <w:t>Symp</w:t>
      </w:r>
      <w:proofErr w:type="spellEnd"/>
      <w:r w:rsidRPr="00C46FCC">
        <w:rPr>
          <w:rFonts w:ascii="Calibri" w:hAnsi="Calibri" w:cs="Calibri"/>
          <w:i/>
          <w:iCs/>
        </w:rPr>
        <w:t xml:space="preserve">. </w:t>
      </w:r>
      <w:proofErr w:type="spellStart"/>
      <w:r w:rsidRPr="00C46FCC">
        <w:rPr>
          <w:rFonts w:ascii="Calibri" w:hAnsi="Calibri" w:cs="Calibri"/>
          <w:i/>
          <w:iCs/>
        </w:rPr>
        <w:t>Biocomput</w:t>
      </w:r>
      <w:proofErr w:type="spellEnd"/>
      <w:r w:rsidRPr="00C46FCC">
        <w:rPr>
          <w:rFonts w:ascii="Calibri" w:hAnsi="Calibri" w:cs="Calibri"/>
          <w:i/>
          <w:iCs/>
        </w:rPr>
        <w:t xml:space="preserve">. Pac. </w:t>
      </w:r>
      <w:proofErr w:type="spellStart"/>
      <w:r w:rsidRPr="00C46FCC">
        <w:rPr>
          <w:rFonts w:ascii="Calibri" w:hAnsi="Calibri" w:cs="Calibri"/>
          <w:i/>
          <w:iCs/>
        </w:rPr>
        <w:t>Symp</w:t>
      </w:r>
      <w:proofErr w:type="spellEnd"/>
      <w:r w:rsidRPr="00C46FCC">
        <w:rPr>
          <w:rFonts w:ascii="Calibri" w:hAnsi="Calibri" w:cs="Calibri"/>
          <w:i/>
          <w:iCs/>
        </w:rPr>
        <w:t xml:space="preserve">. </w:t>
      </w:r>
      <w:proofErr w:type="spellStart"/>
      <w:r w:rsidRPr="00C46FCC">
        <w:rPr>
          <w:rFonts w:ascii="Calibri" w:hAnsi="Calibri" w:cs="Calibri"/>
          <w:i/>
          <w:iCs/>
        </w:rPr>
        <w:t>Biocomput</w:t>
      </w:r>
      <w:proofErr w:type="spellEnd"/>
      <w:r w:rsidRPr="00C46FCC">
        <w:rPr>
          <w:rFonts w:ascii="Calibri" w:hAnsi="Calibri" w:cs="Calibri"/>
          <w:i/>
          <w:iCs/>
        </w:rPr>
        <w:t>.</w:t>
      </w:r>
      <w:r w:rsidRPr="00C46FCC">
        <w:rPr>
          <w:rFonts w:ascii="Calibri" w:hAnsi="Calibri" w:cs="Calibri"/>
        </w:rPr>
        <w:t xml:space="preserve"> </w:t>
      </w:r>
      <w:r w:rsidRPr="00C46FCC">
        <w:rPr>
          <w:rFonts w:ascii="Calibri" w:hAnsi="Calibri" w:cs="Calibri"/>
          <w:b/>
          <w:bCs/>
        </w:rPr>
        <w:t>23</w:t>
      </w:r>
      <w:r w:rsidRPr="00C46FCC">
        <w:rPr>
          <w:rFonts w:ascii="Calibri" w:hAnsi="Calibri" w:cs="Calibri"/>
        </w:rPr>
        <w:t>, 80–91 (2018).</w:t>
      </w:r>
    </w:p>
    <w:p w14:paraId="71872A95" w14:textId="77777777" w:rsidR="00C46FCC" w:rsidRPr="00C46FCC" w:rsidRDefault="00C46FCC" w:rsidP="00C46FCC">
      <w:pPr>
        <w:pStyle w:val="Bibliography"/>
        <w:rPr>
          <w:rFonts w:ascii="Calibri" w:hAnsi="Calibri" w:cs="Calibri"/>
        </w:rPr>
      </w:pPr>
      <w:r w:rsidRPr="00C46FCC">
        <w:rPr>
          <w:rFonts w:ascii="Calibri" w:hAnsi="Calibri" w:cs="Calibri"/>
        </w:rPr>
        <w:t>24.</w:t>
      </w:r>
      <w:r w:rsidRPr="00C46FCC">
        <w:rPr>
          <w:rFonts w:ascii="Calibri" w:hAnsi="Calibri" w:cs="Calibri"/>
        </w:rPr>
        <w:tab/>
        <w:t xml:space="preserve">Ding, M. Q., Chen, L., Cooper, G. F., Young, J. D. &amp; Lu, X. Precision Oncology beyond Targeted Therapy: Combining Omics Data with Machine Learning Matches the Majority of Cancer Cells to Effective Therapeutics. </w:t>
      </w:r>
      <w:r w:rsidRPr="00C46FCC">
        <w:rPr>
          <w:rFonts w:ascii="Calibri" w:hAnsi="Calibri" w:cs="Calibri"/>
          <w:i/>
          <w:iCs/>
        </w:rPr>
        <w:t>Mol. Cancer Res.</w:t>
      </w:r>
      <w:r w:rsidRPr="00C46FCC">
        <w:rPr>
          <w:rFonts w:ascii="Calibri" w:hAnsi="Calibri" w:cs="Calibri"/>
        </w:rPr>
        <w:t xml:space="preserve"> </w:t>
      </w:r>
      <w:r w:rsidRPr="00C46FCC">
        <w:rPr>
          <w:rFonts w:ascii="Calibri" w:hAnsi="Calibri" w:cs="Calibri"/>
          <w:b/>
          <w:bCs/>
        </w:rPr>
        <w:t>16</w:t>
      </w:r>
      <w:r w:rsidRPr="00C46FCC">
        <w:rPr>
          <w:rFonts w:ascii="Calibri" w:hAnsi="Calibri" w:cs="Calibri"/>
        </w:rPr>
        <w:t>, 269–278 (2018).</w:t>
      </w:r>
    </w:p>
    <w:p w14:paraId="69799D13" w14:textId="77777777" w:rsidR="00C46FCC" w:rsidRPr="00C46FCC" w:rsidRDefault="00C46FCC" w:rsidP="00C46FCC">
      <w:pPr>
        <w:pStyle w:val="Bibliography"/>
        <w:rPr>
          <w:rFonts w:ascii="Calibri" w:hAnsi="Calibri" w:cs="Calibri"/>
        </w:rPr>
      </w:pPr>
      <w:r w:rsidRPr="00C46FCC">
        <w:rPr>
          <w:rFonts w:ascii="Calibri" w:hAnsi="Calibri" w:cs="Calibri"/>
        </w:rPr>
        <w:t>25.</w:t>
      </w:r>
      <w:r w:rsidRPr="00C46FCC">
        <w:rPr>
          <w:rFonts w:ascii="Calibri" w:hAnsi="Calibri" w:cs="Calibri"/>
        </w:rPr>
        <w:tab/>
        <w:t xml:space="preserve">Chaudhary, K., </w:t>
      </w:r>
      <w:proofErr w:type="spellStart"/>
      <w:r w:rsidRPr="00C46FCC">
        <w:rPr>
          <w:rFonts w:ascii="Calibri" w:hAnsi="Calibri" w:cs="Calibri"/>
        </w:rPr>
        <w:t>Poirion</w:t>
      </w:r>
      <w:proofErr w:type="spellEnd"/>
      <w:r w:rsidRPr="00C46FCC">
        <w:rPr>
          <w:rFonts w:ascii="Calibri" w:hAnsi="Calibri" w:cs="Calibri"/>
        </w:rPr>
        <w:t xml:space="preserve">, O. B., Lu, L. &amp; </w:t>
      </w:r>
      <w:proofErr w:type="spellStart"/>
      <w:r w:rsidRPr="00C46FCC">
        <w:rPr>
          <w:rFonts w:ascii="Calibri" w:hAnsi="Calibri" w:cs="Calibri"/>
        </w:rPr>
        <w:t>Garmire</w:t>
      </w:r>
      <w:proofErr w:type="spellEnd"/>
      <w:r w:rsidRPr="00C46FCC">
        <w:rPr>
          <w:rFonts w:ascii="Calibri" w:hAnsi="Calibri" w:cs="Calibri"/>
        </w:rPr>
        <w:t xml:space="preserve">, L. X. Deep Learning–Based Multi-Omics Integration Robustly Predicts Survival in Liver Cancer. </w:t>
      </w:r>
      <w:r w:rsidRPr="00C46FCC">
        <w:rPr>
          <w:rFonts w:ascii="Calibri" w:hAnsi="Calibri" w:cs="Calibri"/>
          <w:i/>
          <w:iCs/>
        </w:rPr>
        <w:t>Clin. Cancer Res.</w:t>
      </w:r>
      <w:r w:rsidRPr="00C46FCC">
        <w:rPr>
          <w:rFonts w:ascii="Calibri" w:hAnsi="Calibri" w:cs="Calibri"/>
        </w:rPr>
        <w:t xml:space="preserve"> </w:t>
      </w:r>
      <w:r w:rsidRPr="00C46FCC">
        <w:rPr>
          <w:rFonts w:ascii="Calibri" w:hAnsi="Calibri" w:cs="Calibri"/>
          <w:b/>
          <w:bCs/>
        </w:rPr>
        <w:t>24</w:t>
      </w:r>
      <w:r w:rsidRPr="00C46FCC">
        <w:rPr>
          <w:rFonts w:ascii="Calibri" w:hAnsi="Calibri" w:cs="Calibri"/>
        </w:rPr>
        <w:t>, 1248–1259 (2018).</w:t>
      </w:r>
    </w:p>
    <w:p w14:paraId="798BC0FC" w14:textId="77777777" w:rsidR="00C46FCC" w:rsidRPr="00C46FCC" w:rsidRDefault="00C46FCC" w:rsidP="00C46FCC">
      <w:pPr>
        <w:pStyle w:val="Bibliography"/>
        <w:rPr>
          <w:rFonts w:ascii="Calibri" w:hAnsi="Calibri" w:cs="Calibri"/>
        </w:rPr>
      </w:pPr>
      <w:r w:rsidRPr="00C46FCC">
        <w:rPr>
          <w:rFonts w:ascii="Calibri" w:hAnsi="Calibri" w:cs="Calibri"/>
        </w:rPr>
        <w:t>26.</w:t>
      </w:r>
      <w:r w:rsidRPr="00C46FCC">
        <w:rPr>
          <w:rFonts w:ascii="Calibri" w:hAnsi="Calibri" w:cs="Calibri"/>
        </w:rPr>
        <w:tab/>
        <w:t xml:space="preserve">Koul, N. &amp; Manvi, S. S. Feature Selection From Gene Expression Data Using Simulated Annealing and Partial Least Squares Regression Coefficients. </w:t>
      </w:r>
      <w:r w:rsidRPr="00C46FCC">
        <w:rPr>
          <w:rFonts w:ascii="Calibri" w:hAnsi="Calibri" w:cs="Calibri"/>
          <w:i/>
          <w:iCs/>
        </w:rPr>
        <w:t>Glob. Transit. Proc.</w:t>
      </w:r>
      <w:r w:rsidRPr="00C46FCC">
        <w:rPr>
          <w:rFonts w:ascii="Calibri" w:hAnsi="Calibri" w:cs="Calibri"/>
        </w:rPr>
        <w:t xml:space="preserve"> </w:t>
      </w:r>
      <w:r w:rsidRPr="00C46FCC">
        <w:rPr>
          <w:rFonts w:ascii="Calibri" w:hAnsi="Calibri" w:cs="Calibri"/>
          <w:b/>
          <w:bCs/>
        </w:rPr>
        <w:t>3</w:t>
      </w:r>
      <w:r w:rsidRPr="00C46FCC">
        <w:rPr>
          <w:rFonts w:ascii="Calibri" w:hAnsi="Calibri" w:cs="Calibri"/>
        </w:rPr>
        <w:t>, 251–256 (2022).</w:t>
      </w:r>
    </w:p>
    <w:p w14:paraId="017770A6" w14:textId="77777777" w:rsidR="00C46FCC" w:rsidRPr="00C46FCC" w:rsidRDefault="00C46FCC" w:rsidP="00C46FCC">
      <w:pPr>
        <w:pStyle w:val="Bibliography"/>
        <w:rPr>
          <w:rFonts w:ascii="Calibri" w:hAnsi="Calibri" w:cs="Calibri"/>
        </w:rPr>
      </w:pPr>
      <w:r w:rsidRPr="00C46FCC">
        <w:rPr>
          <w:rFonts w:ascii="Calibri" w:hAnsi="Calibri" w:cs="Calibri"/>
        </w:rPr>
        <w:t>27.</w:t>
      </w:r>
      <w:r w:rsidRPr="00C46FCC">
        <w:rPr>
          <w:rFonts w:ascii="Calibri" w:hAnsi="Calibri" w:cs="Calibri"/>
        </w:rPr>
        <w:tab/>
        <w:t xml:space="preserve">Sen </w:t>
      </w:r>
      <w:proofErr w:type="spellStart"/>
      <w:r w:rsidRPr="00C46FCC">
        <w:rPr>
          <w:rFonts w:ascii="Calibri" w:hAnsi="Calibri" w:cs="Calibri"/>
        </w:rPr>
        <w:t>Puliparambil</w:t>
      </w:r>
      <w:proofErr w:type="spellEnd"/>
      <w:r w:rsidRPr="00C46FCC">
        <w:rPr>
          <w:rFonts w:ascii="Calibri" w:hAnsi="Calibri" w:cs="Calibri"/>
        </w:rPr>
        <w:t xml:space="preserve">, B., </w:t>
      </w:r>
      <w:proofErr w:type="spellStart"/>
      <w:r w:rsidRPr="00C46FCC">
        <w:rPr>
          <w:rFonts w:ascii="Calibri" w:hAnsi="Calibri" w:cs="Calibri"/>
        </w:rPr>
        <w:t>Tomal</w:t>
      </w:r>
      <w:proofErr w:type="spellEnd"/>
      <w:r w:rsidRPr="00C46FCC">
        <w:rPr>
          <w:rFonts w:ascii="Calibri" w:hAnsi="Calibri" w:cs="Calibri"/>
        </w:rPr>
        <w:t xml:space="preserve">, J. H. &amp; Yan, Y. A Novel Algorithm for Feature Selection Using Penalized Regression with Applications to Single-Cell RNA Sequencing Data. </w:t>
      </w:r>
      <w:r w:rsidRPr="00C46FCC">
        <w:rPr>
          <w:rFonts w:ascii="Calibri" w:hAnsi="Calibri" w:cs="Calibri"/>
          <w:i/>
          <w:iCs/>
        </w:rPr>
        <w:t>Biology</w:t>
      </w:r>
      <w:r w:rsidRPr="00C46FCC">
        <w:rPr>
          <w:rFonts w:ascii="Calibri" w:hAnsi="Calibri" w:cs="Calibri"/>
        </w:rPr>
        <w:t xml:space="preserve"> </w:t>
      </w:r>
      <w:r w:rsidRPr="00C46FCC">
        <w:rPr>
          <w:rFonts w:ascii="Calibri" w:hAnsi="Calibri" w:cs="Calibri"/>
          <w:b/>
          <w:bCs/>
        </w:rPr>
        <w:t>11</w:t>
      </w:r>
      <w:r w:rsidRPr="00C46FCC">
        <w:rPr>
          <w:rFonts w:ascii="Calibri" w:hAnsi="Calibri" w:cs="Calibri"/>
        </w:rPr>
        <w:t>, 1495 (2022).</w:t>
      </w:r>
    </w:p>
    <w:p w14:paraId="5E292F66" w14:textId="77777777" w:rsidR="00C46FCC" w:rsidRPr="00C46FCC" w:rsidRDefault="00C46FCC" w:rsidP="00C46FCC">
      <w:pPr>
        <w:pStyle w:val="Bibliography"/>
        <w:rPr>
          <w:rFonts w:ascii="Calibri" w:hAnsi="Calibri" w:cs="Calibri"/>
        </w:rPr>
      </w:pPr>
      <w:r w:rsidRPr="00C46FCC">
        <w:rPr>
          <w:rFonts w:ascii="Calibri" w:hAnsi="Calibri" w:cs="Calibri"/>
        </w:rPr>
        <w:lastRenderedPageBreak/>
        <w:t>28.</w:t>
      </w:r>
      <w:r w:rsidRPr="00C46FCC">
        <w:rPr>
          <w:rFonts w:ascii="Calibri" w:hAnsi="Calibri" w:cs="Calibri"/>
        </w:rPr>
        <w:tab/>
      </w:r>
      <w:proofErr w:type="spellStart"/>
      <w:r w:rsidRPr="00C46FCC">
        <w:rPr>
          <w:rFonts w:ascii="Calibri" w:hAnsi="Calibri" w:cs="Calibri"/>
        </w:rPr>
        <w:t>Rupapara</w:t>
      </w:r>
      <w:proofErr w:type="spellEnd"/>
      <w:r w:rsidRPr="00C46FCC">
        <w:rPr>
          <w:rFonts w:ascii="Calibri" w:hAnsi="Calibri" w:cs="Calibri"/>
        </w:rPr>
        <w:t xml:space="preserve">, V. </w:t>
      </w:r>
      <w:r w:rsidRPr="00C46FCC">
        <w:rPr>
          <w:rFonts w:ascii="Calibri" w:hAnsi="Calibri" w:cs="Calibri"/>
          <w:i/>
          <w:iCs/>
        </w:rPr>
        <w:t>et al.</w:t>
      </w:r>
      <w:r w:rsidRPr="00C46FCC">
        <w:rPr>
          <w:rFonts w:ascii="Calibri" w:hAnsi="Calibri" w:cs="Calibri"/>
        </w:rPr>
        <w:t xml:space="preserve"> Blood cancer prediction using leukemia microarray gene data and hybrid logistic vector trees model. </w:t>
      </w:r>
      <w:r w:rsidRPr="00C46FCC">
        <w:rPr>
          <w:rFonts w:ascii="Calibri" w:hAnsi="Calibri" w:cs="Calibri"/>
          <w:i/>
          <w:iCs/>
        </w:rPr>
        <w:t>Sci. Rep.</w:t>
      </w:r>
      <w:r w:rsidRPr="00C46FCC">
        <w:rPr>
          <w:rFonts w:ascii="Calibri" w:hAnsi="Calibri" w:cs="Calibri"/>
        </w:rPr>
        <w:t xml:space="preserve"> </w:t>
      </w:r>
      <w:r w:rsidRPr="00C46FCC">
        <w:rPr>
          <w:rFonts w:ascii="Calibri" w:hAnsi="Calibri" w:cs="Calibri"/>
          <w:b/>
          <w:bCs/>
        </w:rPr>
        <w:t>12</w:t>
      </w:r>
      <w:r w:rsidRPr="00C46FCC">
        <w:rPr>
          <w:rFonts w:ascii="Calibri" w:hAnsi="Calibri" w:cs="Calibri"/>
        </w:rPr>
        <w:t>, 1000 (2022).</w:t>
      </w:r>
    </w:p>
    <w:p w14:paraId="6D0C4481" w14:textId="77777777" w:rsidR="00C46FCC" w:rsidRPr="00C46FCC" w:rsidRDefault="00C46FCC" w:rsidP="00C46FCC">
      <w:pPr>
        <w:pStyle w:val="Bibliography"/>
        <w:rPr>
          <w:rFonts w:ascii="Calibri" w:hAnsi="Calibri" w:cs="Calibri"/>
        </w:rPr>
      </w:pPr>
      <w:r w:rsidRPr="00C46FCC">
        <w:rPr>
          <w:rFonts w:ascii="Calibri" w:hAnsi="Calibri" w:cs="Calibri"/>
        </w:rPr>
        <w:t>29.</w:t>
      </w:r>
      <w:r w:rsidRPr="00C46FCC">
        <w:rPr>
          <w:rFonts w:ascii="Calibri" w:hAnsi="Calibri" w:cs="Calibri"/>
        </w:rPr>
        <w:tab/>
        <w:t xml:space="preserve">Abdelnaby, M., Alfonse, M. &amp; </w:t>
      </w:r>
      <w:proofErr w:type="spellStart"/>
      <w:r w:rsidRPr="00C46FCC">
        <w:rPr>
          <w:rFonts w:ascii="Calibri" w:hAnsi="Calibri" w:cs="Calibri"/>
        </w:rPr>
        <w:t>Roushdy</w:t>
      </w:r>
      <w:proofErr w:type="spellEnd"/>
      <w:r w:rsidRPr="00C46FCC">
        <w:rPr>
          <w:rFonts w:ascii="Calibri" w:hAnsi="Calibri" w:cs="Calibri"/>
        </w:rPr>
        <w:t xml:space="preserve">, M. </w:t>
      </w:r>
      <w:r w:rsidRPr="00C46FCC">
        <w:rPr>
          <w:rFonts w:ascii="Calibri" w:hAnsi="Calibri" w:cs="Calibri"/>
          <w:i/>
          <w:iCs/>
        </w:rPr>
        <w:t>A Hybrid Mutual Information-LASSO-Genetic Algorithm Selection Approach for Classifying Breast Cancer</w:t>
      </w:r>
      <w:r w:rsidRPr="00C46FCC">
        <w:rPr>
          <w:rFonts w:ascii="Calibri" w:hAnsi="Calibri" w:cs="Calibri"/>
        </w:rPr>
        <w:t>. (2021). doi:10.1007/978-981-16-2275-5_36.</w:t>
      </w:r>
    </w:p>
    <w:p w14:paraId="0AACF61D" w14:textId="77777777" w:rsidR="00C46FCC" w:rsidRPr="00C46FCC" w:rsidRDefault="00C46FCC" w:rsidP="00C46FCC">
      <w:pPr>
        <w:pStyle w:val="Bibliography"/>
        <w:rPr>
          <w:rFonts w:ascii="Calibri" w:hAnsi="Calibri" w:cs="Calibri"/>
        </w:rPr>
      </w:pPr>
      <w:r w:rsidRPr="00C46FCC">
        <w:rPr>
          <w:rFonts w:ascii="Calibri" w:hAnsi="Calibri" w:cs="Calibri"/>
        </w:rPr>
        <w:t>30.</w:t>
      </w:r>
      <w:r w:rsidRPr="00C46FCC">
        <w:rPr>
          <w:rFonts w:ascii="Calibri" w:hAnsi="Calibri" w:cs="Calibri"/>
        </w:rPr>
        <w:tab/>
        <w:t xml:space="preserve">Duan, R. </w:t>
      </w:r>
      <w:r w:rsidRPr="00C46FCC">
        <w:rPr>
          <w:rFonts w:ascii="Calibri" w:hAnsi="Calibri" w:cs="Calibri"/>
          <w:i/>
          <w:iCs/>
        </w:rPr>
        <w:t>et al.</w:t>
      </w:r>
      <w:r w:rsidRPr="00C46FCC">
        <w:rPr>
          <w:rFonts w:ascii="Calibri" w:hAnsi="Calibri" w:cs="Calibri"/>
        </w:rPr>
        <w:t xml:space="preserve"> Evaluation and comparison of multi-omics data integration methods for cancer subtyping. </w:t>
      </w:r>
      <w:r w:rsidRPr="00C46FCC">
        <w:rPr>
          <w:rFonts w:ascii="Calibri" w:hAnsi="Calibri" w:cs="Calibri"/>
          <w:i/>
          <w:iCs/>
        </w:rPr>
        <w:t xml:space="preserve">PLOS </w:t>
      </w:r>
      <w:proofErr w:type="spellStart"/>
      <w:r w:rsidRPr="00C46FCC">
        <w:rPr>
          <w:rFonts w:ascii="Calibri" w:hAnsi="Calibri" w:cs="Calibri"/>
          <w:i/>
          <w:iCs/>
        </w:rPr>
        <w:t>Comput</w:t>
      </w:r>
      <w:proofErr w:type="spellEnd"/>
      <w:r w:rsidRPr="00C46FCC">
        <w:rPr>
          <w:rFonts w:ascii="Calibri" w:hAnsi="Calibri" w:cs="Calibri"/>
          <w:i/>
          <w:iCs/>
        </w:rPr>
        <w:t>. Biol.</w:t>
      </w:r>
      <w:r w:rsidRPr="00C46FCC">
        <w:rPr>
          <w:rFonts w:ascii="Calibri" w:hAnsi="Calibri" w:cs="Calibri"/>
        </w:rPr>
        <w:t xml:space="preserve"> </w:t>
      </w:r>
      <w:r w:rsidRPr="00C46FCC">
        <w:rPr>
          <w:rFonts w:ascii="Calibri" w:hAnsi="Calibri" w:cs="Calibri"/>
          <w:b/>
          <w:bCs/>
        </w:rPr>
        <w:t>17</w:t>
      </w:r>
      <w:r w:rsidRPr="00C46FCC">
        <w:rPr>
          <w:rFonts w:ascii="Calibri" w:hAnsi="Calibri" w:cs="Calibri"/>
        </w:rPr>
        <w:t>, e1009224 (2021).</w:t>
      </w:r>
    </w:p>
    <w:p w14:paraId="286A63B8" w14:textId="77777777" w:rsidR="00C46FCC" w:rsidRPr="00C46FCC" w:rsidRDefault="00C46FCC" w:rsidP="00C46FCC">
      <w:pPr>
        <w:pStyle w:val="Bibliography"/>
        <w:rPr>
          <w:rFonts w:ascii="Calibri" w:hAnsi="Calibri" w:cs="Calibri"/>
        </w:rPr>
      </w:pPr>
      <w:r w:rsidRPr="00C46FCC">
        <w:rPr>
          <w:rFonts w:ascii="Calibri" w:hAnsi="Calibri" w:cs="Calibri"/>
        </w:rPr>
        <w:t>31.</w:t>
      </w:r>
      <w:r w:rsidRPr="00C46FCC">
        <w:rPr>
          <w:rFonts w:ascii="Calibri" w:hAnsi="Calibri" w:cs="Calibri"/>
        </w:rPr>
        <w:tab/>
        <w:t xml:space="preserve">Peek, R. M. &amp; Blaser, M. J. Helicobacter pylori and gastrointestinal tract adenocarcinomas. </w:t>
      </w:r>
      <w:r w:rsidRPr="00C46FCC">
        <w:rPr>
          <w:rFonts w:ascii="Calibri" w:hAnsi="Calibri" w:cs="Calibri"/>
          <w:i/>
          <w:iCs/>
        </w:rPr>
        <w:t>Nat. Rev. Cancer</w:t>
      </w:r>
      <w:r w:rsidRPr="00C46FCC">
        <w:rPr>
          <w:rFonts w:ascii="Calibri" w:hAnsi="Calibri" w:cs="Calibri"/>
        </w:rPr>
        <w:t xml:space="preserve"> </w:t>
      </w:r>
      <w:r w:rsidRPr="00C46FCC">
        <w:rPr>
          <w:rFonts w:ascii="Calibri" w:hAnsi="Calibri" w:cs="Calibri"/>
          <w:b/>
          <w:bCs/>
        </w:rPr>
        <w:t>2</w:t>
      </w:r>
      <w:r w:rsidRPr="00C46FCC">
        <w:rPr>
          <w:rFonts w:ascii="Calibri" w:hAnsi="Calibri" w:cs="Calibri"/>
        </w:rPr>
        <w:t>, 28–37 (2002).</w:t>
      </w:r>
    </w:p>
    <w:p w14:paraId="148051A1" w14:textId="77777777" w:rsidR="00C46FCC" w:rsidRPr="00C46FCC" w:rsidRDefault="00C46FCC" w:rsidP="00C46FCC">
      <w:pPr>
        <w:pStyle w:val="Bibliography"/>
        <w:rPr>
          <w:rFonts w:ascii="Calibri" w:hAnsi="Calibri" w:cs="Calibri"/>
        </w:rPr>
      </w:pPr>
      <w:r w:rsidRPr="00C46FCC">
        <w:rPr>
          <w:rFonts w:ascii="Calibri" w:hAnsi="Calibri" w:cs="Calibri"/>
        </w:rPr>
        <w:t>32.</w:t>
      </w:r>
      <w:r w:rsidRPr="00C46FCC">
        <w:rPr>
          <w:rFonts w:ascii="Calibri" w:hAnsi="Calibri" w:cs="Calibri"/>
        </w:rPr>
        <w:tab/>
        <w:t xml:space="preserve">Blaser, M. J. </w:t>
      </w:r>
      <w:r w:rsidRPr="00C46FCC">
        <w:rPr>
          <w:rFonts w:ascii="Calibri" w:hAnsi="Calibri" w:cs="Calibri"/>
          <w:i/>
          <w:iCs/>
        </w:rPr>
        <w:t>et al.</w:t>
      </w:r>
      <w:r w:rsidRPr="00C46FCC">
        <w:rPr>
          <w:rFonts w:ascii="Calibri" w:hAnsi="Calibri" w:cs="Calibri"/>
        </w:rPr>
        <w:t xml:space="preserve"> Infection with Helicobacter pylori Strains Possessing </w:t>
      </w:r>
      <w:proofErr w:type="spellStart"/>
      <w:r w:rsidRPr="00C46FCC">
        <w:rPr>
          <w:rFonts w:ascii="Calibri" w:hAnsi="Calibri" w:cs="Calibri"/>
        </w:rPr>
        <w:t>cagA</w:t>
      </w:r>
      <w:proofErr w:type="spellEnd"/>
      <w:r w:rsidRPr="00C46FCC">
        <w:rPr>
          <w:rFonts w:ascii="Calibri" w:hAnsi="Calibri" w:cs="Calibri"/>
        </w:rPr>
        <w:t xml:space="preserve"> Is Associated with an Increased Risk of Developing Adenocarcinoma of the Stomach1. </w:t>
      </w:r>
      <w:r w:rsidRPr="00C46FCC">
        <w:rPr>
          <w:rFonts w:ascii="Calibri" w:hAnsi="Calibri" w:cs="Calibri"/>
          <w:i/>
          <w:iCs/>
        </w:rPr>
        <w:t>Cancer Res.</w:t>
      </w:r>
      <w:r w:rsidRPr="00C46FCC">
        <w:rPr>
          <w:rFonts w:ascii="Calibri" w:hAnsi="Calibri" w:cs="Calibri"/>
        </w:rPr>
        <w:t xml:space="preserve"> </w:t>
      </w:r>
      <w:r w:rsidRPr="00C46FCC">
        <w:rPr>
          <w:rFonts w:ascii="Calibri" w:hAnsi="Calibri" w:cs="Calibri"/>
          <w:b/>
          <w:bCs/>
        </w:rPr>
        <w:t>55</w:t>
      </w:r>
      <w:r w:rsidRPr="00C46FCC">
        <w:rPr>
          <w:rFonts w:ascii="Calibri" w:hAnsi="Calibri" w:cs="Calibri"/>
        </w:rPr>
        <w:t>, 2111–2115 (1995).</w:t>
      </w:r>
    </w:p>
    <w:p w14:paraId="19C8416B" w14:textId="77777777" w:rsidR="00C46FCC" w:rsidRPr="00C46FCC" w:rsidRDefault="00C46FCC" w:rsidP="00C46FCC">
      <w:pPr>
        <w:pStyle w:val="Bibliography"/>
        <w:rPr>
          <w:rFonts w:ascii="Calibri" w:hAnsi="Calibri" w:cs="Calibri"/>
        </w:rPr>
      </w:pPr>
      <w:r w:rsidRPr="00C46FCC">
        <w:rPr>
          <w:rFonts w:ascii="Calibri" w:hAnsi="Calibri" w:cs="Calibri"/>
        </w:rPr>
        <w:t>33.</w:t>
      </w:r>
      <w:r w:rsidRPr="00C46FCC">
        <w:rPr>
          <w:rFonts w:ascii="Calibri" w:hAnsi="Calibri" w:cs="Calibri"/>
        </w:rPr>
        <w:tab/>
      </w:r>
      <w:proofErr w:type="spellStart"/>
      <w:r w:rsidRPr="00C46FCC">
        <w:rPr>
          <w:rFonts w:ascii="Calibri" w:hAnsi="Calibri" w:cs="Calibri"/>
        </w:rPr>
        <w:t>Parsonnet</w:t>
      </w:r>
      <w:proofErr w:type="spellEnd"/>
      <w:r w:rsidRPr="00C46FCC">
        <w:rPr>
          <w:rFonts w:ascii="Calibri" w:hAnsi="Calibri" w:cs="Calibri"/>
        </w:rPr>
        <w:t xml:space="preserve">, J. </w:t>
      </w:r>
      <w:r w:rsidRPr="00C46FCC">
        <w:rPr>
          <w:rFonts w:ascii="Calibri" w:hAnsi="Calibri" w:cs="Calibri"/>
          <w:i/>
          <w:iCs/>
        </w:rPr>
        <w:t>et al.</w:t>
      </w:r>
      <w:r w:rsidRPr="00C46FCC">
        <w:rPr>
          <w:rFonts w:ascii="Calibri" w:hAnsi="Calibri" w:cs="Calibri"/>
        </w:rPr>
        <w:t xml:space="preserve"> Helicobacter pylori Infection and the Risk of Gastric Carcinoma. </w:t>
      </w:r>
      <w:r w:rsidRPr="00C46FCC">
        <w:rPr>
          <w:rFonts w:ascii="Calibri" w:hAnsi="Calibri" w:cs="Calibri"/>
          <w:i/>
          <w:iCs/>
        </w:rPr>
        <w:t>N. Engl. J. Med.</w:t>
      </w:r>
      <w:r w:rsidRPr="00C46FCC">
        <w:rPr>
          <w:rFonts w:ascii="Calibri" w:hAnsi="Calibri" w:cs="Calibri"/>
        </w:rPr>
        <w:t xml:space="preserve"> </w:t>
      </w:r>
      <w:r w:rsidRPr="00C46FCC">
        <w:rPr>
          <w:rFonts w:ascii="Calibri" w:hAnsi="Calibri" w:cs="Calibri"/>
          <w:b/>
          <w:bCs/>
        </w:rPr>
        <w:t>325</w:t>
      </w:r>
      <w:r w:rsidRPr="00C46FCC">
        <w:rPr>
          <w:rFonts w:ascii="Calibri" w:hAnsi="Calibri" w:cs="Calibri"/>
        </w:rPr>
        <w:t>, 1127–1131 (1991).</w:t>
      </w:r>
    </w:p>
    <w:p w14:paraId="328254A1" w14:textId="77777777" w:rsidR="00C46FCC" w:rsidRPr="00C46FCC" w:rsidRDefault="00C46FCC" w:rsidP="00C46FCC">
      <w:pPr>
        <w:pStyle w:val="Bibliography"/>
        <w:rPr>
          <w:rFonts w:ascii="Calibri" w:hAnsi="Calibri" w:cs="Calibri"/>
        </w:rPr>
      </w:pPr>
      <w:r w:rsidRPr="00C46FCC">
        <w:rPr>
          <w:rFonts w:ascii="Calibri" w:hAnsi="Calibri" w:cs="Calibri"/>
        </w:rPr>
        <w:t>34.</w:t>
      </w:r>
      <w:r w:rsidRPr="00C46FCC">
        <w:rPr>
          <w:rFonts w:ascii="Calibri" w:hAnsi="Calibri" w:cs="Calibri"/>
        </w:rPr>
        <w:tab/>
        <w:t xml:space="preserve">Shariati, A. </w:t>
      </w:r>
      <w:r w:rsidRPr="00C46FCC">
        <w:rPr>
          <w:rFonts w:ascii="Calibri" w:hAnsi="Calibri" w:cs="Calibri"/>
          <w:i/>
          <w:iCs/>
        </w:rPr>
        <w:t>et al.</w:t>
      </w:r>
      <w:r w:rsidRPr="00C46FCC">
        <w:rPr>
          <w:rFonts w:ascii="Calibri" w:hAnsi="Calibri" w:cs="Calibri"/>
        </w:rPr>
        <w:t xml:space="preserve"> Association between colorectal cancer and Fusobacterium </w:t>
      </w:r>
      <w:proofErr w:type="spellStart"/>
      <w:r w:rsidRPr="00C46FCC">
        <w:rPr>
          <w:rFonts w:ascii="Calibri" w:hAnsi="Calibri" w:cs="Calibri"/>
        </w:rPr>
        <w:t>nucleatum</w:t>
      </w:r>
      <w:proofErr w:type="spellEnd"/>
      <w:r w:rsidRPr="00C46FCC">
        <w:rPr>
          <w:rFonts w:ascii="Calibri" w:hAnsi="Calibri" w:cs="Calibri"/>
        </w:rPr>
        <w:t xml:space="preserve"> and Bacteroides fragilis bacteria in Iranian patients: a preliminary study. </w:t>
      </w:r>
      <w:r w:rsidRPr="00C46FCC">
        <w:rPr>
          <w:rFonts w:ascii="Calibri" w:hAnsi="Calibri" w:cs="Calibri"/>
          <w:i/>
          <w:iCs/>
        </w:rPr>
        <w:t>Infect. Agent. Cancer</w:t>
      </w:r>
      <w:r w:rsidRPr="00C46FCC">
        <w:rPr>
          <w:rFonts w:ascii="Calibri" w:hAnsi="Calibri" w:cs="Calibri"/>
        </w:rPr>
        <w:t xml:space="preserve"> </w:t>
      </w:r>
      <w:r w:rsidRPr="00C46FCC">
        <w:rPr>
          <w:rFonts w:ascii="Calibri" w:hAnsi="Calibri" w:cs="Calibri"/>
          <w:b/>
          <w:bCs/>
        </w:rPr>
        <w:t>16</w:t>
      </w:r>
      <w:r w:rsidRPr="00C46FCC">
        <w:rPr>
          <w:rFonts w:ascii="Calibri" w:hAnsi="Calibri" w:cs="Calibri"/>
        </w:rPr>
        <w:t>, 41 (2021).</w:t>
      </w:r>
    </w:p>
    <w:p w14:paraId="4CF56527" w14:textId="77777777" w:rsidR="00C46FCC" w:rsidRPr="00C46FCC" w:rsidRDefault="00C46FCC" w:rsidP="00C46FCC">
      <w:pPr>
        <w:pStyle w:val="Bibliography"/>
        <w:rPr>
          <w:rFonts w:ascii="Calibri" w:hAnsi="Calibri" w:cs="Calibri"/>
        </w:rPr>
      </w:pPr>
      <w:r w:rsidRPr="00C46FCC">
        <w:rPr>
          <w:rFonts w:ascii="Calibri" w:hAnsi="Calibri" w:cs="Calibri"/>
        </w:rPr>
        <w:t>35.</w:t>
      </w:r>
      <w:r w:rsidRPr="00C46FCC">
        <w:rPr>
          <w:rFonts w:ascii="Calibri" w:hAnsi="Calibri" w:cs="Calibri"/>
        </w:rPr>
        <w:tab/>
        <w:t xml:space="preserve">Yamamura, K. </w:t>
      </w:r>
      <w:r w:rsidRPr="00C46FCC">
        <w:rPr>
          <w:rFonts w:ascii="Calibri" w:hAnsi="Calibri" w:cs="Calibri"/>
          <w:i/>
          <w:iCs/>
        </w:rPr>
        <w:t>et al.</w:t>
      </w:r>
      <w:r w:rsidRPr="00C46FCC">
        <w:rPr>
          <w:rFonts w:ascii="Calibri" w:hAnsi="Calibri" w:cs="Calibri"/>
        </w:rPr>
        <w:t xml:space="preserve"> Human Microbiome </w:t>
      </w:r>
      <w:r w:rsidRPr="00C46FCC">
        <w:rPr>
          <w:rFonts w:ascii="Calibri" w:hAnsi="Calibri" w:cs="Calibri"/>
          <w:i/>
          <w:iCs/>
        </w:rPr>
        <w:t xml:space="preserve">Fusobacterium </w:t>
      </w:r>
      <w:proofErr w:type="spellStart"/>
      <w:r w:rsidRPr="00C46FCC">
        <w:rPr>
          <w:rFonts w:ascii="Calibri" w:hAnsi="Calibri" w:cs="Calibri"/>
          <w:i/>
          <w:iCs/>
        </w:rPr>
        <w:t>Nucleatum</w:t>
      </w:r>
      <w:proofErr w:type="spellEnd"/>
      <w:r w:rsidRPr="00C46FCC">
        <w:rPr>
          <w:rFonts w:ascii="Calibri" w:hAnsi="Calibri" w:cs="Calibri"/>
        </w:rPr>
        <w:t xml:space="preserve"> in Esophageal Cancer Tissue Is Associated with Prognosis. </w:t>
      </w:r>
      <w:r w:rsidRPr="00C46FCC">
        <w:rPr>
          <w:rFonts w:ascii="Calibri" w:hAnsi="Calibri" w:cs="Calibri"/>
          <w:i/>
          <w:iCs/>
        </w:rPr>
        <w:t>Clin. Cancer Res.</w:t>
      </w:r>
      <w:r w:rsidRPr="00C46FCC">
        <w:rPr>
          <w:rFonts w:ascii="Calibri" w:hAnsi="Calibri" w:cs="Calibri"/>
        </w:rPr>
        <w:t xml:space="preserve"> </w:t>
      </w:r>
      <w:r w:rsidRPr="00C46FCC">
        <w:rPr>
          <w:rFonts w:ascii="Calibri" w:hAnsi="Calibri" w:cs="Calibri"/>
          <w:b/>
          <w:bCs/>
        </w:rPr>
        <w:t>22</w:t>
      </w:r>
      <w:r w:rsidRPr="00C46FCC">
        <w:rPr>
          <w:rFonts w:ascii="Calibri" w:hAnsi="Calibri" w:cs="Calibri"/>
        </w:rPr>
        <w:t>, 5574–5581 (2016).</w:t>
      </w:r>
    </w:p>
    <w:p w14:paraId="7D3659A3" w14:textId="77777777" w:rsidR="00C46FCC" w:rsidRPr="00C46FCC" w:rsidRDefault="00C46FCC" w:rsidP="00C46FCC">
      <w:pPr>
        <w:pStyle w:val="Bibliography"/>
        <w:rPr>
          <w:rFonts w:ascii="Calibri" w:hAnsi="Calibri" w:cs="Calibri"/>
        </w:rPr>
      </w:pPr>
      <w:r w:rsidRPr="00C46FCC">
        <w:rPr>
          <w:rFonts w:ascii="Calibri" w:hAnsi="Calibri" w:cs="Calibri"/>
        </w:rPr>
        <w:t>36.</w:t>
      </w:r>
      <w:r w:rsidRPr="00C46FCC">
        <w:rPr>
          <w:rFonts w:ascii="Calibri" w:hAnsi="Calibri" w:cs="Calibri"/>
        </w:rPr>
        <w:tab/>
        <w:t xml:space="preserve">Shin, J. M. </w:t>
      </w:r>
      <w:r w:rsidRPr="00C46FCC">
        <w:rPr>
          <w:rFonts w:ascii="Calibri" w:hAnsi="Calibri" w:cs="Calibri"/>
          <w:i/>
          <w:iCs/>
        </w:rPr>
        <w:t>et al.</w:t>
      </w:r>
      <w:r w:rsidRPr="00C46FCC">
        <w:rPr>
          <w:rFonts w:ascii="Calibri" w:hAnsi="Calibri" w:cs="Calibri"/>
        </w:rPr>
        <w:t xml:space="preserve"> Microbial Communities Associated with Primary and Metastatic Head and Neck Squamous Cell Carcinoma – A High Fusobacterial and Low Streptococcal Signature. </w:t>
      </w:r>
      <w:r w:rsidRPr="00C46FCC">
        <w:rPr>
          <w:rFonts w:ascii="Calibri" w:hAnsi="Calibri" w:cs="Calibri"/>
          <w:i/>
          <w:iCs/>
        </w:rPr>
        <w:t>Sci. Rep.</w:t>
      </w:r>
      <w:r w:rsidRPr="00C46FCC">
        <w:rPr>
          <w:rFonts w:ascii="Calibri" w:hAnsi="Calibri" w:cs="Calibri"/>
        </w:rPr>
        <w:t xml:space="preserve"> </w:t>
      </w:r>
      <w:r w:rsidRPr="00C46FCC">
        <w:rPr>
          <w:rFonts w:ascii="Calibri" w:hAnsi="Calibri" w:cs="Calibri"/>
          <w:b/>
          <w:bCs/>
        </w:rPr>
        <w:t>7</w:t>
      </w:r>
      <w:r w:rsidRPr="00C46FCC">
        <w:rPr>
          <w:rFonts w:ascii="Calibri" w:hAnsi="Calibri" w:cs="Calibri"/>
        </w:rPr>
        <w:t>, 9934 (2017).</w:t>
      </w:r>
    </w:p>
    <w:p w14:paraId="2919C591" w14:textId="77777777" w:rsidR="00C46FCC" w:rsidRPr="00C46FCC" w:rsidRDefault="00C46FCC" w:rsidP="00C46FCC">
      <w:pPr>
        <w:pStyle w:val="Bibliography"/>
        <w:rPr>
          <w:rFonts w:ascii="Calibri" w:hAnsi="Calibri" w:cs="Calibri"/>
        </w:rPr>
      </w:pPr>
      <w:r w:rsidRPr="00C46FCC">
        <w:rPr>
          <w:rFonts w:ascii="Calibri" w:hAnsi="Calibri" w:cs="Calibri"/>
        </w:rPr>
        <w:t>37.</w:t>
      </w:r>
      <w:r w:rsidRPr="00C46FCC">
        <w:rPr>
          <w:rFonts w:ascii="Calibri" w:hAnsi="Calibri" w:cs="Calibri"/>
        </w:rPr>
        <w:tab/>
        <w:t xml:space="preserve">Hamamoto, R. </w:t>
      </w:r>
      <w:r w:rsidRPr="00C46FCC">
        <w:rPr>
          <w:rFonts w:ascii="Calibri" w:hAnsi="Calibri" w:cs="Calibri"/>
          <w:i/>
          <w:iCs/>
        </w:rPr>
        <w:t>et al.</w:t>
      </w:r>
      <w:r w:rsidRPr="00C46FCC">
        <w:rPr>
          <w:rFonts w:ascii="Calibri" w:hAnsi="Calibri" w:cs="Calibri"/>
        </w:rPr>
        <w:t xml:space="preserve"> Application of non-negative matrix factorization in oncology: one approach for establishing precision medicine. </w:t>
      </w:r>
      <w:r w:rsidRPr="00C46FCC">
        <w:rPr>
          <w:rFonts w:ascii="Calibri" w:hAnsi="Calibri" w:cs="Calibri"/>
          <w:i/>
          <w:iCs/>
        </w:rPr>
        <w:t xml:space="preserve">Brief. </w:t>
      </w:r>
      <w:proofErr w:type="spellStart"/>
      <w:r w:rsidRPr="00C46FCC">
        <w:rPr>
          <w:rFonts w:ascii="Calibri" w:hAnsi="Calibri" w:cs="Calibri"/>
          <w:i/>
          <w:iCs/>
        </w:rPr>
        <w:t>Bioinform</w:t>
      </w:r>
      <w:proofErr w:type="spellEnd"/>
      <w:r w:rsidRPr="00C46FCC">
        <w:rPr>
          <w:rFonts w:ascii="Calibri" w:hAnsi="Calibri" w:cs="Calibri"/>
          <w:i/>
          <w:iCs/>
        </w:rPr>
        <w:t>.</w:t>
      </w:r>
      <w:r w:rsidRPr="00C46FCC">
        <w:rPr>
          <w:rFonts w:ascii="Calibri" w:hAnsi="Calibri" w:cs="Calibri"/>
        </w:rPr>
        <w:t xml:space="preserve"> </w:t>
      </w:r>
      <w:r w:rsidRPr="00C46FCC">
        <w:rPr>
          <w:rFonts w:ascii="Calibri" w:hAnsi="Calibri" w:cs="Calibri"/>
          <w:b/>
          <w:bCs/>
        </w:rPr>
        <w:t>23</w:t>
      </w:r>
      <w:r w:rsidRPr="00C46FCC">
        <w:rPr>
          <w:rFonts w:ascii="Calibri" w:hAnsi="Calibri" w:cs="Calibri"/>
        </w:rPr>
        <w:t>, bbac246 (2022).</w:t>
      </w:r>
    </w:p>
    <w:p w14:paraId="5CBD0F2F" w14:textId="77777777" w:rsidR="00C46FCC" w:rsidRPr="00C46FCC" w:rsidRDefault="00C46FCC" w:rsidP="00C46FCC">
      <w:pPr>
        <w:pStyle w:val="Bibliography"/>
        <w:rPr>
          <w:rFonts w:ascii="Calibri" w:hAnsi="Calibri" w:cs="Calibri"/>
        </w:rPr>
      </w:pPr>
      <w:r w:rsidRPr="00C46FCC">
        <w:rPr>
          <w:rFonts w:ascii="Calibri" w:hAnsi="Calibri" w:cs="Calibri"/>
        </w:rPr>
        <w:t>38.</w:t>
      </w:r>
      <w:r w:rsidRPr="00C46FCC">
        <w:rPr>
          <w:rFonts w:ascii="Calibri" w:hAnsi="Calibri" w:cs="Calibri"/>
        </w:rPr>
        <w:tab/>
        <w:t xml:space="preserve">Pope, J. L., </w:t>
      </w:r>
      <w:proofErr w:type="spellStart"/>
      <w:r w:rsidRPr="00C46FCC">
        <w:rPr>
          <w:rFonts w:ascii="Calibri" w:hAnsi="Calibri" w:cs="Calibri"/>
        </w:rPr>
        <w:t>Tomkovich</w:t>
      </w:r>
      <w:proofErr w:type="spellEnd"/>
      <w:r w:rsidRPr="00C46FCC">
        <w:rPr>
          <w:rFonts w:ascii="Calibri" w:hAnsi="Calibri" w:cs="Calibri"/>
        </w:rPr>
        <w:t xml:space="preserve">, S., Yang, Y. &amp; Jobin, C. Microbiota as a mediator of cancer progression and therapy. </w:t>
      </w:r>
      <w:r w:rsidRPr="00C46FCC">
        <w:rPr>
          <w:rFonts w:ascii="Calibri" w:hAnsi="Calibri" w:cs="Calibri"/>
          <w:i/>
          <w:iCs/>
        </w:rPr>
        <w:t>Transl. Res.</w:t>
      </w:r>
      <w:r w:rsidRPr="00C46FCC">
        <w:rPr>
          <w:rFonts w:ascii="Calibri" w:hAnsi="Calibri" w:cs="Calibri"/>
        </w:rPr>
        <w:t xml:space="preserve"> </w:t>
      </w:r>
      <w:r w:rsidRPr="00C46FCC">
        <w:rPr>
          <w:rFonts w:ascii="Calibri" w:hAnsi="Calibri" w:cs="Calibri"/>
          <w:b/>
          <w:bCs/>
        </w:rPr>
        <w:t>179</w:t>
      </w:r>
      <w:r w:rsidRPr="00C46FCC">
        <w:rPr>
          <w:rFonts w:ascii="Calibri" w:hAnsi="Calibri" w:cs="Calibri"/>
        </w:rPr>
        <w:t>, 139–154 (2017).</w:t>
      </w:r>
    </w:p>
    <w:p w14:paraId="5BFC712A" w14:textId="77777777" w:rsidR="00C46FCC" w:rsidRPr="00C46FCC" w:rsidRDefault="00C46FCC" w:rsidP="00C46FCC">
      <w:pPr>
        <w:pStyle w:val="Bibliography"/>
        <w:rPr>
          <w:rFonts w:ascii="Calibri" w:hAnsi="Calibri" w:cs="Calibri"/>
        </w:rPr>
      </w:pPr>
      <w:r w:rsidRPr="00C46FCC">
        <w:rPr>
          <w:rFonts w:ascii="Calibri" w:hAnsi="Calibri" w:cs="Calibri"/>
        </w:rPr>
        <w:lastRenderedPageBreak/>
        <w:t>39.</w:t>
      </w:r>
      <w:r w:rsidRPr="00C46FCC">
        <w:rPr>
          <w:rFonts w:ascii="Calibri" w:hAnsi="Calibri" w:cs="Calibri"/>
        </w:rPr>
        <w:tab/>
        <w:t xml:space="preserve">Costello, E. K., </w:t>
      </w:r>
      <w:proofErr w:type="spellStart"/>
      <w:r w:rsidRPr="00C46FCC">
        <w:rPr>
          <w:rFonts w:ascii="Calibri" w:hAnsi="Calibri" w:cs="Calibri"/>
        </w:rPr>
        <w:t>Stagaman</w:t>
      </w:r>
      <w:proofErr w:type="spellEnd"/>
      <w:r w:rsidRPr="00C46FCC">
        <w:rPr>
          <w:rFonts w:ascii="Calibri" w:hAnsi="Calibri" w:cs="Calibri"/>
        </w:rPr>
        <w:t xml:space="preserve">, K., </w:t>
      </w:r>
      <w:proofErr w:type="spellStart"/>
      <w:r w:rsidRPr="00C46FCC">
        <w:rPr>
          <w:rFonts w:ascii="Calibri" w:hAnsi="Calibri" w:cs="Calibri"/>
        </w:rPr>
        <w:t>Dethlefsen</w:t>
      </w:r>
      <w:proofErr w:type="spellEnd"/>
      <w:r w:rsidRPr="00C46FCC">
        <w:rPr>
          <w:rFonts w:ascii="Calibri" w:hAnsi="Calibri" w:cs="Calibri"/>
        </w:rPr>
        <w:t xml:space="preserve">, L., Bohannan, B. J. M. &amp; </w:t>
      </w:r>
      <w:proofErr w:type="spellStart"/>
      <w:r w:rsidRPr="00C46FCC">
        <w:rPr>
          <w:rFonts w:ascii="Calibri" w:hAnsi="Calibri" w:cs="Calibri"/>
        </w:rPr>
        <w:t>Relman</w:t>
      </w:r>
      <w:proofErr w:type="spellEnd"/>
      <w:r w:rsidRPr="00C46FCC">
        <w:rPr>
          <w:rFonts w:ascii="Calibri" w:hAnsi="Calibri" w:cs="Calibri"/>
        </w:rPr>
        <w:t xml:space="preserve">, D. A. The Application of Ecological Theory Toward an Understanding of the Human Microbiome. </w:t>
      </w:r>
      <w:r w:rsidRPr="00C46FCC">
        <w:rPr>
          <w:rFonts w:ascii="Calibri" w:hAnsi="Calibri" w:cs="Calibri"/>
          <w:i/>
          <w:iCs/>
        </w:rPr>
        <w:t>Science</w:t>
      </w:r>
      <w:r w:rsidRPr="00C46FCC">
        <w:rPr>
          <w:rFonts w:ascii="Calibri" w:hAnsi="Calibri" w:cs="Calibri"/>
        </w:rPr>
        <w:t xml:space="preserve"> </w:t>
      </w:r>
      <w:r w:rsidRPr="00C46FCC">
        <w:rPr>
          <w:rFonts w:ascii="Calibri" w:hAnsi="Calibri" w:cs="Calibri"/>
          <w:b/>
          <w:bCs/>
        </w:rPr>
        <w:t>336</w:t>
      </w:r>
      <w:r w:rsidRPr="00C46FCC">
        <w:rPr>
          <w:rFonts w:ascii="Calibri" w:hAnsi="Calibri" w:cs="Calibri"/>
        </w:rPr>
        <w:t>, 1255–1262 (2012).</w:t>
      </w:r>
    </w:p>
    <w:p w14:paraId="7E8E3218" w14:textId="77777777" w:rsidR="00C46FCC" w:rsidRPr="00C46FCC" w:rsidRDefault="00C46FCC" w:rsidP="00C46FCC">
      <w:pPr>
        <w:pStyle w:val="Bibliography"/>
        <w:rPr>
          <w:rFonts w:ascii="Calibri" w:hAnsi="Calibri" w:cs="Calibri"/>
        </w:rPr>
      </w:pPr>
      <w:r w:rsidRPr="00C46FCC">
        <w:rPr>
          <w:rFonts w:ascii="Calibri" w:hAnsi="Calibri" w:cs="Calibri"/>
        </w:rPr>
        <w:t>40.</w:t>
      </w:r>
      <w:r w:rsidRPr="00C46FCC">
        <w:rPr>
          <w:rFonts w:ascii="Calibri" w:hAnsi="Calibri" w:cs="Calibri"/>
        </w:rPr>
        <w:tab/>
      </w:r>
      <w:proofErr w:type="spellStart"/>
      <w:r w:rsidRPr="00C46FCC">
        <w:rPr>
          <w:rFonts w:ascii="Calibri" w:hAnsi="Calibri" w:cs="Calibri"/>
        </w:rPr>
        <w:t>Gosalbes</w:t>
      </w:r>
      <w:proofErr w:type="spellEnd"/>
      <w:r w:rsidRPr="00C46FCC">
        <w:rPr>
          <w:rFonts w:ascii="Calibri" w:hAnsi="Calibri" w:cs="Calibri"/>
        </w:rPr>
        <w:t xml:space="preserve">, M. J. </w:t>
      </w:r>
      <w:r w:rsidRPr="00C46FCC">
        <w:rPr>
          <w:rFonts w:ascii="Calibri" w:hAnsi="Calibri" w:cs="Calibri"/>
          <w:i/>
          <w:iCs/>
        </w:rPr>
        <w:t>et al.</w:t>
      </w:r>
      <w:r w:rsidRPr="00C46FCC">
        <w:rPr>
          <w:rFonts w:ascii="Calibri" w:hAnsi="Calibri" w:cs="Calibri"/>
        </w:rPr>
        <w:t xml:space="preserve"> Metagenomics of human microbiome: beyond 16s rDNA. </w:t>
      </w:r>
      <w:r w:rsidRPr="00C46FCC">
        <w:rPr>
          <w:rFonts w:ascii="Calibri" w:hAnsi="Calibri" w:cs="Calibri"/>
          <w:i/>
          <w:iCs/>
        </w:rPr>
        <w:t xml:space="preserve">Clin. </w:t>
      </w:r>
      <w:proofErr w:type="spellStart"/>
      <w:r w:rsidRPr="00C46FCC">
        <w:rPr>
          <w:rFonts w:ascii="Calibri" w:hAnsi="Calibri" w:cs="Calibri"/>
          <w:i/>
          <w:iCs/>
        </w:rPr>
        <w:t>Microbiol</w:t>
      </w:r>
      <w:proofErr w:type="spellEnd"/>
      <w:r w:rsidRPr="00C46FCC">
        <w:rPr>
          <w:rFonts w:ascii="Calibri" w:hAnsi="Calibri" w:cs="Calibri"/>
          <w:i/>
          <w:iCs/>
        </w:rPr>
        <w:t>. Infect.</w:t>
      </w:r>
      <w:r w:rsidRPr="00C46FCC">
        <w:rPr>
          <w:rFonts w:ascii="Calibri" w:hAnsi="Calibri" w:cs="Calibri"/>
        </w:rPr>
        <w:t xml:space="preserve"> </w:t>
      </w:r>
      <w:r w:rsidRPr="00C46FCC">
        <w:rPr>
          <w:rFonts w:ascii="Calibri" w:hAnsi="Calibri" w:cs="Calibri"/>
          <w:b/>
          <w:bCs/>
        </w:rPr>
        <w:t>18</w:t>
      </w:r>
      <w:r w:rsidRPr="00C46FCC">
        <w:rPr>
          <w:rFonts w:ascii="Calibri" w:hAnsi="Calibri" w:cs="Calibri"/>
        </w:rPr>
        <w:t>, 47–49 (2012).</w:t>
      </w:r>
    </w:p>
    <w:p w14:paraId="3024BAC1" w14:textId="77777777" w:rsidR="00C46FCC" w:rsidRPr="00C46FCC" w:rsidRDefault="00C46FCC" w:rsidP="00C46FCC">
      <w:pPr>
        <w:pStyle w:val="Bibliography"/>
        <w:rPr>
          <w:rFonts w:ascii="Calibri" w:hAnsi="Calibri" w:cs="Calibri"/>
        </w:rPr>
      </w:pPr>
      <w:r w:rsidRPr="00C46FCC">
        <w:rPr>
          <w:rFonts w:ascii="Calibri" w:hAnsi="Calibri" w:cs="Calibri"/>
        </w:rPr>
        <w:t>41.</w:t>
      </w:r>
      <w:r w:rsidRPr="00C46FCC">
        <w:rPr>
          <w:rFonts w:ascii="Calibri" w:hAnsi="Calibri" w:cs="Calibri"/>
        </w:rPr>
        <w:tab/>
      </w:r>
      <w:proofErr w:type="spellStart"/>
      <w:r w:rsidRPr="00C46FCC">
        <w:rPr>
          <w:rFonts w:ascii="Calibri" w:hAnsi="Calibri" w:cs="Calibri"/>
        </w:rPr>
        <w:t>Hermida</w:t>
      </w:r>
      <w:proofErr w:type="spellEnd"/>
      <w:r w:rsidRPr="00C46FCC">
        <w:rPr>
          <w:rFonts w:ascii="Calibri" w:hAnsi="Calibri" w:cs="Calibri"/>
        </w:rPr>
        <w:t xml:space="preserve">, L. C., Gertz, E. M. &amp; </w:t>
      </w:r>
      <w:proofErr w:type="spellStart"/>
      <w:r w:rsidRPr="00C46FCC">
        <w:rPr>
          <w:rFonts w:ascii="Calibri" w:hAnsi="Calibri" w:cs="Calibri"/>
        </w:rPr>
        <w:t>Ruppin</w:t>
      </w:r>
      <w:proofErr w:type="spellEnd"/>
      <w:r w:rsidRPr="00C46FCC">
        <w:rPr>
          <w:rFonts w:ascii="Calibri" w:hAnsi="Calibri" w:cs="Calibri"/>
        </w:rPr>
        <w:t xml:space="preserve">, E. Predicting cancer prognosis and drug response from the tumor microbiome. </w:t>
      </w:r>
      <w:r w:rsidRPr="00C46FCC">
        <w:rPr>
          <w:rFonts w:ascii="Calibri" w:hAnsi="Calibri" w:cs="Calibri"/>
          <w:i/>
          <w:iCs/>
        </w:rPr>
        <w:t xml:space="preserve">Nat. </w:t>
      </w:r>
      <w:proofErr w:type="spellStart"/>
      <w:r w:rsidRPr="00C46FCC">
        <w:rPr>
          <w:rFonts w:ascii="Calibri" w:hAnsi="Calibri" w:cs="Calibri"/>
          <w:i/>
          <w:iCs/>
        </w:rPr>
        <w:t>Commun</w:t>
      </w:r>
      <w:proofErr w:type="spellEnd"/>
      <w:r w:rsidRPr="00C46FCC">
        <w:rPr>
          <w:rFonts w:ascii="Calibri" w:hAnsi="Calibri" w:cs="Calibri"/>
          <w:i/>
          <w:iCs/>
        </w:rPr>
        <w:t>.</w:t>
      </w:r>
      <w:r w:rsidRPr="00C46FCC">
        <w:rPr>
          <w:rFonts w:ascii="Calibri" w:hAnsi="Calibri" w:cs="Calibri"/>
        </w:rPr>
        <w:t xml:space="preserve"> </w:t>
      </w:r>
      <w:r w:rsidRPr="00C46FCC">
        <w:rPr>
          <w:rFonts w:ascii="Calibri" w:hAnsi="Calibri" w:cs="Calibri"/>
          <w:b/>
          <w:bCs/>
        </w:rPr>
        <w:t>13</w:t>
      </w:r>
      <w:r w:rsidRPr="00C46FCC">
        <w:rPr>
          <w:rFonts w:ascii="Calibri" w:hAnsi="Calibri" w:cs="Calibri"/>
        </w:rPr>
        <w:t>, 2896 (2022).</w:t>
      </w:r>
    </w:p>
    <w:p w14:paraId="0C1D57A8" w14:textId="77777777" w:rsidR="00C46FCC" w:rsidRPr="00C46FCC" w:rsidRDefault="00C46FCC" w:rsidP="00C46FCC">
      <w:pPr>
        <w:pStyle w:val="Bibliography"/>
        <w:rPr>
          <w:rFonts w:ascii="Calibri" w:hAnsi="Calibri" w:cs="Calibri"/>
        </w:rPr>
      </w:pPr>
      <w:r w:rsidRPr="00C46FCC">
        <w:rPr>
          <w:rFonts w:ascii="Calibri" w:hAnsi="Calibri" w:cs="Calibri"/>
        </w:rPr>
        <w:t>42.</w:t>
      </w:r>
      <w:r w:rsidRPr="00C46FCC">
        <w:rPr>
          <w:rFonts w:ascii="Calibri" w:hAnsi="Calibri" w:cs="Calibri"/>
        </w:rPr>
        <w:tab/>
        <w:t>Al-</w:t>
      </w:r>
      <w:proofErr w:type="spellStart"/>
      <w:r w:rsidRPr="00C46FCC">
        <w:rPr>
          <w:rFonts w:ascii="Calibri" w:hAnsi="Calibri" w:cs="Calibri"/>
        </w:rPr>
        <w:t>hebshi</w:t>
      </w:r>
      <w:proofErr w:type="spellEnd"/>
      <w:r w:rsidRPr="00C46FCC">
        <w:rPr>
          <w:rFonts w:ascii="Calibri" w:hAnsi="Calibri" w:cs="Calibri"/>
        </w:rPr>
        <w:t xml:space="preserve">, N. N. </w:t>
      </w:r>
      <w:r w:rsidRPr="00C46FCC">
        <w:rPr>
          <w:rFonts w:ascii="Calibri" w:hAnsi="Calibri" w:cs="Calibri"/>
          <w:i/>
          <w:iCs/>
        </w:rPr>
        <w:t>et al.</w:t>
      </w:r>
      <w:r w:rsidRPr="00C46FCC">
        <w:rPr>
          <w:rFonts w:ascii="Calibri" w:hAnsi="Calibri" w:cs="Calibri"/>
        </w:rPr>
        <w:t xml:space="preserve"> Inflammatory bacteriome featuring Fusobacterium </w:t>
      </w:r>
      <w:proofErr w:type="spellStart"/>
      <w:r w:rsidRPr="00C46FCC">
        <w:rPr>
          <w:rFonts w:ascii="Calibri" w:hAnsi="Calibri" w:cs="Calibri"/>
        </w:rPr>
        <w:t>nucleatum</w:t>
      </w:r>
      <w:proofErr w:type="spellEnd"/>
      <w:r w:rsidRPr="00C46FCC">
        <w:rPr>
          <w:rFonts w:ascii="Calibri" w:hAnsi="Calibri" w:cs="Calibri"/>
        </w:rPr>
        <w:t xml:space="preserve"> and Pseudomonas aeruginosa identified in association with oral squamous cell carcinoma. </w:t>
      </w:r>
      <w:r w:rsidRPr="00C46FCC">
        <w:rPr>
          <w:rFonts w:ascii="Calibri" w:hAnsi="Calibri" w:cs="Calibri"/>
          <w:i/>
          <w:iCs/>
        </w:rPr>
        <w:t>Sci. Rep.</w:t>
      </w:r>
      <w:r w:rsidRPr="00C46FCC">
        <w:rPr>
          <w:rFonts w:ascii="Calibri" w:hAnsi="Calibri" w:cs="Calibri"/>
        </w:rPr>
        <w:t xml:space="preserve"> </w:t>
      </w:r>
      <w:r w:rsidRPr="00C46FCC">
        <w:rPr>
          <w:rFonts w:ascii="Calibri" w:hAnsi="Calibri" w:cs="Calibri"/>
          <w:b/>
          <w:bCs/>
        </w:rPr>
        <w:t>7</w:t>
      </w:r>
      <w:r w:rsidRPr="00C46FCC">
        <w:rPr>
          <w:rFonts w:ascii="Calibri" w:hAnsi="Calibri" w:cs="Calibri"/>
        </w:rPr>
        <w:t>, 1834 (2017).</w:t>
      </w:r>
    </w:p>
    <w:p w14:paraId="20CDD50F" w14:textId="6061528E" w:rsidR="00812088" w:rsidRPr="00A96604" w:rsidRDefault="008D0A23">
      <w:pPr>
        <w:rPr>
          <w:lang w:val="en-GB"/>
        </w:rPr>
      </w:pPr>
      <w:r>
        <w:rPr>
          <w:lang w:val="en-GB"/>
        </w:rPr>
        <w:fldChar w:fldCharType="end"/>
      </w:r>
    </w:p>
    <w:sectPr w:rsidR="00812088" w:rsidRPr="00A9660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A4A0C9" w14:textId="77777777" w:rsidR="002A15FE" w:rsidRDefault="002A15FE" w:rsidP="001F73E5">
      <w:pPr>
        <w:spacing w:after="0" w:line="240" w:lineRule="auto"/>
      </w:pPr>
      <w:r>
        <w:separator/>
      </w:r>
    </w:p>
  </w:endnote>
  <w:endnote w:type="continuationSeparator" w:id="0">
    <w:p w14:paraId="506FD881" w14:textId="77777777" w:rsidR="002A15FE" w:rsidRDefault="002A15FE" w:rsidP="001F73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24047B" w14:textId="77777777" w:rsidR="002A15FE" w:rsidRDefault="002A15FE" w:rsidP="001F73E5">
      <w:pPr>
        <w:spacing w:after="0" w:line="240" w:lineRule="auto"/>
      </w:pPr>
      <w:r>
        <w:separator/>
      </w:r>
    </w:p>
  </w:footnote>
  <w:footnote w:type="continuationSeparator" w:id="0">
    <w:p w14:paraId="64518558" w14:textId="77777777" w:rsidR="002A15FE" w:rsidRDefault="002A15FE" w:rsidP="001F73E5">
      <w:pPr>
        <w:spacing w:after="0" w:line="240" w:lineRule="auto"/>
      </w:pPr>
      <w:r>
        <w:continuationSeparator/>
      </w:r>
    </w:p>
  </w:footnote>
  <w:footnote w:id="1">
    <w:p w14:paraId="6386CEC3" w14:textId="4E296143" w:rsidR="001F73E5" w:rsidRDefault="001F73E5">
      <w:pPr>
        <w:pStyle w:val="FootnoteText"/>
      </w:pPr>
      <w:r>
        <w:rPr>
          <w:rStyle w:val="FootnoteReference"/>
        </w:rPr>
        <w:footnoteRef/>
      </w:r>
      <w:r>
        <w:t xml:space="preserve"> </w:t>
      </w:r>
      <w:hyperlink r:id="rId1" w:history="1">
        <w:r w:rsidRPr="00FE31B4">
          <w:rPr>
            <w:rStyle w:val="Hyperlink"/>
            <w:lang w:val="en-GB"/>
          </w:rPr>
          <w:t>https://tcma.pratt.duke.edu/</w:t>
        </w:r>
      </w:hyperlink>
    </w:p>
  </w:footnote>
  <w:footnote w:id="2">
    <w:p w14:paraId="29A8B8A1" w14:textId="34A933DC" w:rsidR="00C023E2" w:rsidRPr="00C023E2" w:rsidRDefault="00C023E2" w:rsidP="00C023E2">
      <w:pPr>
        <w:rPr>
          <w:lang w:val="en-GB"/>
        </w:rPr>
      </w:pPr>
      <w:r>
        <w:rPr>
          <w:rStyle w:val="FootnoteReference"/>
        </w:rPr>
        <w:footnoteRef/>
      </w:r>
      <w:r>
        <w:t xml:space="preserve"> </w:t>
      </w:r>
      <w:r w:rsidRPr="003017B1">
        <w:rPr>
          <w:lang w:val="en-GB"/>
        </w:rPr>
        <w:t>https://gdc.cancer.gov/resources-tcga-users/tcga-code-tables/sample-type-codes</w:t>
      </w:r>
    </w:p>
  </w:footnote>
  <w:footnote w:id="3">
    <w:p w14:paraId="304EF86C" w14:textId="35DF0B85" w:rsidR="00C023E2" w:rsidRDefault="00C023E2">
      <w:pPr>
        <w:pStyle w:val="FootnoteText"/>
      </w:pPr>
      <w:r>
        <w:rPr>
          <w:rStyle w:val="FootnoteReference"/>
        </w:rPr>
        <w:footnoteRef/>
      </w:r>
      <w:r>
        <w:t xml:space="preserve"> </w:t>
      </w:r>
      <w:r w:rsidRPr="00C023E2">
        <w:t>https://docs.gdc.cancer.gov/Encyclopedia/pages/images/TCGA-TCGAbarcode-080518-1750-4378.pdf</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76488E"/>
    <w:multiLevelType w:val="hybridMultilevel"/>
    <w:tmpl w:val="0FC6755E"/>
    <w:lvl w:ilvl="0" w:tplc="FA6A73A6">
      <w:start w:val="25"/>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1A4030FC"/>
    <w:multiLevelType w:val="hybridMultilevel"/>
    <w:tmpl w:val="70FE2D66"/>
    <w:lvl w:ilvl="0" w:tplc="021AE220">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1CD729A2"/>
    <w:multiLevelType w:val="hybridMultilevel"/>
    <w:tmpl w:val="851E7500"/>
    <w:lvl w:ilvl="0" w:tplc="4416931E">
      <w:numFmt w:val="bullet"/>
      <w:lvlText w:val=""/>
      <w:lvlJc w:val="left"/>
      <w:pPr>
        <w:ind w:left="720" w:hanging="360"/>
      </w:pPr>
      <w:rPr>
        <w:rFonts w:ascii="Symbol" w:eastAsiaTheme="minorHAnsi" w:hAnsi="Symbol" w:cstheme="minorBidi"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45A80E54"/>
    <w:multiLevelType w:val="hybridMultilevel"/>
    <w:tmpl w:val="D78CC404"/>
    <w:lvl w:ilvl="0" w:tplc="25EAF86C">
      <w:numFmt w:val="bullet"/>
      <w:lvlText w:val=""/>
      <w:lvlJc w:val="left"/>
      <w:pPr>
        <w:ind w:left="720" w:hanging="360"/>
      </w:pPr>
      <w:rPr>
        <w:rFonts w:ascii="Symbol" w:eastAsiaTheme="minorHAnsi" w:hAnsi="Symbol"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5AAD6365"/>
    <w:multiLevelType w:val="hybridMultilevel"/>
    <w:tmpl w:val="547ED942"/>
    <w:lvl w:ilvl="0" w:tplc="AB28AEBE">
      <w:numFmt w:val="bullet"/>
      <w:lvlText w:val="-"/>
      <w:lvlJc w:val="left"/>
      <w:pPr>
        <w:ind w:left="720" w:hanging="360"/>
      </w:pPr>
      <w:rPr>
        <w:rFonts w:ascii="Calibri" w:eastAsiaTheme="minorHAnsi" w:hAnsi="Calibri" w:cs="Calibri"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7E26588F"/>
    <w:multiLevelType w:val="hybridMultilevel"/>
    <w:tmpl w:val="4F1098BA"/>
    <w:lvl w:ilvl="0" w:tplc="48D0CEB4">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744688066">
    <w:abstractNumId w:val="0"/>
  </w:num>
  <w:num w:numId="2" w16cid:durableId="1118646024">
    <w:abstractNumId w:val="3"/>
  </w:num>
  <w:num w:numId="3" w16cid:durableId="1904295687">
    <w:abstractNumId w:val="2"/>
  </w:num>
  <w:num w:numId="4" w16cid:durableId="670253754">
    <w:abstractNumId w:val="5"/>
  </w:num>
  <w:num w:numId="5" w16cid:durableId="787967655">
    <w:abstractNumId w:val="4"/>
  </w:num>
  <w:num w:numId="6" w16cid:durableId="83533984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dgnword-docGUID" w:val="{37149EDB-9679-497D-80EE-819092C46C95}"/>
    <w:docVar w:name="dgnword-eventsink" w:val="365067976"/>
  </w:docVars>
  <w:rsids>
    <w:rsidRoot w:val="00A96604"/>
    <w:rsid w:val="000011A0"/>
    <w:rsid w:val="00001F06"/>
    <w:rsid w:val="00004299"/>
    <w:rsid w:val="000069A0"/>
    <w:rsid w:val="000100BD"/>
    <w:rsid w:val="00012BDF"/>
    <w:rsid w:val="00013F94"/>
    <w:rsid w:val="00015CA7"/>
    <w:rsid w:val="00017490"/>
    <w:rsid w:val="000255CA"/>
    <w:rsid w:val="00033BD2"/>
    <w:rsid w:val="00034630"/>
    <w:rsid w:val="0003769F"/>
    <w:rsid w:val="000423DE"/>
    <w:rsid w:val="0004638E"/>
    <w:rsid w:val="000477FE"/>
    <w:rsid w:val="00055F9D"/>
    <w:rsid w:val="00056827"/>
    <w:rsid w:val="0007197A"/>
    <w:rsid w:val="00084F5A"/>
    <w:rsid w:val="00087CEB"/>
    <w:rsid w:val="000912E0"/>
    <w:rsid w:val="00091A77"/>
    <w:rsid w:val="000960AB"/>
    <w:rsid w:val="00097627"/>
    <w:rsid w:val="000A0E92"/>
    <w:rsid w:val="000A541B"/>
    <w:rsid w:val="000B73BD"/>
    <w:rsid w:val="000C3AA3"/>
    <w:rsid w:val="000C6B78"/>
    <w:rsid w:val="000D591C"/>
    <w:rsid w:val="000E1B94"/>
    <w:rsid w:val="000F2D68"/>
    <w:rsid w:val="001047D2"/>
    <w:rsid w:val="00105D2E"/>
    <w:rsid w:val="001228BD"/>
    <w:rsid w:val="00127277"/>
    <w:rsid w:val="00137818"/>
    <w:rsid w:val="001403BD"/>
    <w:rsid w:val="00140DE6"/>
    <w:rsid w:val="001411EA"/>
    <w:rsid w:val="00142FE4"/>
    <w:rsid w:val="00147CB4"/>
    <w:rsid w:val="001531EF"/>
    <w:rsid w:val="00156EA2"/>
    <w:rsid w:val="00165CD6"/>
    <w:rsid w:val="001678E3"/>
    <w:rsid w:val="001719F7"/>
    <w:rsid w:val="00177457"/>
    <w:rsid w:val="00180923"/>
    <w:rsid w:val="00182DA5"/>
    <w:rsid w:val="00191D0D"/>
    <w:rsid w:val="00194A83"/>
    <w:rsid w:val="001A492D"/>
    <w:rsid w:val="001A53FC"/>
    <w:rsid w:val="001B5B1A"/>
    <w:rsid w:val="001C0BC0"/>
    <w:rsid w:val="001C3A8F"/>
    <w:rsid w:val="001C4646"/>
    <w:rsid w:val="001D015B"/>
    <w:rsid w:val="001D01D0"/>
    <w:rsid w:val="001D70B8"/>
    <w:rsid w:val="001D7446"/>
    <w:rsid w:val="001E4F1A"/>
    <w:rsid w:val="001E56AF"/>
    <w:rsid w:val="001E7AAA"/>
    <w:rsid w:val="001F5B0B"/>
    <w:rsid w:val="001F6FDC"/>
    <w:rsid w:val="001F73E5"/>
    <w:rsid w:val="00202D41"/>
    <w:rsid w:val="00203142"/>
    <w:rsid w:val="00206688"/>
    <w:rsid w:val="00212523"/>
    <w:rsid w:val="00222A46"/>
    <w:rsid w:val="002232B3"/>
    <w:rsid w:val="002300CC"/>
    <w:rsid w:val="0023092F"/>
    <w:rsid w:val="00231E22"/>
    <w:rsid w:val="00235766"/>
    <w:rsid w:val="00240BF5"/>
    <w:rsid w:val="00241BAB"/>
    <w:rsid w:val="0024311D"/>
    <w:rsid w:val="0024360D"/>
    <w:rsid w:val="00243C18"/>
    <w:rsid w:val="002468D7"/>
    <w:rsid w:val="00255A26"/>
    <w:rsid w:val="0026406F"/>
    <w:rsid w:val="002663EE"/>
    <w:rsid w:val="00274FDB"/>
    <w:rsid w:val="00277133"/>
    <w:rsid w:val="00283898"/>
    <w:rsid w:val="00284C2E"/>
    <w:rsid w:val="002909C1"/>
    <w:rsid w:val="0029263B"/>
    <w:rsid w:val="00294CAE"/>
    <w:rsid w:val="002A15FE"/>
    <w:rsid w:val="002A19E3"/>
    <w:rsid w:val="002A5B64"/>
    <w:rsid w:val="002B10C8"/>
    <w:rsid w:val="002B63E5"/>
    <w:rsid w:val="002B6EB7"/>
    <w:rsid w:val="002D2DEC"/>
    <w:rsid w:val="002D3143"/>
    <w:rsid w:val="002D3CE9"/>
    <w:rsid w:val="002E1F07"/>
    <w:rsid w:val="002F7048"/>
    <w:rsid w:val="003017B1"/>
    <w:rsid w:val="00301B30"/>
    <w:rsid w:val="0030217C"/>
    <w:rsid w:val="00323235"/>
    <w:rsid w:val="00324463"/>
    <w:rsid w:val="00325836"/>
    <w:rsid w:val="003318E0"/>
    <w:rsid w:val="00334B32"/>
    <w:rsid w:val="00360FAF"/>
    <w:rsid w:val="00362AD8"/>
    <w:rsid w:val="00370AF1"/>
    <w:rsid w:val="00370C80"/>
    <w:rsid w:val="00384D67"/>
    <w:rsid w:val="003851AE"/>
    <w:rsid w:val="0038693E"/>
    <w:rsid w:val="003956A4"/>
    <w:rsid w:val="003958FD"/>
    <w:rsid w:val="003A1C0D"/>
    <w:rsid w:val="003B5636"/>
    <w:rsid w:val="003B7442"/>
    <w:rsid w:val="003C4EBF"/>
    <w:rsid w:val="003C6DD7"/>
    <w:rsid w:val="003D24BC"/>
    <w:rsid w:val="003D26BF"/>
    <w:rsid w:val="003F3E04"/>
    <w:rsid w:val="003F5EEF"/>
    <w:rsid w:val="003F6709"/>
    <w:rsid w:val="00400679"/>
    <w:rsid w:val="00412E15"/>
    <w:rsid w:val="00413B7B"/>
    <w:rsid w:val="0042041E"/>
    <w:rsid w:val="004257CC"/>
    <w:rsid w:val="004272FC"/>
    <w:rsid w:val="004277AD"/>
    <w:rsid w:val="004308CE"/>
    <w:rsid w:val="0043157F"/>
    <w:rsid w:val="00432975"/>
    <w:rsid w:val="004335C6"/>
    <w:rsid w:val="0044530F"/>
    <w:rsid w:val="00446BD8"/>
    <w:rsid w:val="00447E7D"/>
    <w:rsid w:val="00451C9E"/>
    <w:rsid w:val="00456F0D"/>
    <w:rsid w:val="004615FB"/>
    <w:rsid w:val="00464C80"/>
    <w:rsid w:val="00472ECD"/>
    <w:rsid w:val="0047564F"/>
    <w:rsid w:val="004800F2"/>
    <w:rsid w:val="00484C0B"/>
    <w:rsid w:val="0048780E"/>
    <w:rsid w:val="00492C4D"/>
    <w:rsid w:val="004A6406"/>
    <w:rsid w:val="004A78E6"/>
    <w:rsid w:val="004B2B0B"/>
    <w:rsid w:val="004B38D5"/>
    <w:rsid w:val="004B4560"/>
    <w:rsid w:val="004C5635"/>
    <w:rsid w:val="004C5EFA"/>
    <w:rsid w:val="004D017C"/>
    <w:rsid w:val="004D301D"/>
    <w:rsid w:val="004D6431"/>
    <w:rsid w:val="004E4112"/>
    <w:rsid w:val="004E4EC1"/>
    <w:rsid w:val="004E7F30"/>
    <w:rsid w:val="004F3600"/>
    <w:rsid w:val="004F5B71"/>
    <w:rsid w:val="004F742B"/>
    <w:rsid w:val="005003C6"/>
    <w:rsid w:val="00501BEA"/>
    <w:rsid w:val="00504E80"/>
    <w:rsid w:val="005064C9"/>
    <w:rsid w:val="00512F47"/>
    <w:rsid w:val="0051709F"/>
    <w:rsid w:val="00522598"/>
    <w:rsid w:val="005274B2"/>
    <w:rsid w:val="00537027"/>
    <w:rsid w:val="0053720E"/>
    <w:rsid w:val="0054671E"/>
    <w:rsid w:val="005501B1"/>
    <w:rsid w:val="0055755D"/>
    <w:rsid w:val="005628A3"/>
    <w:rsid w:val="00563AAF"/>
    <w:rsid w:val="0057034B"/>
    <w:rsid w:val="00581746"/>
    <w:rsid w:val="00583DA1"/>
    <w:rsid w:val="005A1827"/>
    <w:rsid w:val="005A44C1"/>
    <w:rsid w:val="005A59C9"/>
    <w:rsid w:val="005A7353"/>
    <w:rsid w:val="005B1BC4"/>
    <w:rsid w:val="005B1BF3"/>
    <w:rsid w:val="005B2BBA"/>
    <w:rsid w:val="005C34BD"/>
    <w:rsid w:val="005C4B07"/>
    <w:rsid w:val="005C59CC"/>
    <w:rsid w:val="005D0415"/>
    <w:rsid w:val="005D3F4B"/>
    <w:rsid w:val="005D410D"/>
    <w:rsid w:val="005D7E9D"/>
    <w:rsid w:val="005E0447"/>
    <w:rsid w:val="005E5774"/>
    <w:rsid w:val="005E692D"/>
    <w:rsid w:val="00601AB5"/>
    <w:rsid w:val="00603D70"/>
    <w:rsid w:val="00607A53"/>
    <w:rsid w:val="00614037"/>
    <w:rsid w:val="00620F5E"/>
    <w:rsid w:val="00625602"/>
    <w:rsid w:val="00625DEA"/>
    <w:rsid w:val="00627653"/>
    <w:rsid w:val="006303DE"/>
    <w:rsid w:val="00631DE9"/>
    <w:rsid w:val="00637ED4"/>
    <w:rsid w:val="006442A3"/>
    <w:rsid w:val="006451B7"/>
    <w:rsid w:val="006454AC"/>
    <w:rsid w:val="006463D9"/>
    <w:rsid w:val="006513E5"/>
    <w:rsid w:val="006522F4"/>
    <w:rsid w:val="006547AA"/>
    <w:rsid w:val="00661E09"/>
    <w:rsid w:val="006620BE"/>
    <w:rsid w:val="00665921"/>
    <w:rsid w:val="00666EBF"/>
    <w:rsid w:val="006839AC"/>
    <w:rsid w:val="00687E59"/>
    <w:rsid w:val="00696053"/>
    <w:rsid w:val="0069665A"/>
    <w:rsid w:val="0069728B"/>
    <w:rsid w:val="006A7205"/>
    <w:rsid w:val="006B2F31"/>
    <w:rsid w:val="006C4AE9"/>
    <w:rsid w:val="006C50A9"/>
    <w:rsid w:val="006D4C36"/>
    <w:rsid w:val="006D7FAD"/>
    <w:rsid w:val="006E05A4"/>
    <w:rsid w:val="006E338C"/>
    <w:rsid w:val="006E35E8"/>
    <w:rsid w:val="006E54B9"/>
    <w:rsid w:val="006E650B"/>
    <w:rsid w:val="00703129"/>
    <w:rsid w:val="00704A12"/>
    <w:rsid w:val="00705F15"/>
    <w:rsid w:val="007124C4"/>
    <w:rsid w:val="00720AF8"/>
    <w:rsid w:val="00722FD6"/>
    <w:rsid w:val="007276F0"/>
    <w:rsid w:val="007345BF"/>
    <w:rsid w:val="007363D7"/>
    <w:rsid w:val="00736A17"/>
    <w:rsid w:val="007439D7"/>
    <w:rsid w:val="007457DB"/>
    <w:rsid w:val="007518E5"/>
    <w:rsid w:val="00756183"/>
    <w:rsid w:val="00756993"/>
    <w:rsid w:val="00757F7E"/>
    <w:rsid w:val="007606A1"/>
    <w:rsid w:val="007660F8"/>
    <w:rsid w:val="00771E31"/>
    <w:rsid w:val="0077405D"/>
    <w:rsid w:val="00781BA2"/>
    <w:rsid w:val="00781DD1"/>
    <w:rsid w:val="00782B0E"/>
    <w:rsid w:val="0078557C"/>
    <w:rsid w:val="00791FC3"/>
    <w:rsid w:val="00792A21"/>
    <w:rsid w:val="007931A4"/>
    <w:rsid w:val="007933AB"/>
    <w:rsid w:val="00797EBF"/>
    <w:rsid w:val="007A2AA9"/>
    <w:rsid w:val="007B09BD"/>
    <w:rsid w:val="007B0B89"/>
    <w:rsid w:val="007C0BFD"/>
    <w:rsid w:val="007C58D1"/>
    <w:rsid w:val="007C6931"/>
    <w:rsid w:val="007D07E4"/>
    <w:rsid w:val="007D168F"/>
    <w:rsid w:val="007D4DF1"/>
    <w:rsid w:val="007D77EC"/>
    <w:rsid w:val="007E5AF0"/>
    <w:rsid w:val="007F2C93"/>
    <w:rsid w:val="007F37A9"/>
    <w:rsid w:val="007F4E7B"/>
    <w:rsid w:val="007F5CCF"/>
    <w:rsid w:val="007F7989"/>
    <w:rsid w:val="0080016C"/>
    <w:rsid w:val="0080063F"/>
    <w:rsid w:val="00805F9D"/>
    <w:rsid w:val="00812088"/>
    <w:rsid w:val="00815362"/>
    <w:rsid w:val="00816AC3"/>
    <w:rsid w:val="0081747F"/>
    <w:rsid w:val="00824604"/>
    <w:rsid w:val="008253F0"/>
    <w:rsid w:val="008325E3"/>
    <w:rsid w:val="0083593D"/>
    <w:rsid w:val="0083597B"/>
    <w:rsid w:val="00840FC7"/>
    <w:rsid w:val="00842D1D"/>
    <w:rsid w:val="008457B5"/>
    <w:rsid w:val="00846C31"/>
    <w:rsid w:val="0084787B"/>
    <w:rsid w:val="0085004D"/>
    <w:rsid w:val="00857689"/>
    <w:rsid w:val="00862435"/>
    <w:rsid w:val="0086599A"/>
    <w:rsid w:val="00865A50"/>
    <w:rsid w:val="0087183F"/>
    <w:rsid w:val="00880562"/>
    <w:rsid w:val="00881CB5"/>
    <w:rsid w:val="00883479"/>
    <w:rsid w:val="00894724"/>
    <w:rsid w:val="008A4B99"/>
    <w:rsid w:val="008B1FA8"/>
    <w:rsid w:val="008B757B"/>
    <w:rsid w:val="008C7C5E"/>
    <w:rsid w:val="008D0951"/>
    <w:rsid w:val="008D0A23"/>
    <w:rsid w:val="008D31E1"/>
    <w:rsid w:val="008D4084"/>
    <w:rsid w:val="008D7032"/>
    <w:rsid w:val="008D7EC1"/>
    <w:rsid w:val="008E44A0"/>
    <w:rsid w:val="008E5FB0"/>
    <w:rsid w:val="008F07C2"/>
    <w:rsid w:val="008F1C95"/>
    <w:rsid w:val="008F2A67"/>
    <w:rsid w:val="00901744"/>
    <w:rsid w:val="009105F3"/>
    <w:rsid w:val="00910EC1"/>
    <w:rsid w:val="00921FE6"/>
    <w:rsid w:val="00923C0D"/>
    <w:rsid w:val="009240AB"/>
    <w:rsid w:val="00924E55"/>
    <w:rsid w:val="00925921"/>
    <w:rsid w:val="00926148"/>
    <w:rsid w:val="009348E8"/>
    <w:rsid w:val="00942F5D"/>
    <w:rsid w:val="00944486"/>
    <w:rsid w:val="00945518"/>
    <w:rsid w:val="0096165F"/>
    <w:rsid w:val="009649B1"/>
    <w:rsid w:val="00965CD7"/>
    <w:rsid w:val="00965CE4"/>
    <w:rsid w:val="009703A2"/>
    <w:rsid w:val="0097542D"/>
    <w:rsid w:val="00993FD7"/>
    <w:rsid w:val="009948AD"/>
    <w:rsid w:val="0099673B"/>
    <w:rsid w:val="009A2C47"/>
    <w:rsid w:val="009A3AB9"/>
    <w:rsid w:val="009A5C8D"/>
    <w:rsid w:val="009B2F38"/>
    <w:rsid w:val="009B7E09"/>
    <w:rsid w:val="009B7FAE"/>
    <w:rsid w:val="009C050A"/>
    <w:rsid w:val="009C4A81"/>
    <w:rsid w:val="009C56E6"/>
    <w:rsid w:val="009E5DEB"/>
    <w:rsid w:val="009E65AA"/>
    <w:rsid w:val="009E6945"/>
    <w:rsid w:val="009F2D5D"/>
    <w:rsid w:val="009F5F31"/>
    <w:rsid w:val="009F76FD"/>
    <w:rsid w:val="009F7DF1"/>
    <w:rsid w:val="00A006CC"/>
    <w:rsid w:val="00A04A9A"/>
    <w:rsid w:val="00A144F4"/>
    <w:rsid w:val="00A15D71"/>
    <w:rsid w:val="00A16029"/>
    <w:rsid w:val="00A174DE"/>
    <w:rsid w:val="00A2156A"/>
    <w:rsid w:val="00A2544B"/>
    <w:rsid w:val="00A27069"/>
    <w:rsid w:val="00A34B2E"/>
    <w:rsid w:val="00A36F3A"/>
    <w:rsid w:val="00A40A6F"/>
    <w:rsid w:val="00A4435E"/>
    <w:rsid w:val="00A4638A"/>
    <w:rsid w:val="00A6607B"/>
    <w:rsid w:val="00A748F9"/>
    <w:rsid w:val="00A753D0"/>
    <w:rsid w:val="00A80609"/>
    <w:rsid w:val="00A815EC"/>
    <w:rsid w:val="00A94BE5"/>
    <w:rsid w:val="00A96526"/>
    <w:rsid w:val="00A96604"/>
    <w:rsid w:val="00AA4BB3"/>
    <w:rsid w:val="00AA50A5"/>
    <w:rsid w:val="00AB13DA"/>
    <w:rsid w:val="00AB19BA"/>
    <w:rsid w:val="00AB203A"/>
    <w:rsid w:val="00AB323A"/>
    <w:rsid w:val="00AB3B0E"/>
    <w:rsid w:val="00AB72D0"/>
    <w:rsid w:val="00AB7AB4"/>
    <w:rsid w:val="00AC1520"/>
    <w:rsid w:val="00AC1F18"/>
    <w:rsid w:val="00AD6999"/>
    <w:rsid w:val="00AD7BCD"/>
    <w:rsid w:val="00B00B88"/>
    <w:rsid w:val="00B106E6"/>
    <w:rsid w:val="00B10986"/>
    <w:rsid w:val="00B13C0C"/>
    <w:rsid w:val="00B14B8A"/>
    <w:rsid w:val="00B16961"/>
    <w:rsid w:val="00B171FD"/>
    <w:rsid w:val="00B17B61"/>
    <w:rsid w:val="00B17DBC"/>
    <w:rsid w:val="00B216F9"/>
    <w:rsid w:val="00B22080"/>
    <w:rsid w:val="00B242CD"/>
    <w:rsid w:val="00B27F81"/>
    <w:rsid w:val="00B326AC"/>
    <w:rsid w:val="00B373E4"/>
    <w:rsid w:val="00B37FE7"/>
    <w:rsid w:val="00B4629E"/>
    <w:rsid w:val="00B52187"/>
    <w:rsid w:val="00B5569C"/>
    <w:rsid w:val="00B66641"/>
    <w:rsid w:val="00B666ED"/>
    <w:rsid w:val="00B66715"/>
    <w:rsid w:val="00B66F82"/>
    <w:rsid w:val="00B67B05"/>
    <w:rsid w:val="00B74125"/>
    <w:rsid w:val="00B775F2"/>
    <w:rsid w:val="00B778EE"/>
    <w:rsid w:val="00B77A75"/>
    <w:rsid w:val="00B80E33"/>
    <w:rsid w:val="00B844D1"/>
    <w:rsid w:val="00B868C8"/>
    <w:rsid w:val="00B94DE8"/>
    <w:rsid w:val="00BA213A"/>
    <w:rsid w:val="00BA42F6"/>
    <w:rsid w:val="00BA55F6"/>
    <w:rsid w:val="00BB1F9B"/>
    <w:rsid w:val="00BB735D"/>
    <w:rsid w:val="00BC5673"/>
    <w:rsid w:val="00BC792C"/>
    <w:rsid w:val="00BD1C61"/>
    <w:rsid w:val="00BD5559"/>
    <w:rsid w:val="00BD56F6"/>
    <w:rsid w:val="00BD6D49"/>
    <w:rsid w:val="00BD7FE5"/>
    <w:rsid w:val="00BE624C"/>
    <w:rsid w:val="00C023E2"/>
    <w:rsid w:val="00C02E20"/>
    <w:rsid w:val="00C1419F"/>
    <w:rsid w:val="00C170C1"/>
    <w:rsid w:val="00C205B0"/>
    <w:rsid w:val="00C22403"/>
    <w:rsid w:val="00C2294D"/>
    <w:rsid w:val="00C26D1D"/>
    <w:rsid w:val="00C30329"/>
    <w:rsid w:val="00C31BCF"/>
    <w:rsid w:val="00C32DE8"/>
    <w:rsid w:val="00C351E6"/>
    <w:rsid w:val="00C35844"/>
    <w:rsid w:val="00C36462"/>
    <w:rsid w:val="00C401CE"/>
    <w:rsid w:val="00C43260"/>
    <w:rsid w:val="00C44700"/>
    <w:rsid w:val="00C46FCC"/>
    <w:rsid w:val="00C60C78"/>
    <w:rsid w:val="00C6365D"/>
    <w:rsid w:val="00C667C5"/>
    <w:rsid w:val="00C66C40"/>
    <w:rsid w:val="00C66F73"/>
    <w:rsid w:val="00C70411"/>
    <w:rsid w:val="00C7165F"/>
    <w:rsid w:val="00C75B30"/>
    <w:rsid w:val="00C80034"/>
    <w:rsid w:val="00C8456D"/>
    <w:rsid w:val="00C91258"/>
    <w:rsid w:val="00CA251C"/>
    <w:rsid w:val="00CA2AA3"/>
    <w:rsid w:val="00CA30B8"/>
    <w:rsid w:val="00CA3788"/>
    <w:rsid w:val="00CB1306"/>
    <w:rsid w:val="00CB4397"/>
    <w:rsid w:val="00CB6801"/>
    <w:rsid w:val="00CB7156"/>
    <w:rsid w:val="00CC5943"/>
    <w:rsid w:val="00CD64FE"/>
    <w:rsid w:val="00CD6906"/>
    <w:rsid w:val="00CE027D"/>
    <w:rsid w:val="00CE0319"/>
    <w:rsid w:val="00CE7BAE"/>
    <w:rsid w:val="00CF4940"/>
    <w:rsid w:val="00CF4AD8"/>
    <w:rsid w:val="00CF5CC5"/>
    <w:rsid w:val="00D04E41"/>
    <w:rsid w:val="00D04E93"/>
    <w:rsid w:val="00D07096"/>
    <w:rsid w:val="00D10E62"/>
    <w:rsid w:val="00D11545"/>
    <w:rsid w:val="00D216E4"/>
    <w:rsid w:val="00D24283"/>
    <w:rsid w:val="00D26AC7"/>
    <w:rsid w:val="00D27CC5"/>
    <w:rsid w:val="00D3131F"/>
    <w:rsid w:val="00D3485B"/>
    <w:rsid w:val="00D36CF4"/>
    <w:rsid w:val="00D43C64"/>
    <w:rsid w:val="00D4541F"/>
    <w:rsid w:val="00D47231"/>
    <w:rsid w:val="00D5789C"/>
    <w:rsid w:val="00D622F4"/>
    <w:rsid w:val="00D633A6"/>
    <w:rsid w:val="00D75250"/>
    <w:rsid w:val="00D82253"/>
    <w:rsid w:val="00D84B1D"/>
    <w:rsid w:val="00D86C69"/>
    <w:rsid w:val="00D90D87"/>
    <w:rsid w:val="00D97D8E"/>
    <w:rsid w:val="00DA096B"/>
    <w:rsid w:val="00DA1B01"/>
    <w:rsid w:val="00DA6596"/>
    <w:rsid w:val="00DB6F67"/>
    <w:rsid w:val="00DC2EBB"/>
    <w:rsid w:val="00DC4CAE"/>
    <w:rsid w:val="00DD56C8"/>
    <w:rsid w:val="00DE179C"/>
    <w:rsid w:val="00DF10C4"/>
    <w:rsid w:val="00DF3788"/>
    <w:rsid w:val="00DF4F25"/>
    <w:rsid w:val="00DF5C63"/>
    <w:rsid w:val="00DF7ACF"/>
    <w:rsid w:val="00E0269E"/>
    <w:rsid w:val="00E03E9C"/>
    <w:rsid w:val="00E0566A"/>
    <w:rsid w:val="00E07EFA"/>
    <w:rsid w:val="00E1109F"/>
    <w:rsid w:val="00E125E8"/>
    <w:rsid w:val="00E25144"/>
    <w:rsid w:val="00E2529A"/>
    <w:rsid w:val="00E26537"/>
    <w:rsid w:val="00E31D27"/>
    <w:rsid w:val="00E34420"/>
    <w:rsid w:val="00E376C7"/>
    <w:rsid w:val="00E4256B"/>
    <w:rsid w:val="00E521C1"/>
    <w:rsid w:val="00E54A00"/>
    <w:rsid w:val="00E63691"/>
    <w:rsid w:val="00E70D5F"/>
    <w:rsid w:val="00E74504"/>
    <w:rsid w:val="00E7779D"/>
    <w:rsid w:val="00E83105"/>
    <w:rsid w:val="00E875DA"/>
    <w:rsid w:val="00E918F6"/>
    <w:rsid w:val="00E955FC"/>
    <w:rsid w:val="00E96E16"/>
    <w:rsid w:val="00E97EB3"/>
    <w:rsid w:val="00EA1224"/>
    <w:rsid w:val="00EB16F5"/>
    <w:rsid w:val="00EC1E00"/>
    <w:rsid w:val="00EC26B7"/>
    <w:rsid w:val="00EC4225"/>
    <w:rsid w:val="00EC4291"/>
    <w:rsid w:val="00EC5736"/>
    <w:rsid w:val="00EC7796"/>
    <w:rsid w:val="00EE5EA4"/>
    <w:rsid w:val="00EE7197"/>
    <w:rsid w:val="00EF0477"/>
    <w:rsid w:val="00F0583A"/>
    <w:rsid w:val="00F10614"/>
    <w:rsid w:val="00F12F0F"/>
    <w:rsid w:val="00F146E8"/>
    <w:rsid w:val="00F152EA"/>
    <w:rsid w:val="00F16DF2"/>
    <w:rsid w:val="00F24CE7"/>
    <w:rsid w:val="00F2622A"/>
    <w:rsid w:val="00F30F05"/>
    <w:rsid w:val="00F42512"/>
    <w:rsid w:val="00F445BC"/>
    <w:rsid w:val="00F44673"/>
    <w:rsid w:val="00F46461"/>
    <w:rsid w:val="00F57A8B"/>
    <w:rsid w:val="00F66206"/>
    <w:rsid w:val="00F67099"/>
    <w:rsid w:val="00F7138C"/>
    <w:rsid w:val="00F75F92"/>
    <w:rsid w:val="00F76864"/>
    <w:rsid w:val="00F873C7"/>
    <w:rsid w:val="00F91C2F"/>
    <w:rsid w:val="00FA06A6"/>
    <w:rsid w:val="00FA06DE"/>
    <w:rsid w:val="00FA4AF9"/>
    <w:rsid w:val="00FB565D"/>
    <w:rsid w:val="00FC5BFF"/>
    <w:rsid w:val="00FC6891"/>
    <w:rsid w:val="00FD78E2"/>
    <w:rsid w:val="00FE229D"/>
    <w:rsid w:val="00FE2325"/>
    <w:rsid w:val="00FE241F"/>
    <w:rsid w:val="00FE3064"/>
    <w:rsid w:val="00FE7B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78C16B"/>
  <w14:defaultImageDpi w14:val="32767"/>
  <w15:docId w15:val="{431AB50F-44CC-4901-A088-05588E5DB6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6FDC"/>
  </w:style>
  <w:style w:type="paragraph" w:styleId="Heading1">
    <w:name w:val="heading 1"/>
    <w:basedOn w:val="Normal"/>
    <w:next w:val="Normal"/>
    <w:link w:val="Heading1Char"/>
    <w:uiPriority w:val="9"/>
    <w:qFormat/>
    <w:rsid w:val="008D0A2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E232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D168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A19E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384D6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7564F"/>
    <w:pPr>
      <w:ind w:left="720"/>
      <w:contextualSpacing/>
    </w:pPr>
  </w:style>
  <w:style w:type="character" w:customStyle="1" w:styleId="Heading1Char">
    <w:name w:val="Heading 1 Char"/>
    <w:basedOn w:val="DefaultParagraphFont"/>
    <w:link w:val="Heading1"/>
    <w:uiPriority w:val="9"/>
    <w:rsid w:val="008D0A23"/>
    <w:rPr>
      <w:rFonts w:asciiTheme="majorHAnsi" w:eastAsiaTheme="majorEastAsia" w:hAnsiTheme="majorHAnsi" w:cstheme="majorBidi"/>
      <w:color w:val="2F5496" w:themeColor="accent1" w:themeShade="BF"/>
      <w:sz w:val="32"/>
      <w:szCs w:val="32"/>
      <w:lang w:val="en-US"/>
    </w:rPr>
  </w:style>
  <w:style w:type="paragraph" w:styleId="Bibliography">
    <w:name w:val="Bibliography"/>
    <w:basedOn w:val="Normal"/>
    <w:next w:val="Normal"/>
    <w:uiPriority w:val="37"/>
    <w:unhideWhenUsed/>
    <w:rsid w:val="008D0A23"/>
    <w:pPr>
      <w:tabs>
        <w:tab w:val="left" w:pos="264"/>
      </w:tabs>
      <w:spacing w:after="0" w:line="480" w:lineRule="auto"/>
      <w:ind w:left="264" w:hanging="264"/>
    </w:pPr>
  </w:style>
  <w:style w:type="paragraph" w:styleId="Title">
    <w:name w:val="Title"/>
    <w:basedOn w:val="Normal"/>
    <w:next w:val="Normal"/>
    <w:link w:val="TitleChar"/>
    <w:uiPriority w:val="10"/>
    <w:qFormat/>
    <w:rsid w:val="00FE232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E2325"/>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FE232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D168F"/>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2A19E3"/>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4E4E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2B10C8"/>
    <w:pPr>
      <w:spacing w:after="200" w:line="240" w:lineRule="auto"/>
    </w:pPr>
    <w:rPr>
      <w:i/>
      <w:iCs/>
      <w:color w:val="44546A" w:themeColor="text2"/>
      <w:sz w:val="18"/>
      <w:szCs w:val="18"/>
    </w:rPr>
  </w:style>
  <w:style w:type="character" w:styleId="Hyperlink">
    <w:name w:val="Hyperlink"/>
    <w:basedOn w:val="DefaultParagraphFont"/>
    <w:uiPriority w:val="99"/>
    <w:unhideWhenUsed/>
    <w:rsid w:val="00924E55"/>
    <w:rPr>
      <w:color w:val="0563C1" w:themeColor="hyperlink"/>
      <w:u w:val="single"/>
    </w:rPr>
  </w:style>
  <w:style w:type="character" w:styleId="UnresolvedMention">
    <w:name w:val="Unresolved Mention"/>
    <w:basedOn w:val="DefaultParagraphFont"/>
    <w:uiPriority w:val="99"/>
    <w:semiHidden/>
    <w:unhideWhenUsed/>
    <w:rsid w:val="00924E55"/>
    <w:rPr>
      <w:color w:val="605E5C"/>
      <w:shd w:val="clear" w:color="auto" w:fill="E1DFDD"/>
    </w:rPr>
  </w:style>
  <w:style w:type="character" w:styleId="FollowedHyperlink">
    <w:name w:val="FollowedHyperlink"/>
    <w:basedOn w:val="DefaultParagraphFont"/>
    <w:uiPriority w:val="99"/>
    <w:semiHidden/>
    <w:unhideWhenUsed/>
    <w:rsid w:val="00924E55"/>
    <w:rPr>
      <w:color w:val="954F72" w:themeColor="followedHyperlink"/>
      <w:u w:val="single"/>
    </w:rPr>
  </w:style>
  <w:style w:type="paragraph" w:styleId="FootnoteText">
    <w:name w:val="footnote text"/>
    <w:basedOn w:val="Normal"/>
    <w:link w:val="FootnoteTextChar"/>
    <w:uiPriority w:val="99"/>
    <w:unhideWhenUsed/>
    <w:rsid w:val="001F73E5"/>
    <w:pPr>
      <w:spacing w:after="0" w:line="240" w:lineRule="auto"/>
    </w:pPr>
    <w:rPr>
      <w:sz w:val="20"/>
      <w:szCs w:val="20"/>
    </w:rPr>
  </w:style>
  <w:style w:type="character" w:customStyle="1" w:styleId="FootnoteTextChar">
    <w:name w:val="Footnote Text Char"/>
    <w:basedOn w:val="DefaultParagraphFont"/>
    <w:link w:val="FootnoteText"/>
    <w:uiPriority w:val="99"/>
    <w:rsid w:val="001F73E5"/>
    <w:rPr>
      <w:sz w:val="20"/>
      <w:szCs w:val="20"/>
    </w:rPr>
  </w:style>
  <w:style w:type="character" w:styleId="FootnoteReference">
    <w:name w:val="footnote reference"/>
    <w:basedOn w:val="DefaultParagraphFont"/>
    <w:uiPriority w:val="99"/>
    <w:semiHidden/>
    <w:unhideWhenUsed/>
    <w:rsid w:val="001F73E5"/>
    <w:rPr>
      <w:vertAlign w:val="superscript"/>
    </w:rPr>
  </w:style>
  <w:style w:type="character" w:styleId="PlaceholderText">
    <w:name w:val="Placeholder Text"/>
    <w:basedOn w:val="DefaultParagraphFont"/>
    <w:uiPriority w:val="99"/>
    <w:semiHidden/>
    <w:rsid w:val="00A753D0"/>
    <w:rPr>
      <w:color w:val="808080"/>
    </w:rPr>
  </w:style>
  <w:style w:type="character" w:customStyle="1" w:styleId="Heading5Char">
    <w:name w:val="Heading 5 Char"/>
    <w:basedOn w:val="DefaultParagraphFont"/>
    <w:link w:val="Heading5"/>
    <w:uiPriority w:val="9"/>
    <w:rsid w:val="00384D67"/>
    <w:rPr>
      <w:rFonts w:asciiTheme="majorHAnsi" w:eastAsiaTheme="majorEastAsia" w:hAnsiTheme="majorHAnsi" w:cstheme="majorBidi"/>
      <w:color w:val="2F5496" w:themeColor="accent1" w:themeShade="BF"/>
    </w:rPr>
  </w:style>
  <w:style w:type="paragraph" w:customStyle="1" w:styleId="DecimalAligned">
    <w:name w:val="Decimal Aligned"/>
    <w:basedOn w:val="Normal"/>
    <w:uiPriority w:val="40"/>
    <w:qFormat/>
    <w:rsid w:val="00E25144"/>
    <w:pPr>
      <w:tabs>
        <w:tab w:val="decimal" w:pos="360"/>
      </w:tabs>
      <w:spacing w:after="200" w:line="276" w:lineRule="auto"/>
    </w:pPr>
    <w:rPr>
      <w:rFonts w:eastAsiaTheme="minorEastAsia" w:cs="Times New Roman"/>
    </w:rPr>
  </w:style>
  <w:style w:type="character" w:styleId="SubtleEmphasis">
    <w:name w:val="Subtle Emphasis"/>
    <w:basedOn w:val="DefaultParagraphFont"/>
    <w:uiPriority w:val="19"/>
    <w:qFormat/>
    <w:rsid w:val="00E25144"/>
    <w:rPr>
      <w:i/>
      <w:iCs/>
    </w:rPr>
  </w:style>
  <w:style w:type="table" w:styleId="LightShading-Accent1">
    <w:name w:val="Light Shading Accent 1"/>
    <w:basedOn w:val="TableNormal"/>
    <w:uiPriority w:val="60"/>
    <w:rsid w:val="00E25144"/>
    <w:pPr>
      <w:spacing w:after="0" w:line="240" w:lineRule="auto"/>
    </w:pPr>
    <w:rPr>
      <w:rFonts w:eastAsiaTheme="minorEastAsia"/>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ListTable1Light-Accent3">
    <w:name w:val="List Table 1 Light Accent 3"/>
    <w:basedOn w:val="TableNormal"/>
    <w:uiPriority w:val="46"/>
    <w:rsid w:val="001F6FDC"/>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691339">
      <w:bodyDiv w:val="1"/>
      <w:marLeft w:val="0"/>
      <w:marRight w:val="0"/>
      <w:marTop w:val="0"/>
      <w:marBottom w:val="0"/>
      <w:divBdr>
        <w:top w:val="none" w:sz="0" w:space="0" w:color="auto"/>
        <w:left w:val="none" w:sz="0" w:space="0" w:color="auto"/>
        <w:bottom w:val="none" w:sz="0" w:space="0" w:color="auto"/>
        <w:right w:val="none" w:sz="0" w:space="0" w:color="auto"/>
      </w:divBdr>
    </w:div>
    <w:div w:id="258028257">
      <w:bodyDiv w:val="1"/>
      <w:marLeft w:val="0"/>
      <w:marRight w:val="0"/>
      <w:marTop w:val="0"/>
      <w:marBottom w:val="0"/>
      <w:divBdr>
        <w:top w:val="none" w:sz="0" w:space="0" w:color="auto"/>
        <w:left w:val="none" w:sz="0" w:space="0" w:color="auto"/>
        <w:bottom w:val="none" w:sz="0" w:space="0" w:color="auto"/>
        <w:right w:val="none" w:sz="0" w:space="0" w:color="auto"/>
      </w:divBdr>
      <w:divsChild>
        <w:div w:id="42753568">
          <w:marLeft w:val="0"/>
          <w:marRight w:val="0"/>
          <w:marTop w:val="0"/>
          <w:marBottom w:val="0"/>
          <w:divBdr>
            <w:top w:val="none" w:sz="0" w:space="0" w:color="auto"/>
            <w:left w:val="none" w:sz="0" w:space="0" w:color="auto"/>
            <w:bottom w:val="none" w:sz="0" w:space="0" w:color="auto"/>
            <w:right w:val="none" w:sz="0" w:space="0" w:color="auto"/>
          </w:divBdr>
          <w:divsChild>
            <w:div w:id="81025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644111">
      <w:bodyDiv w:val="1"/>
      <w:marLeft w:val="0"/>
      <w:marRight w:val="0"/>
      <w:marTop w:val="0"/>
      <w:marBottom w:val="0"/>
      <w:divBdr>
        <w:top w:val="none" w:sz="0" w:space="0" w:color="auto"/>
        <w:left w:val="none" w:sz="0" w:space="0" w:color="auto"/>
        <w:bottom w:val="none" w:sz="0" w:space="0" w:color="auto"/>
        <w:right w:val="none" w:sz="0" w:space="0" w:color="auto"/>
      </w:divBdr>
    </w:div>
    <w:div w:id="1010448144">
      <w:bodyDiv w:val="1"/>
      <w:marLeft w:val="0"/>
      <w:marRight w:val="0"/>
      <w:marTop w:val="0"/>
      <w:marBottom w:val="0"/>
      <w:divBdr>
        <w:top w:val="none" w:sz="0" w:space="0" w:color="auto"/>
        <w:left w:val="none" w:sz="0" w:space="0" w:color="auto"/>
        <w:bottom w:val="none" w:sz="0" w:space="0" w:color="auto"/>
        <w:right w:val="none" w:sz="0" w:space="0" w:color="auto"/>
      </w:divBdr>
    </w:div>
    <w:div w:id="1737900550">
      <w:bodyDiv w:val="1"/>
      <w:marLeft w:val="0"/>
      <w:marRight w:val="0"/>
      <w:marTop w:val="0"/>
      <w:marBottom w:val="0"/>
      <w:divBdr>
        <w:top w:val="none" w:sz="0" w:space="0" w:color="auto"/>
        <w:left w:val="none" w:sz="0" w:space="0" w:color="auto"/>
        <w:bottom w:val="none" w:sz="0" w:space="0" w:color="auto"/>
        <w:right w:val="none" w:sz="0" w:space="0" w:color="auto"/>
      </w:divBdr>
    </w:div>
    <w:div w:id="183344542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sv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_rels/footnotes.xml.rels><?xml version="1.0" encoding="UTF-8" standalone="yes"?>
<Relationships xmlns="http://schemas.openxmlformats.org/package/2006/relationships"><Relationship Id="rId1" Type="http://schemas.openxmlformats.org/officeDocument/2006/relationships/hyperlink" Target="https://tcma.pratt.duke.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AF58A1-C57B-4B41-B8B9-49E4770B75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25261</TotalTime>
  <Pages>32</Pages>
  <Words>45134</Words>
  <Characters>257264</Characters>
  <Application>Microsoft Office Word</Application>
  <DocSecurity>0</DocSecurity>
  <Lines>2143</Lines>
  <Paragraphs>603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Gedeon d' Abreu de Paulo</dc:creator>
  <cp:keywords/>
  <dc:description/>
  <cp:lastModifiedBy>Gedeon d' Abreu de Paulo</cp:lastModifiedBy>
  <cp:revision>169</cp:revision>
  <dcterms:created xsi:type="dcterms:W3CDTF">2022-02-22T17:33:00Z</dcterms:created>
  <dcterms:modified xsi:type="dcterms:W3CDTF">2023-03-26T13:05:00Z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zotero-version="6.0.23"&gt;&lt;session id="KYWmgej3"/&gt;&lt;style id="http://www.zotero.org/styles/nature" hasBibliography="1" bibliographyStyleHasBeenSet="1"/&gt;&lt;prefs&gt;&lt;pref name="fieldType" value="Field"/&gt;&lt;pref name="automaticJournalAbbreviati</vt:lpwstr>
  </property>
  <property fmtid="{D5CDD505-2E9C-101B-9397-08002B2CF9AE}" pid="3" name="ZOTERO_PREF_2">
    <vt:lpwstr>ons" value="true"/&gt;&lt;/prefs&gt;&lt;/data&gt;</vt:lpwstr>
  </property>
</Properties>
</file>