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Synerex OEM Sublicensing Agreement (Excerpt)</w:t>
      </w:r>
    </w:p>
    <w:p>
      <w:r>
        <w:br/>
        <w:t>1. License Grant.</w:t>
        <w:br/>
        <w:t>Licensor grants OEM a limited, non‑transferable license to sublicense the</w:t>
        <w:br/>
        <w:t>Synerex One EM&amp;V Program and Synerex Tracking Program strictly in accordance</w:t>
        <w:br/>
        <w:t>with the Synerex licensing architecture.</w:t>
        <w:br/>
        <w:br/>
        <w:t>2. Baseline Lineage Requirement.</w:t>
        <w:br/>
        <w:t>OEM shall ensure that no Tracking sublicense is issued or enabled unless it is</w:t>
        <w:br/>
        <w:t>cryptographically linked to a valid Synerex One baseline snapshot.</w:t>
        <w:br/>
        <w:br/>
        <w:t>3. Audit &amp; Reporting.</w:t>
        <w:br/>
        <w:t>OEM agrees to maintain accurate sublicense records and acknowledges that all</w:t>
        <w:br/>
        <w:t>licenses and baselines are subject to audit via the Synerex License Service.</w:t>
        <w:br/>
        <w:br/>
        <w:t>4. Patent Acknowledgment.</w:t>
        <w:br/>
        <w:t>OEM acknowledges that the licensed technology is protected under U.S. Patent</w:t>
        <w:br/>
        <w:t>No. 12,375,324‑B2 and agrees not to contest or circumvent such rights.</w:t>
        <w:br/>
        <w:br/>
        <w:t>5. Termination.</w:t>
        <w:br/>
        <w:t>Any breach of lineage enforcement, audit integrity, or sublicense scope shall</w:t>
        <w:br/>
        <w:t>result in immediate termination of sublicensing rights.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