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MDPI11articletype"/>
      </w:pPr>
      <w:r>
        <w:t>Editorial Corrections — Companion Document</w:t>
      </w:r>
    </w:p>
    <w:p>
      <w:pPr>
        <w:pStyle w:val="MDPI12title"/>
      </w:pPr>
      <w:r>
        <w:t>Correzioni da inserire nel manoscritto MRQF-MAS_Electronics_GDP_Final.docx</w:t>
      </w:r>
    </w:p>
    <w:p>
      <w:pPr>
        <w:pStyle w:val="MDPI13authornames"/>
      </w:pPr>
      <w:r>
        <w:t>Companion file — not for submission</w:t>
      </w:r>
    </w:p>
    <w:p>
      <w:pPr>
        <w:pStyle w:val="MDPI16affiliation"/>
      </w:pPr>
      <w:r>
        <w:t>This document lists three editorial corrections to be applied manually to the main manuscript. Each correction reports: the location in the original document, the current text, and the replacement text formatted with MDPI Electronics styles.</w:t>
      </w:r>
    </w:p>
    <w:p>
      <w:pPr>
        <w:pStyle w:val="MDPI19line"/>
      </w:pPr>
    </w:p>
    <w:p>
      <w:pPr>
        <w:pStyle w:val="MDPI21heading1"/>
      </w:pPr>
      <w:r>
        <w:t>Correction 1. Outline of Section 1 (Introduction) — paragraph P13</w:t>
      </w:r>
    </w:p>
    <w:p>
      <w:pPr>
        <w:pStyle w:val="MDPI31text"/>
      </w:pPr>
      <w:r>
        <w:rPr>
          <w:b/>
        </w:rPr>
        <w:t xml:space="preserve">Where to insert: </w:t>
      </w:r>
      <w:r>
        <w:t>Section 1 (Introduction), last paragraph (P13 in the source docx) — the one starting with “The paper is organised as follows.”</w:t>
      </w:r>
    </w:p>
    <w:p>
      <w:pPr>
        <w:pStyle w:val="MDPI31text"/>
      </w:pPr>
      <w:r>
        <w:rPr>
          <w:b/>
        </w:rPr>
        <w:t xml:space="preserve">Action: </w:t>
      </w:r>
      <w:r>
        <w:t xml:space="preserve">REPLACE the entire paragraph with the following text. Apply the paragraph style </w:t>
      </w:r>
      <w:r>
        <w:rPr>
          <w:i/>
        </w:rPr>
        <w:t>MDPI_3.1_text</w:t>
      </w:r>
      <w:r>
        <w:t>.</w:t>
      </w:r>
    </w:p>
    <w:p>
      <w:pPr>
        <w:pStyle w:val="MDPI31text"/>
      </w:pPr>
      <w:r>
        <w:rPr>
          <w:b/>
        </w:rPr>
        <w:t>Current (obsolete) text:</w:t>
      </w:r>
    </w:p>
    <w:p>
      <w:pPr>
        <w:pStyle w:val="MDPI32textnoindent"/>
      </w:pPr>
      <w:r>
        <w:t>“The paper is organised as follows. Section 2 recalls the theoretical foundations of MRQF, restricted to the elements strictly needed for the subsequent development. Section 3 describes how the theory is mapped onto computable features and how the state vector in the prospect environment is constructed. Section 4 introduces the multi-agent cooperative architecture. Section 5 formalises agent interaction dynamics by mapping scattering, annihilation and pair production onto trading protocols. Section 6 specifies the trading framework on the nine-region plane. Section 7 presents the algorithmic implementation, including the cooperative coordination algorithm. Section 8 discusses the synthetic EUR/USD case study. Section 9 compares MRQF-MAS against orchestrator-only baselines and classical quant models and discusses limitations. Section 10 draws conclusions and outlines future work.”</w:t>
      </w:r>
    </w:p>
    <w:p>
      <w:pPr>
        <w:pStyle w:val="MDPI31text"/>
      </w:pPr>
      <w:r>
        <w:rPr>
          <w:b/>
        </w:rPr>
        <w:t>Replacement text (formatted in style MDPI_3.1_text):</w:t>
      </w:r>
    </w:p>
    <w:p>
      <w:pPr>
        <w:pStyle w:val="MDPI31text"/>
      </w:pPr>
      <w:r>
        <w:t>The paper is organised as follows. Section 2 recalls the theoretical foundations of MRQF, restricted to the elements strictly needed for the subsequent development. Section 3 describes how the theory is mapped onto computable features and how the state vector in the prospect environment is constructed. Section 4 introduces the MRQF multi-agent cooperative architecture. Section 5 formalises the interaction dynamics by mapping scattering, annihilation and pair production from physics onto the multi-agent system. Section 6 specifies the trading framework on the nine-region plane. Section 7 presents the algorithmic implementation, including the cooperative coordination algorithm. Section 8 discusses the synthetic EUR/USD case study. Section 9 examines the limits of the quantum-relativistic analogy and the boundaries of its applicability. Section 10 reports the extended empirical validation against orchestrator-only baselines and classical quant models. Section 11 presents the sensitivity and complexity analysis of the framework. Section 12 discusses the overall results and their implications. Section 13 draws conclusions and outlines directions for future work.</w:t>
      </w:r>
    </w:p>
    <w:p>
      <w:pPr>
        <w:pStyle w:val="MDPI19line"/>
      </w:pPr>
    </w:p>
    <w:p>
      <w:pPr>
        <w:pStyle w:val="MDPI21heading1"/>
      </w:pPr>
      <w:r>
        <w:t>Correction 2. Refactoring leftover — paragraph P136 (Section 9)</w:t>
      </w:r>
    </w:p>
    <w:p>
      <w:pPr>
        <w:pStyle w:val="MDPI31text"/>
      </w:pPr>
      <w:r>
        <w:rPr>
          <w:b/>
        </w:rPr>
        <w:t xml:space="preserve">Where to insert: </w:t>
      </w:r>
      <w:r>
        <w:t>Section 9 (Limits of the Quantum-Relativistic Analogy), paragraph P136 — the one starting with “A second interpretational boundary concerns the architecture itself.”</w:t>
      </w:r>
    </w:p>
    <w:p>
      <w:pPr>
        <w:pStyle w:val="MDPI31text"/>
      </w:pPr>
      <w:r>
        <w:rPr>
          <w:b/>
        </w:rPr>
        <w:t xml:space="preserve">Action: </w:t>
      </w:r>
      <w:r>
        <w:t xml:space="preserve">REPLACE the entire paragraph with the following text. Apply the paragraph style </w:t>
      </w:r>
      <w:r>
        <w:rPr>
          <w:i/>
        </w:rPr>
        <w:t>MDPI_3.1_text</w:t>
      </w:r>
      <w:r>
        <w:t>. The only material change is the removal of the dangling phrase “of the prior version (now Section 12)”, replaced by a clean reference to Section 12.</w:t>
      </w:r>
    </w:p>
    <w:p>
      <w:pPr>
        <w:pStyle w:val="MDPI31text"/>
      </w:pPr>
      <w:r>
        <w:rPr>
          <w:b/>
        </w:rPr>
        <w:t>Current text (refuso editoriale evidenziato in fondo alla quarta frase):</w:t>
      </w:r>
    </w:p>
    <w:p>
      <w:pPr>
        <w:pStyle w:val="MDPI32textnoindent"/>
      </w:pPr>
      <w:r>
        <w:t>“A second interpretational boundary concerns the architecture itself. […] The operational justification for the cooperative design rests on the information-flow arguments of Section 4.3 and on the quantitative comparison of Section 9 of the prior version (now Section 12), not on the analogy itself. […]”</w:t>
      </w:r>
    </w:p>
    <w:p>
      <w:pPr>
        <w:pStyle w:val="MDPI31text"/>
      </w:pPr>
      <w:r>
        <w:rPr>
          <w:b/>
        </w:rPr>
        <w:t>Replacement text (formatted in style MDPI_3.1_text):</w:t>
      </w:r>
    </w:p>
    <w:p>
      <w:pPr>
        <w:pStyle w:val="MDPI31text"/>
      </w:pPr>
      <w:r>
        <w:t>A second interpretational boundary concerns the architecture itself. We argued throughout the paper that the cooperative multi-agent structure of MRQF-MAS inherits its interaction primitives from the MRQF scattering–annihilation–pair-production schema. We emphasise that this inheritance is structural and metaphorical, not derivational: the MAS would function with the same inputs and outputs under alternative protocols (for instance, under a strict orchestrator-only design), and the specific mapping we proposed is motivated by consistency of vocabulary rather than by a theorem that forces it. The operational justification for the cooperative design rests on the information-flow arguments of Section 4.3 and on the quantitative comparison against an orchestrator-only baseline reported in Section 12, not on the analogy itself. In short, MRQF offers a useful and testable framework for describing markets, and MRQF-MAS is a principled but non-unique architecture compatible with it. The analogies serve exposition; the empirical claims are what the architecture must earn.</w:t>
      </w:r>
    </w:p>
    <w:p>
      <w:pPr>
        <w:pStyle w:val="MDPI19line"/>
      </w:pPr>
    </w:p>
    <w:p>
      <w:pPr>
        <w:pStyle w:val="MDPI21heading1"/>
      </w:pPr>
      <w:r>
        <w:t>Correction 3. Equations (1)–(5) — add explicit cross-references in the text</w:t>
      </w:r>
    </w:p>
    <w:p>
      <w:pPr>
        <w:pStyle w:val="MDPI31text"/>
      </w:pPr>
      <w:r>
        <w:rPr>
          <w:b/>
        </w:rPr>
        <w:t xml:space="preserve">Background: </w:t>
      </w:r>
      <w:r>
        <w:t>Equations (1)–(5) are numbered in the manuscript but are never explicitly referred to as “Equation (n)” in the surrounding prose. MDPI requires that numbered equations be cited at least once in the text. Below are the replacement paragraphs that introduce each equation and (where appropriate) refer back to it in the next paragraph.</w:t>
      </w:r>
    </w:p>
    <w:p>
      <w:pPr>
        <w:pStyle w:val="MDPI31text"/>
      </w:pPr>
      <w:r>
        <w:rPr>
          <w:b/>
        </w:rPr>
        <w:t xml:space="preserve">Action: </w:t>
      </w:r>
      <w:r>
        <w:t xml:space="preserve">For each equation, REPLACE the paragraph BEFORE the equation (and, when indicated, the paragraph AFTER) with the text below. Use paragraph style </w:t>
      </w:r>
      <w:r>
        <w:rPr>
          <w:i/>
        </w:rPr>
        <w:t>MDPI_3.1_text</w:t>
      </w:r>
      <w:r>
        <w:t xml:space="preserve"> for all replacements. The equation block itself (the centred formula and its number on the right) is unchanged.</w:t>
      </w:r>
    </w:p>
    <w:p>
      <w:pPr>
        <w:pStyle w:val="MDPI22heading2"/>
      </w:pPr>
      <w:r>
        <w:t>3.1. Equation (1) — Section 2.1 (Volatility scaling law), paragraphs P17 → P18</w:t>
      </w:r>
    </w:p>
    <w:p>
      <w:pPr>
        <w:pStyle w:val="MDPI31text"/>
      </w:pPr>
      <w:r>
        <w:rPr>
          <w:b/>
        </w:rPr>
        <w:t>Replace P17 (paragraph before Eq. (1)) with:</w:t>
      </w:r>
    </w:p>
    <w:p>
      <w:pPr>
        <w:pStyle w:val="MDPI31text"/>
      </w:pPr>
      <w:r>
        <w:t>A price signal sampled tick by tick displays structure at every scale at which it is observed: the same alternation of trends and reversals appears whether one measures returns over seconds, minutes or days. MRQF formalises this empirical regularity with a scaling relation that connects the typical magnitude of price displacement to the time-window over which it is computed. The volatility computed on a window of width Δt obeys the scaling law given by Equation (1):</w:t>
      </w:r>
    </w:p>
    <w:p>
      <w:pPr>
        <w:pStyle w:val="MDPI31text"/>
      </w:pPr>
      <w:r>
        <w:rPr>
          <w:b/>
        </w:rPr>
        <w:t>Replace P18 (paragraph after Eq. (1)) with:</w:t>
      </w:r>
    </w:p>
    <w:p>
      <w:pPr>
        <w:pStyle w:val="MDPI31text"/>
      </w:pPr>
      <w:r>
        <w:t>where the proportionality constant K in Equation (1) encodes the memory of the dynamical system—both the memory of past price levels and the memory of past volatility realisations—and where the exponent β controls the rate at which uncertainty grows with time.</w:t>
      </w:r>
    </w:p>
    <w:p>
      <w:pPr>
        <w:pStyle w:val="MDPI22heading2"/>
      </w:pPr>
      <w:r>
        <w:t>3.2. Equation (2) — Section 2.2 (financial speed-of-light analogue), paragraphs P21 → P22</w:t>
      </w:r>
    </w:p>
    <w:p>
      <w:pPr>
        <w:pStyle w:val="MDPI31text"/>
      </w:pPr>
      <w:r>
        <w:rPr>
          <w:b/>
        </w:rPr>
        <w:t>Replace P21 (paragraph before Eq. (2)) with:</w:t>
      </w:r>
    </w:p>
    <w:p>
      <w:pPr>
        <w:pStyle w:val="MDPI31text"/>
      </w:pPr>
      <w:r>
        <w:t>To move from a scaling description to a genuine relativistic and quantum reformulation, MRQF introduces two finance-theoretic fundamental constants. The first is c_F, defined as the maximum admissible speed of price propagation per unit time, as shown in Equation (2):</w:t>
      </w:r>
    </w:p>
    <w:p>
      <w:pPr>
        <w:pStyle w:val="MDPI31text"/>
      </w:pPr>
      <w:r>
        <w:rPr>
          <w:b/>
        </w:rPr>
        <w:t>Replace P22 (paragraph after Eq. (2)) with:</w:t>
      </w:r>
    </w:p>
    <w:p>
      <w:pPr>
        <w:pStyle w:val="MDPI31text"/>
      </w:pPr>
      <w:r>
        <w:t>The constant c_F introduced in Equation (2) plays the role of a finance-specific analogue of the speed of light. Whenever an operator's implicit speed is small with respect to c_F, classical kinematics applies; when it approaches c_F, relativistic corrections to the price metric become non-negligible.</w:t>
      </w:r>
    </w:p>
    <w:p>
      <w:pPr>
        <w:pStyle w:val="MDPI22heading2"/>
      </w:pPr>
      <w:r>
        <w:t>3.3. Equation (3) — Section 2.2 (quantum of action h_F), paragraphs P23 → P24</w:t>
      </w:r>
    </w:p>
    <w:p>
      <w:pPr>
        <w:pStyle w:val="MDPI31text"/>
      </w:pPr>
      <w:r>
        <w:rPr>
          <w:b/>
        </w:rPr>
        <w:t>Replace P23 (paragraph before Eq. (3)) with:</w:t>
      </w:r>
    </w:p>
    <w:p>
      <w:pPr>
        <w:pStyle w:val="MDPI31text"/>
      </w:pPr>
      <w:r>
        <w:t>The second constant is h_F, the finance-theoretic quantum of action. MRQF posits that the elementary unit of price variation associated with a single financion is given by Equation (3):</w:t>
      </w:r>
    </w:p>
    <w:p>
      <w:pPr>
        <w:pStyle w:val="MDPI31text"/>
      </w:pPr>
      <w:r>
        <w:rPr>
          <w:b/>
        </w:rPr>
        <w:t>Replace P24 (paragraph after Eq. (3)) with:</w:t>
      </w:r>
    </w:p>
    <w:p>
      <w:pPr>
        <w:pStyle w:val="MDPI31text"/>
      </w:pPr>
      <w:r>
        <w:t>where ν is the frequency at which the operator places orders and λ is the corresponding wavelength of price evolution. Identifying h_F in Equation (3) with a market-wide constant amounts to declaring that price displacements are quantised on a scale that depends on the venue and the instrument but is otherwise universal across operators.</w:t>
      </w:r>
    </w:p>
    <w:p>
      <w:pPr>
        <w:pStyle w:val="MDPI22heading2"/>
      </w:pPr>
      <w:r>
        <w:t>3.4. Equation (4) — Section 2.3 (energy–entropy representation), paragraphs P26 → P27</w:t>
      </w:r>
    </w:p>
    <w:p>
      <w:pPr>
        <w:pStyle w:val="MDPI31text"/>
      </w:pPr>
      <w:r>
        <w:rPr>
          <w:b/>
        </w:rPr>
        <w:t>Replace P26 (paragraph before Eq. (4)) with:</w:t>
      </w:r>
    </w:p>
    <w:p>
      <w:pPr>
        <w:pStyle w:val="MDPI31text"/>
      </w:pPr>
      <w:r>
        <w:t>The step that completes the theoretical apparatus and that is most directly useful for the multi-agent architecture of Sections 3–4 is the black-body analogy. MRQF treats the market as a thermodynamic system whose state is described by an energy E and an entropy S, related by Equation (4):</w:t>
      </w:r>
    </w:p>
    <w:p>
      <w:pPr>
        <w:pStyle w:val="MDPI31text"/>
      </w:pPr>
      <w:r>
        <w:rPr>
          <w:b/>
        </w:rPr>
        <w:t>Replace P27 (paragraph after Eq. (4)) with:</w:t>
      </w:r>
    </w:p>
    <w:p>
      <w:pPr>
        <w:pStyle w:val="MDPI31text"/>
      </w:pPr>
      <w:r>
        <w:t>The constant in Equation (4) connects micro- and macro-scale views of the price signal, analogous to the Boltzmann constant. Two state variables summarise the thermodynamic behaviour of the market at any instant: energy E and entropy S.</w:t>
      </w:r>
    </w:p>
    <w:p>
      <w:pPr>
        <w:pStyle w:val="MDPI22heading2"/>
      </w:pPr>
      <w:r>
        <w:t>3.5. Equation (5) — Section 4.3 (Cooperative Horizontal Layer), paragraphs P59 → P60</w:t>
      </w:r>
    </w:p>
    <w:p>
      <w:pPr>
        <w:pStyle w:val="MDPI31text"/>
      </w:pPr>
      <w:r>
        <w:rPr>
          <w:b/>
        </w:rPr>
        <w:t>Replace P59 (paragraph before Eq. (5)) with:</w:t>
      </w:r>
    </w:p>
    <w:p>
      <w:pPr>
        <w:pStyle w:val="MDPI31text"/>
      </w:pPr>
      <w:r>
        <w:t>In MRQF-MAS we introduce a horizontal cooperation protocol in which sub-agents exchange belief messages directly. A belief message from sub-agent i to sub-agent j is a tuple of (state-vector, confidence). The fused belief is computed as a confidence-weighted convex combination, as defined in Equation (5):</w:t>
      </w:r>
    </w:p>
    <w:p>
      <w:pPr>
        <w:pStyle w:val="MDPI31text"/>
      </w:pPr>
      <w:r>
        <w:rPr>
          <w:b/>
        </w:rPr>
        <w:t>Replace P60 (paragraph after Eq. (5)) with:</w:t>
      </w:r>
    </w:p>
    <w:p>
      <w:pPr>
        <w:pStyle w:val="MDPI31text"/>
      </w:pPr>
      <w:r>
        <w:t>The cooperation weight α in Equation (5) is paired with a threshold τ that defines the boundary between cooperation and competition. The threshold is set per instrument and venue based on the volatility regime.</w:t>
      </w:r>
    </w:p>
    <w:p>
      <w:pPr>
        <w:pStyle w:val="MDPI19line"/>
      </w:pPr>
    </w:p>
    <w:p>
      <w:pPr>
        <w:pStyle w:val="MDPI21heading1"/>
      </w:pPr>
      <w:r>
        <w:t>Application checklist</w:t>
      </w:r>
    </w:p>
    <w:p>
      <w:pPr>
        <w:pStyle w:val="MDPI37itemize"/>
      </w:pPr>
      <w:r>
        <w:t>1. Open MRQF_MAS_Electronics_GDP_Final.docx.</w:t>
      </w:r>
    </w:p>
    <w:p>
      <w:pPr>
        <w:pStyle w:val="MDPI37itemize"/>
      </w:pPr>
      <w:r>
        <w:t>2. Replace P13 (Section 1) with the text of Correction 1.</w:t>
      </w:r>
    </w:p>
    <w:p>
      <w:pPr>
        <w:pStyle w:val="MDPI37itemize"/>
      </w:pPr>
      <w:r>
        <w:t>3. Replace P136 (Section 9) with the text of Correction 2.</w:t>
      </w:r>
    </w:p>
    <w:p>
      <w:pPr>
        <w:pStyle w:val="MDPI37itemize"/>
      </w:pPr>
      <w:r>
        <w:t>4. For each of Equations (1)–(5), replace the paragraph BEFORE and the paragraph AFTER as specified in Correction 3, leaving the equation block itself unchanged.</w:t>
      </w:r>
    </w:p>
    <w:p>
      <w:pPr>
        <w:pStyle w:val="MDPI37itemize"/>
      </w:pPr>
      <w:r>
        <w:t>5. Verify that all paragraphs use the MDPI_3.1_text style and that no formatting marks remain from the original placeholders.</w:t>
      </w:r>
    </w:p>
    <w:p>
      <w:pPr>
        <w:pStyle w:val="MDPI19line"/>
      </w:pPr>
    </w:p>
    <w:p>
      <w:pPr>
        <w:pStyle w:val="MDPI21heading1"/>
      </w:pPr>
      <w:r>
        <w:t>Correction 4. References — full rewrite (40 → 39) and in-text renumbering</w:t>
      </w:r>
    </w:p>
    <w:p>
      <w:pPr>
        <w:pStyle w:val="MDPI31text"/>
      </w:pPr>
      <w:r>
        <w:rPr>
          <w:b/>
        </w:rPr>
        <w:t xml:space="preserve">Background. </w:t>
      </w:r>
      <w:r>
        <w:t>Reference [32] (Bouchaud, J.-P.; Potters, M., Theory of Financial Risk and Derivative Pricing) is fully orphan in the manuscript: it is not cited as [32] anywhere and the only collective range that nominally includes it ([31–33] in P40) reduces to [31,32] after removal. All references after [32] shift down by one (old [33–40] → new [32–39]). The list is also cleaned of formatting issues flagged by the structural review: missing terminal periods in old [10], [18], [23]; missing accessed-on date in old [35]; truncated venue line in old [23]; missing DOIs flagged where unverified.</w:t>
      </w:r>
    </w:p>
    <w:p>
      <w:pPr>
        <w:pStyle w:val="MDPI31text"/>
      </w:pPr>
      <w:r>
        <w:rPr>
          <w:b/>
        </w:rPr>
        <w:t xml:space="preserve">Action 4.A — Replace the entire References section. </w:t>
      </w:r>
      <w:r>
        <w:t xml:space="preserve">In the source manuscript, locate the heading </w:t>
      </w:r>
      <w:r>
        <w:rPr>
          <w:i/>
        </w:rPr>
        <w:t>References</w:t>
      </w:r>
      <w:r>
        <w:t xml:space="preserve"> (P219) and the 40 numbered entries that follow (P220–P259). REMOVE all 40 entries and REPLACE them with the 39 entries below. Each entry must use the paragraph style </w:t>
      </w:r>
      <w:r>
        <w:rPr>
          <w:i/>
        </w:rPr>
        <w:t>MDPI_8.1_references</w:t>
      </w:r>
      <w:r>
        <w:t>. Italics and bold formatting are already applied in this companion file (journal name in italics, year in bold, volume in italics) and can be copied verbatim.</w:t>
      </w:r>
    </w:p>
    <w:p>
      <w:pPr>
        <w:pStyle w:val="MDPI22heading2"/>
      </w:pPr>
      <w:r>
        <w:t>4.A. New References list (39 entries — replaces all old [1]–[40])</w:t>
      </w:r>
    </w:p>
    <w:p>
      <w:pPr>
        <w:pStyle w:val="MDPI81references"/>
      </w:pPr>
      <w:r>
        <w:t>1.</w:t>
        <w:tab/>
        <w:t xml:space="preserve">Bachelier, L. Théorie de la spéculation. </w:t>
      </w:r>
      <w:r>
        <w:rPr>
          <w:i/>
        </w:rPr>
        <w:t>Ann. Sci. École Norm. Sup.</w:t>
      </w:r>
      <w:r>
        <w:t xml:space="preserve"> </w:t>
      </w:r>
      <w:r>
        <w:rPr>
          <w:b/>
        </w:rPr>
        <w:t>1900</w:t>
      </w:r>
      <w:r>
        <w:t xml:space="preserve">, </w:t>
      </w:r>
      <w:r>
        <w:rPr>
          <w:i/>
        </w:rPr>
        <w:t>17</w:t>
      </w:r>
      <w:r>
        <w:t>, 21–86. https://doi.org/10.24033/asens.476.</w:t>
      </w:r>
    </w:p>
    <w:p>
      <w:pPr>
        <w:pStyle w:val="MDPI81references"/>
      </w:pPr>
      <w:r>
        <w:t>2.</w:t>
        <w:tab/>
        <w:t xml:space="preserve">Mandelbrot, B.B. The variation of certain speculative prices. </w:t>
      </w:r>
      <w:r>
        <w:rPr>
          <w:i/>
        </w:rPr>
        <w:t>J. Bus.</w:t>
      </w:r>
      <w:r>
        <w:t xml:space="preserve"> </w:t>
      </w:r>
      <w:r>
        <w:rPr>
          <w:b/>
        </w:rPr>
        <w:t>1963</w:t>
      </w:r>
      <w:r>
        <w:t xml:space="preserve">, </w:t>
      </w:r>
      <w:r>
        <w:rPr>
          <w:i/>
        </w:rPr>
        <w:t>36</w:t>
      </w:r>
      <w:r>
        <w:t>, 394–419. https://doi.org/10.1086/294632.</w:t>
      </w:r>
    </w:p>
    <w:p>
      <w:pPr>
        <w:pStyle w:val="MDPI81references"/>
      </w:pPr>
      <w:r>
        <w:t>3.</w:t>
        <w:tab/>
        <w:t>Mandelbrot, B.B. Fractals and Scaling in Finance: Discontinuity, Concentration, Risk. Selecta Volume E; Springer: New York, NY, USA, 1997; ISBN 978-0-387-98363-9. https://doi.org/10.1007/978-1-4757-2763-0.</w:t>
      </w:r>
    </w:p>
    <w:p>
      <w:pPr>
        <w:pStyle w:val="MDPI81references"/>
      </w:pPr>
      <w:r>
        <w:t>4.</w:t>
        <w:tab/>
        <w:t>Embrechts, P.; Maejima, M. Selfsimilar Processes; Princeton University Press: Princeton, NJ, USA, 2002; ISBN 978-0-691-09627-8. [DOI da verificare].</w:t>
      </w:r>
    </w:p>
    <w:p>
      <w:pPr>
        <w:pStyle w:val="MDPI81references"/>
      </w:pPr>
      <w:r>
        <w:t>5.</w:t>
        <w:tab/>
        <w:t xml:space="preserve">Iovane, G.; Laserra, E.; Tortoriello, F.S. Stochastic self-similar and fractal universe. </w:t>
      </w:r>
      <w:r>
        <w:rPr>
          <w:i/>
        </w:rPr>
        <w:t>Chaos Solitons Fract.</w:t>
      </w:r>
      <w:r>
        <w:t xml:space="preserve"> </w:t>
      </w:r>
      <w:r>
        <w:rPr>
          <w:b/>
        </w:rPr>
        <w:t>2004</w:t>
      </w:r>
      <w:r>
        <w:t xml:space="preserve">, </w:t>
      </w:r>
      <w:r>
        <w:rPr>
          <w:i/>
        </w:rPr>
        <w:t>20</w:t>
      </w:r>
      <w:r>
        <w:t>, 415–426. https://doi.org/10.1016/j.chaos.2003.08.004.</w:t>
      </w:r>
    </w:p>
    <w:p>
      <w:pPr>
        <w:pStyle w:val="MDPI81references"/>
      </w:pPr>
      <w:r>
        <w:t>6.</w:t>
        <w:tab/>
        <w:t>Daubechies, I. Ten Lectures on Wavelets; SIAM: Philadelphia, PA, USA, 1992; ISBN 978-0-89871-274-2. https://doi.org/10.1137/1.9781611970104.</w:t>
      </w:r>
    </w:p>
    <w:p>
      <w:pPr>
        <w:pStyle w:val="MDPI81references"/>
      </w:pPr>
      <w:r>
        <w:t>7.</w:t>
        <w:tab/>
        <w:t>Mallat, S. A Wavelet Tour of Signal Processing: The Sparse Way, 3rd ed.; Academic Press: Burlington, MA, USA, 2008; ISBN 978-0-12-374370-1. [DOI da verificare].</w:t>
      </w:r>
    </w:p>
    <w:p>
      <w:pPr>
        <w:pStyle w:val="MDPI81references"/>
      </w:pPr>
      <w:r>
        <w:t>8.</w:t>
        <w:tab/>
        <w:t>Mantegna, R.N.; Stanley, H.E. An Introduction to Econophysics: Correlations and Complexity in Finance; Cambridge University Press: Cambridge, UK, 2000; ISBN 978-0-521-62008-6. https://doi.org/10.1017/CBO9780511755767.</w:t>
      </w:r>
    </w:p>
    <w:p>
      <w:pPr>
        <w:pStyle w:val="MDPI81references"/>
      </w:pPr>
      <w:r>
        <w:t>9.</w:t>
        <w:tab/>
        <w:t xml:space="preserve">Di Matteo, T. Multi-scaling in finance. </w:t>
      </w:r>
      <w:r>
        <w:rPr>
          <w:i/>
        </w:rPr>
        <w:t>Quant. Finance</w:t>
      </w:r>
      <w:r>
        <w:t xml:space="preserve"> </w:t>
      </w:r>
      <w:r>
        <w:rPr>
          <w:b/>
        </w:rPr>
        <w:t>2007</w:t>
      </w:r>
      <w:r>
        <w:t xml:space="preserve">, </w:t>
      </w:r>
      <w:r>
        <w:rPr>
          <w:i/>
        </w:rPr>
        <w:t>7</w:t>
      </w:r>
      <w:r>
        <w:t>, 21–36. https://doi.org/10.1080/14697680600969727.</w:t>
      </w:r>
    </w:p>
    <w:p>
      <w:pPr>
        <w:pStyle w:val="MDPI81references"/>
      </w:pPr>
      <w:r>
        <w:t>10.</w:t>
        <w:tab/>
        <w:t xml:space="preserve">Morales, R.; Di Matteo, T.; Aste, T. Non-stationary multifractality in stock returns. </w:t>
      </w:r>
      <w:r>
        <w:rPr>
          <w:i/>
        </w:rPr>
        <w:t>Physica A</w:t>
      </w:r>
      <w:r>
        <w:t xml:space="preserve"> </w:t>
      </w:r>
      <w:r>
        <w:rPr>
          <w:b/>
        </w:rPr>
        <w:t>2013</w:t>
      </w:r>
      <w:r>
        <w:t xml:space="preserve">, </w:t>
      </w:r>
      <w:r>
        <w:rPr>
          <w:i/>
        </w:rPr>
        <w:t>392</w:t>
      </w:r>
      <w:r>
        <w:t>, 6470–6483. https://doi.org/10.1016/j.physa.2013.08.037.</w:t>
      </w:r>
    </w:p>
    <w:p>
      <w:pPr>
        <w:pStyle w:val="MDPI81references"/>
      </w:pPr>
      <w:r>
        <w:t>11.</w:t>
        <w:tab/>
        <w:t xml:space="preserve">Schwert, G.W. Why does stock market volatility change over time? </w:t>
      </w:r>
      <w:r>
        <w:rPr>
          <w:i/>
        </w:rPr>
        <w:t>J. Finance</w:t>
      </w:r>
      <w:r>
        <w:t xml:space="preserve"> </w:t>
      </w:r>
      <w:r>
        <w:rPr>
          <w:b/>
        </w:rPr>
        <w:t>1989</w:t>
      </w:r>
      <w:r>
        <w:t xml:space="preserve">, </w:t>
      </w:r>
      <w:r>
        <w:rPr>
          <w:i/>
        </w:rPr>
        <w:t>44</w:t>
      </w:r>
      <w:r>
        <w:t>, 1115–1153. https://doi.org/10.1111/j.1540-6261.1989.tb02647.x.</w:t>
      </w:r>
    </w:p>
    <w:p>
      <w:pPr>
        <w:pStyle w:val="MDPI81references"/>
      </w:pPr>
      <w:r>
        <w:t>12.</w:t>
        <w:tab/>
        <w:t xml:space="preserve">Poon, S.-H.; Granger, C.W.J. Forecasting volatility in financial markets: A review. </w:t>
      </w:r>
      <w:r>
        <w:rPr>
          <w:i/>
        </w:rPr>
        <w:t>J. Econ. Lit.</w:t>
      </w:r>
      <w:r>
        <w:t xml:space="preserve"> </w:t>
      </w:r>
      <w:r>
        <w:rPr>
          <w:b/>
        </w:rPr>
        <w:t>2003</w:t>
      </w:r>
      <w:r>
        <w:t xml:space="preserve">, </w:t>
      </w:r>
      <w:r>
        <w:rPr>
          <w:i/>
        </w:rPr>
        <w:t>41</w:t>
      </w:r>
      <w:r>
        <w:t>, 478–539. https://doi.org/10.1257/002205103765762743.</w:t>
      </w:r>
    </w:p>
    <w:p>
      <w:pPr>
        <w:pStyle w:val="MDPI81references"/>
      </w:pPr>
      <w:r>
        <w:t>13.</w:t>
        <w:tab/>
        <w:t xml:space="preserve">Hull, J.; White, A. The pricing of options on assets with stochastic volatilities. </w:t>
      </w:r>
      <w:r>
        <w:rPr>
          <w:i/>
        </w:rPr>
        <w:t>J. Finance</w:t>
      </w:r>
      <w:r>
        <w:t xml:space="preserve"> </w:t>
      </w:r>
      <w:r>
        <w:rPr>
          <w:b/>
        </w:rPr>
        <w:t>1987</w:t>
      </w:r>
      <w:r>
        <w:t xml:space="preserve">, </w:t>
      </w:r>
      <w:r>
        <w:rPr>
          <w:i/>
        </w:rPr>
        <w:t>42</w:t>
      </w:r>
      <w:r>
        <w:t>, 281–300. https://doi.org/10.1111/j.1540-6261.1987.tb02568.x.</w:t>
      </w:r>
    </w:p>
    <w:p>
      <w:pPr>
        <w:pStyle w:val="MDPI81references"/>
      </w:pPr>
      <w:r>
        <w:t>14.</w:t>
        <w:tab/>
        <w:t xml:space="preserve">Bessembinder, H.; Seguin, P.J. Price volatility, trading volume, and market depth: Evidence from futures markets. </w:t>
      </w:r>
      <w:r>
        <w:rPr>
          <w:i/>
        </w:rPr>
        <w:t>J. Financ. Quant. Anal.</w:t>
      </w:r>
      <w:r>
        <w:t xml:space="preserve"> </w:t>
      </w:r>
      <w:r>
        <w:rPr>
          <w:b/>
        </w:rPr>
        <w:t>1993</w:t>
      </w:r>
      <w:r>
        <w:t xml:space="preserve">, </w:t>
      </w:r>
      <w:r>
        <w:rPr>
          <w:i/>
        </w:rPr>
        <w:t>28</w:t>
      </w:r>
      <w:r>
        <w:t>, 21–39. https://doi.org/10.2307/2331149.</w:t>
      </w:r>
    </w:p>
    <w:p>
      <w:pPr>
        <w:pStyle w:val="MDPI81references"/>
      </w:pPr>
      <w:r>
        <w:t>15.</w:t>
        <w:tab/>
        <w:t>Taleb, N.N. The Black Swan: The Impact of the Highly Improbable; Random House: New York, NY, USA, 2007; ISBN 978-1-4000-6351-2. [DOI da verificare].</w:t>
      </w:r>
    </w:p>
    <w:p>
      <w:pPr>
        <w:pStyle w:val="MDPI81references"/>
      </w:pPr>
      <w:r>
        <w:t>16.</w:t>
        <w:tab/>
        <w:t xml:space="preserve">Cont, R. Empirical properties of asset returns: Stylized facts and statistical issues. </w:t>
      </w:r>
      <w:r>
        <w:rPr>
          <w:i/>
        </w:rPr>
        <w:t>Quant. Finance</w:t>
      </w:r>
      <w:r>
        <w:t xml:space="preserve"> </w:t>
      </w:r>
      <w:r>
        <w:rPr>
          <w:b/>
        </w:rPr>
        <w:t>2001</w:t>
      </w:r>
      <w:r>
        <w:t xml:space="preserve">, </w:t>
      </w:r>
      <w:r>
        <w:rPr>
          <w:i/>
        </w:rPr>
        <w:t>1</w:t>
      </w:r>
      <w:r>
        <w:t>, 223–236. https://doi.org/10.1080/713665670.</w:t>
      </w:r>
    </w:p>
    <w:p>
      <w:pPr>
        <w:pStyle w:val="MDPI81references"/>
      </w:pPr>
      <w:r>
        <w:t>17.</w:t>
        <w:tab/>
        <w:t xml:space="preserve">Iovane, G.; Briscione, A.; Benedetto, E. Financion: A quantum approach to financial market modelling. </w:t>
      </w:r>
      <w:r>
        <w:rPr>
          <w:i/>
        </w:rPr>
        <w:t>J. Stat. Manag. Syst.</w:t>
      </w:r>
      <w:r>
        <w:t xml:space="preserve"> </w:t>
      </w:r>
      <w:r>
        <w:rPr>
          <w:b/>
        </w:rPr>
        <w:t>2021</w:t>
      </w:r>
      <w:r>
        <w:t xml:space="preserve">, </w:t>
      </w:r>
      <w:r>
        <w:rPr>
          <w:i/>
        </w:rPr>
        <w:t>24</w:t>
      </w:r>
      <w:r>
        <w:t>, 1127–1149. https://doi.org/10.1080/09720510.2021.1930665.</w:t>
      </w:r>
    </w:p>
    <w:p>
      <w:pPr>
        <w:pStyle w:val="MDPI81references"/>
      </w:pPr>
      <w:r>
        <w:t>18.</w:t>
        <w:tab/>
        <w:t xml:space="preserve">Iovane, G.; Landi, A.; Serino, S. An optimized mathematical-physical approach to financial market via hierarchy and dynamical systems analysis. </w:t>
      </w:r>
      <w:r>
        <w:rPr>
          <w:i/>
        </w:rPr>
        <w:t>J. Inf. Optim. Sci.</w:t>
      </w:r>
      <w:r>
        <w:t xml:space="preserve"> </w:t>
      </w:r>
      <w:r>
        <w:rPr>
          <w:b/>
        </w:rPr>
        <w:t>2016</w:t>
      </w:r>
      <w:r>
        <w:t xml:space="preserve">, </w:t>
      </w:r>
      <w:r>
        <w:rPr>
          <w:i/>
        </w:rPr>
        <w:t>37</w:t>
      </w:r>
      <w:r>
        <w:t>, 423–448. https://doi.org/10.1080/02522667.2015.1105526.</w:t>
      </w:r>
    </w:p>
    <w:p>
      <w:pPr>
        <w:pStyle w:val="MDPI81references"/>
      </w:pPr>
      <w:r>
        <w:t>19.</w:t>
        <w:tab/>
        <w:t xml:space="preserve">Iovane, G. Decision support system driven by thermo-complexity: Algorithms and data manipulation. </w:t>
      </w:r>
      <w:r>
        <w:rPr>
          <w:i/>
        </w:rPr>
        <w:t>IEEE Access</w:t>
      </w:r>
      <w:r>
        <w:t xml:space="preserve"> </w:t>
      </w:r>
      <w:r>
        <w:rPr>
          <w:b/>
        </w:rPr>
        <w:t>2024</w:t>
      </w:r>
      <w:r>
        <w:t xml:space="preserve">, </w:t>
      </w:r>
      <w:r>
        <w:rPr>
          <w:i/>
        </w:rPr>
        <w:t>12</w:t>
      </w:r>
      <w:r>
        <w:t>, 157359–157382. https://doi.org/10.1109/ACCESS.2024.3482711.</w:t>
      </w:r>
    </w:p>
    <w:p>
      <w:pPr>
        <w:pStyle w:val="MDPI81references"/>
      </w:pPr>
      <w:r>
        <w:t>20.</w:t>
        <w:tab/>
        <w:t xml:space="preserve">Iovane, G.; Chinnici, M. Decision support system driven by thermo-complexity: Scenario analysis and data visualization. </w:t>
      </w:r>
      <w:r>
        <w:rPr>
          <w:i/>
        </w:rPr>
        <w:t>Appl. Sci.</w:t>
      </w:r>
      <w:r>
        <w:t xml:space="preserve"> </w:t>
      </w:r>
      <w:r>
        <w:rPr>
          <w:b/>
        </w:rPr>
        <w:t>2024</w:t>
      </w:r>
      <w:r>
        <w:t xml:space="preserve">, </w:t>
      </w:r>
      <w:r>
        <w:rPr>
          <w:i/>
        </w:rPr>
        <w:t>14</w:t>
      </w:r>
      <w:r>
        <w:t>, 2387. https://doi.org/10.3390/app14062387.</w:t>
      </w:r>
    </w:p>
    <w:p>
      <w:pPr>
        <w:pStyle w:val="MDPI81references"/>
      </w:pPr>
      <w:r>
        <w:t>21.</w:t>
        <w:tab/>
        <w:t xml:space="preserve">Shavandi, A.; Khedmati, M. A multi-agent deep reinforcement learning framework for algorithmic trading in financial markets. </w:t>
      </w:r>
      <w:r>
        <w:rPr>
          <w:i/>
        </w:rPr>
        <w:t>Expert Syst. Appl.</w:t>
      </w:r>
      <w:r>
        <w:t xml:space="preserve"> </w:t>
      </w:r>
      <w:r>
        <w:rPr>
          <w:b/>
        </w:rPr>
        <w:t>2022</w:t>
      </w:r>
      <w:r>
        <w:t xml:space="preserve">, </w:t>
      </w:r>
      <w:r>
        <w:rPr>
          <w:i/>
        </w:rPr>
        <w:t>208</w:t>
      </w:r>
      <w:r>
        <w:t>, 118124. https://doi.org/10.1016/j.eswa.2022.118124.</w:t>
      </w:r>
    </w:p>
    <w:p>
      <w:pPr>
        <w:pStyle w:val="MDPI81references"/>
      </w:pPr>
      <w:r>
        <w:t>22.</w:t>
        <w:tab/>
        <w:t xml:space="preserve">Wu, X.; Chen, H.; Wang, J.; Troiano, L.; Loia, V.; Fujita, H. Adaptive stock trading strategies with deep reinforcement learning methods. </w:t>
      </w:r>
      <w:r>
        <w:rPr>
          <w:i/>
        </w:rPr>
        <w:t>Inf. Sci.</w:t>
      </w:r>
      <w:r>
        <w:t xml:space="preserve"> </w:t>
      </w:r>
      <w:r>
        <w:rPr>
          <w:b/>
        </w:rPr>
        <w:t>2020</w:t>
      </w:r>
      <w:r>
        <w:t xml:space="preserve">, </w:t>
      </w:r>
      <w:r>
        <w:rPr>
          <w:i/>
        </w:rPr>
        <w:t>538</w:t>
      </w:r>
      <w:r>
        <w:t>, 142–158. https://doi.org/10.1016/j.ins.2020.05.066.</w:t>
      </w:r>
    </w:p>
    <w:p>
      <w:pPr>
        <w:pStyle w:val="MDPI81references"/>
      </w:pPr>
      <w:r>
        <w:t>23.</w:t>
        <w:tab/>
        <w:t>Hosseini Rad, S.; Tahmasebi Khorasani, S. Cooperative multi-agent deep reinforcement learning for Forex algorithmic trading using Proximal Policy Optimization. In Proceedings of the 2024 20th CSI International Symposium on Artificial Intelligence and Signal Processing (AISP), Mashhad, Iran, 21–22 February 2024. [pagine e DOI da verificare].</w:t>
      </w:r>
    </w:p>
    <w:p>
      <w:pPr>
        <w:pStyle w:val="MDPI81references"/>
      </w:pPr>
      <w:r>
        <w:t>24.</w:t>
        <w:tab/>
        <w:t>Wooldridge, M. An Introduction to MultiAgent Systems, 2nd ed.; Wiley: Chichester, UK, 2009; ISBN 978-0-470-51946-2. [DOI da verificare].</w:t>
      </w:r>
    </w:p>
    <w:p>
      <w:pPr>
        <w:pStyle w:val="MDPI81references"/>
      </w:pPr>
      <w:r>
        <w:t>25.</w:t>
        <w:tab/>
        <w:t xml:space="preserve">Xi, Z.; Chen, W.; Guo, X.; He, W.; Ding, Y.; Hong, B.; Zhang, M.; Wang, J.; Jin, S.; Zhou, E.; et al. The rise and potential of large language model based agents: A survey. </w:t>
      </w:r>
      <w:r>
        <w:rPr>
          <w:i/>
        </w:rPr>
        <w:t>Sci. China Inf. Sci.</w:t>
      </w:r>
      <w:r>
        <w:t xml:space="preserve"> </w:t>
      </w:r>
      <w:r>
        <w:rPr>
          <w:b/>
        </w:rPr>
        <w:t>2025</w:t>
      </w:r>
      <w:r>
        <w:t xml:space="preserve">, </w:t>
      </w:r>
      <w:r>
        <w:rPr>
          <w:i/>
        </w:rPr>
        <w:t>68</w:t>
      </w:r>
      <w:r>
        <w:t>, 121101. https://doi.org/10.1007/s11432-024-4222-0.</w:t>
      </w:r>
    </w:p>
    <w:p>
      <w:pPr>
        <w:pStyle w:val="MDPI81references"/>
      </w:pPr>
      <w:r>
        <w:t>26.</w:t>
        <w:tab/>
        <w:t>Du, Y.; Li, S.; Torralba, A.; Tenenbaum, J.B.; Mordatch, I. Improving factuality and reasoning in language models through multiagent debate. In Proceedings of the 41st International Conference on Machine Learning (ICML 2024), Vienna, Austria, 21–27 July 2024; PMLR: Vienna, Austria, 2024.</w:t>
      </w:r>
    </w:p>
    <w:p>
      <w:pPr>
        <w:pStyle w:val="MDPI81references"/>
      </w:pPr>
      <w:r>
        <w:t>27.</w:t>
        <w:tab/>
        <w:t xml:space="preserve">Wei, J.; Wang, X.; Schuurmans, D.; Bosma, M.; Ichter, B.; Xia, F.; Chi, E.H.; Le, Q.V.; Zhou, D. Chain-of-thought prompting elicits reasoning in large language models. </w:t>
      </w:r>
      <w:r>
        <w:rPr>
          <w:i/>
        </w:rPr>
        <w:t>Adv. Neural Inf. Process. Syst.</w:t>
      </w:r>
      <w:r>
        <w:t xml:space="preserve"> </w:t>
      </w:r>
      <w:r>
        <w:rPr>
          <w:b/>
        </w:rPr>
        <w:t>2022</w:t>
      </w:r>
      <w:r>
        <w:t xml:space="preserve">, </w:t>
      </w:r>
      <w:r>
        <w:rPr>
          <w:i/>
        </w:rPr>
        <w:t>35</w:t>
      </w:r>
      <w:r>
        <w:t>, 24824–24837. https://doi.org/10.48550/arXiv.2201.11903.</w:t>
      </w:r>
    </w:p>
    <w:p>
      <w:pPr>
        <w:pStyle w:val="MDPI81references"/>
      </w:pPr>
      <w:r>
        <w:t>28.</w:t>
        <w:tab/>
        <w:t>Yao, S.; Zhao, J.; Yu, D.; Du, N.; Shafran, I.; Narasimhan, K.; Cao, Y. ReAct: Synergizing reasoning and acting in language models. In Proceedings of the Eleventh International Conference on Learning Representations (ICLR 2023), Kigali, Rwanda, 1–5 May 2023. https://doi.org/10.48550/arXiv.2210.03629.</w:t>
      </w:r>
    </w:p>
    <w:p>
      <w:pPr>
        <w:pStyle w:val="MDPI81references"/>
      </w:pPr>
      <w:r>
        <w:t>29.</w:t>
        <w:tab/>
        <w:t xml:space="preserve">Jaynes, E.T. Information theory and statistical mechanics. </w:t>
      </w:r>
      <w:r>
        <w:rPr>
          <w:i/>
        </w:rPr>
        <w:t>Phys. Rev.</w:t>
      </w:r>
      <w:r>
        <w:t xml:space="preserve"> </w:t>
      </w:r>
      <w:r>
        <w:rPr>
          <w:b/>
        </w:rPr>
        <w:t>1957</w:t>
      </w:r>
      <w:r>
        <w:t xml:space="preserve">, </w:t>
      </w:r>
      <w:r>
        <w:rPr>
          <w:i/>
        </w:rPr>
        <w:t>106</w:t>
      </w:r>
      <w:r>
        <w:t>, 620–630. https://doi.org/10.1103/PhysRev.106.620.</w:t>
      </w:r>
    </w:p>
    <w:p>
      <w:pPr>
        <w:pStyle w:val="MDPI81references"/>
      </w:pPr>
      <w:r>
        <w:t>30.</w:t>
        <w:tab/>
        <w:t xml:space="preserve">Kahneman, D.; Tversky, A. Prospect theory: An analysis of decision under risk. </w:t>
      </w:r>
      <w:r>
        <w:rPr>
          <w:i/>
        </w:rPr>
        <w:t>Econometrica</w:t>
      </w:r>
      <w:r>
        <w:t xml:space="preserve"> </w:t>
      </w:r>
      <w:r>
        <w:rPr>
          <w:b/>
        </w:rPr>
        <w:t>1979</w:t>
      </w:r>
      <w:r>
        <w:t xml:space="preserve">, </w:t>
      </w:r>
      <w:r>
        <w:rPr>
          <w:i/>
        </w:rPr>
        <w:t>47</w:t>
      </w:r>
      <w:r>
        <w:t>, 263–292. https://doi.org/10.2307/1914185.</w:t>
      </w:r>
    </w:p>
    <w:p>
      <w:pPr>
        <w:pStyle w:val="MDPI81references"/>
      </w:pPr>
      <w:r>
        <w:t>31.</w:t>
        <w:tab/>
        <w:t xml:space="preserve">Iovane, G.; Di Gironimo, P.; Chinnici, M.; Rapuano, A. Decision and reasoning in incompleteness or uncertainty conditions. </w:t>
      </w:r>
      <w:r>
        <w:rPr>
          <w:i/>
        </w:rPr>
        <w:t>IEEE Access</w:t>
      </w:r>
      <w:r>
        <w:t xml:space="preserve"> </w:t>
      </w:r>
      <w:r>
        <w:rPr>
          <w:b/>
        </w:rPr>
        <w:t>2020</w:t>
      </w:r>
      <w:r>
        <w:t xml:space="preserve">, </w:t>
      </w:r>
      <w:r>
        <w:rPr>
          <w:i/>
        </w:rPr>
        <w:t>8</w:t>
      </w:r>
      <w:r>
        <w:t>, 115109–115122. https://doi.org/10.1109/ACCESS.2020.3003726.</w:t>
      </w:r>
    </w:p>
    <w:p>
      <w:pPr>
        <w:pStyle w:val="MDPI81references"/>
      </w:pPr>
      <w:r>
        <w:t>32.</w:t>
        <w:tab/>
        <w:t xml:space="preserve">Iovane, G.; Landi, R.E.; Rapuano, A.; Amatore, R. Assessing the relevance of opinions in uncertainty and info-incompleteness conditions. </w:t>
      </w:r>
      <w:r>
        <w:rPr>
          <w:i/>
        </w:rPr>
        <w:t>Appl. Sci.</w:t>
      </w:r>
      <w:r>
        <w:t xml:space="preserve"> </w:t>
      </w:r>
      <w:r>
        <w:rPr>
          <w:b/>
        </w:rPr>
        <w:t>2022</w:t>
      </w:r>
      <w:r>
        <w:t xml:space="preserve">, </w:t>
      </w:r>
      <w:r>
        <w:rPr>
          <w:i/>
        </w:rPr>
        <w:t>12</w:t>
      </w:r>
      <w:r>
        <w:t>, 194. https://doi.org/10.3390/app12010194.</w:t>
      </w:r>
    </w:p>
    <w:p>
      <w:pPr>
        <w:pStyle w:val="MDPI81references"/>
      </w:pPr>
      <w:r>
        <w:t>33.</w:t>
        <w:tab/>
        <w:t>Cover, T.M.; Thomas, J.A. Elements of Information Theory, 2nd ed.; Wiley-Interscience: Hoboken, NJ, USA, 2006; ISBN 978-0-471-24195-9. [DOI da verificare].</w:t>
      </w:r>
    </w:p>
    <w:p>
      <w:pPr>
        <w:pStyle w:val="MDPI81references"/>
      </w:pPr>
      <w:r>
        <w:t>34.</w:t>
        <w:tab/>
        <w:t xml:space="preserve">European Parliament and Council. Regulation (EU) 2024/1689 laying down harmonised rules on artificial intelligence (Artificial Intelligence Act). </w:t>
      </w:r>
      <w:r>
        <w:rPr>
          <w:i/>
        </w:rPr>
        <w:t>Off. J. Eur. Union</w:t>
      </w:r>
      <w:r>
        <w:t xml:space="preserve"> </w:t>
      </w:r>
      <w:r>
        <w:rPr>
          <w:b/>
        </w:rPr>
        <w:t>2024</w:t>
      </w:r>
      <w:r>
        <w:t>. Available online: https://eur-lex.europa.eu/eli/reg/2024/1689/oj (accessed on 30 April 2026).</w:t>
      </w:r>
    </w:p>
    <w:p>
      <w:pPr>
        <w:pStyle w:val="MDPI81references"/>
      </w:pPr>
      <w:r>
        <w:t>35.</w:t>
        <w:tab/>
        <w:t>Peters, E.E. Fractal Market Analysis: Applying Chaos Theory to Investment and Economics; Wiley: New York, NY, USA, 1994; ISBN 978-0-471-58524-4. [DOI da verificare].</w:t>
      </w:r>
    </w:p>
    <w:p>
      <w:pPr>
        <w:pStyle w:val="MDPI81references"/>
      </w:pPr>
      <w:r>
        <w:t>36.</w:t>
        <w:tab/>
        <w:t xml:space="preserve">Deng, Y.; Bao, F.; Kong, Y.; Ren, Z.; Dai, Q. Deep direct reinforcement learning for financial signal representation and trading. </w:t>
      </w:r>
      <w:r>
        <w:rPr>
          <w:i/>
        </w:rPr>
        <w:t>IEEE Trans. Neural Netw. Learn. Syst.</w:t>
      </w:r>
      <w:r>
        <w:t xml:space="preserve"> </w:t>
      </w:r>
      <w:r>
        <w:rPr>
          <w:b/>
        </w:rPr>
        <w:t>2017</w:t>
      </w:r>
      <w:r>
        <w:t xml:space="preserve">, </w:t>
      </w:r>
      <w:r>
        <w:rPr>
          <w:i/>
        </w:rPr>
        <w:t>28</w:t>
      </w:r>
      <w:r>
        <w:t>, 653–664. https://doi.org/10.1109/TNNLS.2016.2522401.</w:t>
      </w:r>
    </w:p>
    <w:p>
      <w:pPr>
        <w:pStyle w:val="MDPI81references"/>
      </w:pPr>
      <w:r>
        <w:t>37.</w:t>
        <w:tab/>
        <w:t xml:space="preserve">Moody, J.; Saffell, M. Learning to trade via direct reinforcement. </w:t>
      </w:r>
      <w:r>
        <w:rPr>
          <w:i/>
        </w:rPr>
        <w:t>IEEE Trans. Neural Netw.</w:t>
      </w:r>
      <w:r>
        <w:t xml:space="preserve"> </w:t>
      </w:r>
      <w:r>
        <w:rPr>
          <w:b/>
        </w:rPr>
        <w:t>2001</w:t>
      </w:r>
      <w:r>
        <w:t xml:space="preserve">, </w:t>
      </w:r>
      <w:r>
        <w:rPr>
          <w:i/>
        </w:rPr>
        <w:t>12</w:t>
      </w:r>
      <w:r>
        <w:t>, 875–889. https://doi.org/10.1109/72.935097.</w:t>
      </w:r>
    </w:p>
    <w:p>
      <w:pPr>
        <w:pStyle w:val="MDPI81references"/>
      </w:pPr>
      <w:r>
        <w:t>38.</w:t>
        <w:tab/>
        <w:t>Blackledge, J.M.; Murphy, K. Currency trading using the fractal market hypothesis. In Risk Management Trends; Nota, G., Ed.; IntechOpen: London, UK, 2011; ISBN 978-953-307-314-9. https://doi.org/10.5772/16249.</w:t>
      </w:r>
    </w:p>
    <w:p>
      <w:pPr>
        <w:pStyle w:val="MDPI81references"/>
      </w:pPr>
      <w:r>
        <w:t>39.</w:t>
        <w:tab/>
        <w:t>Dacorogna, M.M.; Gençay, R.; Müller, U.; Olsen, R.B.; Pictet, O.V. An Introduction to High-Frequency Finance; Academic Press: San Diego, CA, USA, 2001; ISBN 978-0-12-279671-5. [DOI da verificare].</w:t>
      </w:r>
    </w:p>
    <w:p>
      <w:pPr>
        <w:pStyle w:val="MDPI22heading2"/>
      </w:pPr>
      <w:r>
        <w:t>4.B. In-text citation renumbering</w:t>
      </w:r>
    </w:p>
    <w:p>
      <w:pPr>
        <w:pStyle w:val="MDPI31text"/>
      </w:pPr>
      <w:r>
        <w:rPr>
          <w:b/>
        </w:rPr>
        <w:t xml:space="preserve">Action 4.B — Replace in-text citation tokens. </w:t>
      </w:r>
      <w:r>
        <w:t>After the bibliography is rewritten, the following in-text citations must be updated. References [1]–[31] are unchanged. References [32]–[39] (the new numbering) correspond to old [33]–[40]. All other in-text citations are unaffected.</w:t>
      </w:r>
    </w:p>
    <w:tbl>
      <w:tblPr>
        <w:tblStyle w:val="MDPI41threelinetable"/>
        <w:tblW w:type="auto" w:w="0"/>
        <w:tblLook w:firstColumn="1" w:firstRow="1" w:lastColumn="0" w:lastRow="0" w:noHBand="0" w:noVBand="1" w:val="04A0"/>
      </w:tblPr>
      <w:tblGrid>
        <w:gridCol w:w="2616"/>
        <w:gridCol w:w="2616"/>
        <w:gridCol w:w="2616"/>
        <w:gridCol w:w="2616"/>
      </w:tblGrid>
      <w:tr>
        <w:tc>
          <w:tcPr>
            <w:tcW w:type="dxa" w:w="2616"/>
          </w:tcPr>
          <w:p>
            <w:r>
              <w:rPr>
                <w:b/>
              </w:rPr>
              <w:t>Paragraph</w:t>
            </w:r>
          </w:p>
        </w:tc>
        <w:tc>
          <w:tcPr>
            <w:tcW w:type="dxa" w:w="2616"/>
          </w:tcPr>
          <w:p>
            <w:r>
              <w:rPr>
                <w:b/>
              </w:rPr>
              <w:t>Old citation</w:t>
            </w:r>
          </w:p>
        </w:tc>
        <w:tc>
          <w:tcPr>
            <w:tcW w:type="dxa" w:w="2616"/>
          </w:tcPr>
          <w:p>
            <w:r>
              <w:rPr>
                <w:b/>
              </w:rPr>
              <w:t>New citation</w:t>
            </w:r>
          </w:p>
        </w:tc>
        <w:tc>
          <w:tcPr>
            <w:tcW w:type="dxa" w:w="2616"/>
          </w:tcPr>
          <w:p>
            <w:r>
              <w:rPr>
                <w:b/>
              </w:rPr>
              <w:t>Note</w:t>
            </w:r>
          </w:p>
        </w:tc>
      </w:tr>
      <w:tr>
        <w:tc>
          <w:tcPr>
            <w:tcW w:type="dxa" w:w="2616"/>
          </w:tcPr>
          <w:p>
            <w:r>
              <w:t>P40</w:t>
            </w:r>
          </w:p>
        </w:tc>
        <w:tc>
          <w:tcPr>
            <w:tcW w:type="dxa" w:w="2616"/>
          </w:tcPr>
          <w:p>
            <w:r>
              <w:t>[31–33]</w:t>
            </w:r>
          </w:p>
        </w:tc>
        <w:tc>
          <w:tcPr>
            <w:tcW w:type="dxa" w:w="2616"/>
          </w:tcPr>
          <w:p>
            <w:r>
              <w:t>[31,32]</w:t>
            </w:r>
          </w:p>
        </w:tc>
        <w:tc>
          <w:tcPr>
            <w:tcW w:type="dxa" w:w="2616"/>
          </w:tcPr>
          <w:p>
            <w:r>
              <w:t>After removal of old [32], the range covers only two consecutive items (31 and old 33→new 32); rewrite as a two-item list.</w:t>
            </w:r>
          </w:p>
        </w:tc>
      </w:tr>
      <w:tr>
        <w:tc>
          <w:tcPr>
            <w:tcW w:type="dxa" w:w="2616"/>
          </w:tcPr>
          <w:p>
            <w:r>
              <w:t>P66</w:t>
            </w:r>
          </w:p>
        </w:tc>
        <w:tc>
          <w:tcPr>
            <w:tcW w:type="dxa" w:w="2616"/>
          </w:tcPr>
          <w:p>
            <w:r>
              <w:t>[34]</w:t>
            </w:r>
          </w:p>
        </w:tc>
        <w:tc>
          <w:tcPr>
            <w:tcW w:type="dxa" w:w="2616"/>
          </w:tcPr>
          <w:p>
            <w:r>
              <w:t>[33]</w:t>
            </w:r>
          </w:p>
        </w:tc>
        <w:tc>
          <w:tcPr>
            <w:tcW w:type="dxa" w:w="2616"/>
          </w:tcPr>
          <w:p>
            <w:r>
              <w:t>old [34] (Cover &amp; Thomas) → new [33]</w:t>
            </w:r>
          </w:p>
        </w:tc>
      </w:tr>
      <w:tr>
        <w:tc>
          <w:tcPr>
            <w:tcW w:type="dxa" w:w="2616"/>
          </w:tcPr>
          <w:p>
            <w:r>
              <w:t>P94</w:t>
            </w:r>
          </w:p>
        </w:tc>
        <w:tc>
          <w:tcPr>
            <w:tcW w:type="dxa" w:w="2616"/>
          </w:tcPr>
          <w:p>
            <w:r>
              <w:t>[35]</w:t>
            </w:r>
          </w:p>
        </w:tc>
        <w:tc>
          <w:tcPr>
            <w:tcW w:type="dxa" w:w="2616"/>
          </w:tcPr>
          <w:p>
            <w:r>
              <w:t>[34]</w:t>
            </w:r>
          </w:p>
        </w:tc>
        <w:tc>
          <w:tcPr>
            <w:tcW w:type="dxa" w:w="2616"/>
          </w:tcPr>
          <w:p>
            <w:r>
              <w:t>old [35] (AI Act, Reg. EU 2024/1689) → new [34]</w:t>
            </w:r>
          </w:p>
        </w:tc>
      </w:tr>
      <w:tr>
        <w:tc>
          <w:tcPr>
            <w:tcW w:type="dxa" w:w="2616"/>
          </w:tcPr>
          <w:p>
            <w:r>
              <w:t>P129</w:t>
            </w:r>
          </w:p>
        </w:tc>
        <w:tc>
          <w:tcPr>
            <w:tcW w:type="dxa" w:w="2616"/>
          </w:tcPr>
          <w:p>
            <w:r>
              <w:t>[36]</w:t>
            </w:r>
          </w:p>
        </w:tc>
        <w:tc>
          <w:tcPr>
            <w:tcW w:type="dxa" w:w="2616"/>
          </w:tcPr>
          <w:p>
            <w:r>
              <w:t>[35]</w:t>
            </w:r>
          </w:p>
        </w:tc>
        <w:tc>
          <w:tcPr>
            <w:tcW w:type="dxa" w:w="2616"/>
          </w:tcPr>
          <w:p>
            <w:r>
              <w:t>old [36] (Peters) → new [35]</w:t>
            </w:r>
          </w:p>
        </w:tc>
      </w:tr>
      <w:tr>
        <w:tc>
          <w:tcPr>
            <w:tcW w:type="dxa" w:w="2616"/>
          </w:tcPr>
          <w:p>
            <w:r>
              <w:t>P182</w:t>
            </w:r>
          </w:p>
        </w:tc>
        <w:tc>
          <w:tcPr>
            <w:tcW w:type="dxa" w:w="2616"/>
          </w:tcPr>
          <w:p>
            <w:r>
              <w:t>[37,38]</w:t>
            </w:r>
          </w:p>
        </w:tc>
        <w:tc>
          <w:tcPr>
            <w:tcW w:type="dxa" w:w="2616"/>
          </w:tcPr>
          <w:p>
            <w:r>
              <w:t>[36,37]</w:t>
            </w:r>
          </w:p>
        </w:tc>
        <w:tc>
          <w:tcPr>
            <w:tcW w:type="dxa" w:w="2616"/>
          </w:tcPr>
          <w:p>
            <w:r>
              <w:t>old [37] (Deng et al.) → new [36]; old [38] (Moody &amp; Saffell) → new [37]</w:t>
            </w:r>
          </w:p>
        </w:tc>
      </w:tr>
      <w:tr>
        <w:tc>
          <w:tcPr>
            <w:tcW w:type="dxa" w:w="2616"/>
          </w:tcPr>
          <w:p>
            <w:r>
              <w:t>P182</w:t>
            </w:r>
          </w:p>
        </w:tc>
        <w:tc>
          <w:tcPr>
            <w:tcW w:type="dxa" w:w="2616"/>
          </w:tcPr>
          <w:p>
            <w:r>
              <w:t>[39,40]</w:t>
            </w:r>
          </w:p>
        </w:tc>
        <w:tc>
          <w:tcPr>
            <w:tcW w:type="dxa" w:w="2616"/>
          </w:tcPr>
          <w:p>
            <w:r>
              <w:t>[38,39]</w:t>
            </w:r>
          </w:p>
        </w:tc>
        <w:tc>
          <w:tcPr>
            <w:tcW w:type="dxa" w:w="2616"/>
          </w:tcPr>
          <w:p>
            <w:r>
              <w:t>old [39] (Blackledge &amp; Murphy) → new [38]; old [40] (Dacorogna et al.) → new [39]</w:t>
            </w:r>
          </w:p>
        </w:tc>
      </w:tr>
    </w:tbl>
    <w:p>
      <w:pPr>
        <w:pStyle w:val="MDPI31text"/>
      </w:pPr>
      <w:r>
        <w:rPr>
          <w:b/>
        </w:rPr>
        <w:t xml:space="preserve">Note. </w:t>
      </w:r>
      <w:r>
        <w:t>All other citations in the manuscript ([1]–[31]) keep the same number. Verify in particular that the ranges [8–16], [21–24] and [25–28] remain intact, since they involve only references whose numbers are unchanged.</w:t>
      </w:r>
    </w:p>
    <w:p>
      <w:pPr>
        <w:pStyle w:val="MDPI22heading2"/>
      </w:pPr>
      <w:r>
        <w:t>4.C. Application checklist (replaces previous checklist)</w:t>
      </w:r>
    </w:p>
    <w:p>
      <w:pPr>
        <w:pStyle w:val="MDPI37itemize"/>
      </w:pPr>
      <w:r>
        <w:t>1. Open MRQF_MAS_Electronics_GDP_Final.docx.</w:t>
      </w:r>
    </w:p>
    <w:p>
      <w:pPr>
        <w:pStyle w:val="MDPI37itemize"/>
      </w:pPr>
      <w:r>
        <w:t>2. Apply Corrections 1, 2 and 3 as previously specified.</w:t>
      </w:r>
    </w:p>
    <w:p>
      <w:pPr>
        <w:pStyle w:val="MDPI37itemize"/>
      </w:pPr>
      <w:r>
        <w:t>3. In the References section (P219+), remove all 40 numbered entries and paste the 39 new entries from Section 4.A. Each entry uses style MDPI_8.1_references; preserve italics and bold as shown.</w:t>
      </w:r>
    </w:p>
    <w:p>
      <w:pPr>
        <w:pStyle w:val="MDPI37itemize"/>
      </w:pPr>
      <w:r>
        <w:t>4. Apply the in-text replacements listed in Section 4.B (six changes only, all in paragraphs P40, P66, P94, P129 and P182).</w:t>
      </w:r>
    </w:p>
    <w:p>
      <w:pPr>
        <w:pStyle w:val="MDPI37itemize"/>
      </w:pPr>
      <w:r>
        <w:t>5. Resolve the [DOI da verificare] tags by looking up the official DOIs for entries 4, 7, 15, 24, 33, 35 and 39, and the missing pages/DOI for entry 23, before submission.</w:t>
      </w:r>
    </w:p>
    <w:p>
      <w:pPr>
        <w:pStyle w:val="MDPI37itemize"/>
      </w:pPr>
      <w:r>
        <w:t>6. Run a final check that no [N] citation in the body still refers to a number greater than 39, and that no reference number is unused.</w:t>
      </w:r>
    </w:p>
    <w:sectPr w:rsidR="00FB1BC0" w:rsidSect="009C0D30">
      <w:headerReference w:type="even" r:id="rId24"/>
      <w:headerReference w:type="default" r:id="rId25"/>
      <w:footerReference w:type="default" r:id="rId26"/>
      <w:headerReference w:type="first" r:id="rId27"/>
      <w:footerReference w:type="first" r:id="rId28"/>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ABRIELE di PALMA" w:date="2026-04-23T20:17:00Z" w:initials="Gd">
    <w:p w14:paraId="17A59BD0" w14:textId="77777777" w:rsidR="00B45080" w:rsidRDefault="00B45080" w:rsidP="00B45080">
      <w:pPr>
        <w:pStyle w:val="Testocommento"/>
        <w:jc w:val="left"/>
      </w:pPr>
      <w:r>
        <w:rPr>
          <w:rStyle w:val="Rimandocommento"/>
        </w:rPr>
        <w:annotationRef/>
      </w:r>
      <w:r>
        <w:t>Devo aggiungere io delle date?</w:t>
      </w:r>
    </w:p>
  </w:comment>
  <w:comment w:id="1" w:author="EMMANUEL DE LUCA" w:date="2026-04-23T12:35:00Z" w:initials="ED">
    <w:p w14:paraId="57799389" w14:textId="77777777" w:rsidR="00477FB2" w:rsidRDefault="00477FB2" w:rsidP="00477FB2">
      <w:pPr>
        <w:pStyle w:val="Testocommento"/>
        <w:jc w:val="left"/>
      </w:pPr>
      <w:r>
        <w:rPr>
          <w:rStyle w:val="Rimandocommento"/>
        </w:rPr>
        <w:annotationRef/>
      </w:r>
      <w:r>
        <w:t>Errore di battitura?</w:t>
      </w:r>
    </w:p>
  </w:comment>
  <w:comment w:id="2" w:author="EMMANUEL DE LUCA" w:date="2026-04-23T13:03:00Z" w:initials="ED">
    <w:p w14:paraId="39CAD05A" w14:textId="77777777" w:rsidR="00AB4060" w:rsidRDefault="00AB4060" w:rsidP="00AB4060">
      <w:pPr>
        <w:pStyle w:val="Testocommento"/>
        <w:jc w:val="left"/>
      </w:pPr>
      <w:r>
        <w:rPr>
          <w:rStyle w:val="Rimandocommento"/>
        </w:rPr>
        <w:annotationRef/>
      </w:r>
      <w:r>
        <w:t>Formula sbagliata?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A59BD0" w15:done="0"/>
  <w15:commentEx w15:paraId="57799389" w15:done="0"/>
  <w15:commentEx w15:paraId="39CAD0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75700D" w16cex:dateUtc="2026-04-23T18:17:00Z"/>
  <w16cex:commentExtensible w16cex:durableId="09D3AE6E" w16cex:dateUtc="2026-04-23T10:35:00Z"/>
  <w16cex:commentExtensible w16cex:durableId="3787F456" w16cex:dateUtc="2026-04-23T1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A59BD0" w16cid:durableId="3F75700D"/>
  <w16cid:commentId w16cid:paraId="57799389" w16cid:durableId="09D3AE6E"/>
  <w16cid:commentId w16cid:paraId="39CAD05A" w16cid:durableId="3787F456"/>
</w16cid:commentsIds>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0624D" w14:textId="77777777" w:rsidR="00B55A56" w:rsidRPr="00D10DD3" w:rsidRDefault="00B55A56">
      <w:pPr>
        <w:spacing w:line="240" w:lineRule="auto"/>
      </w:pPr>
      <w:r w:rsidRPr="00D10DD3">
        <w:separator/>
      </w:r>
    </w:p>
  </w:endnote>
  <w:endnote w:type="continuationSeparator" w:id="0">
    <w:p w14:paraId="389783C7" w14:textId="77777777" w:rsidR="00B55A56" w:rsidRPr="00D10DD3" w:rsidRDefault="00B55A56">
      <w:pPr>
        <w:spacing w:line="240" w:lineRule="auto"/>
      </w:pPr>
      <w:r w:rsidRPr="00D10D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1F6A2" w14:textId="77777777" w:rsidR="005A49A5" w:rsidRPr="00D10DD3" w:rsidRDefault="005A49A5" w:rsidP="005A49A5">
    <w:pPr>
      <w:pStyle w:val="Pidipagina"/>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F835D" w14:textId="77777777" w:rsidR="00A06009" w:rsidRPr="00D10DD3" w:rsidRDefault="00A06009" w:rsidP="003C7674">
    <w:pPr>
      <w:pBdr>
        <w:top w:val="single" w:sz="4" w:space="0" w:color="000000"/>
      </w:pBdr>
      <w:tabs>
        <w:tab w:val="right" w:pos="8844"/>
      </w:tabs>
      <w:adjustRightInd w:val="0"/>
      <w:snapToGrid w:val="0"/>
      <w:spacing w:before="480" w:line="100" w:lineRule="exact"/>
      <w:jc w:val="left"/>
      <w:rPr>
        <w:i/>
        <w:sz w:val="16"/>
        <w:szCs w:val="16"/>
      </w:rPr>
    </w:pPr>
  </w:p>
  <w:p w14:paraId="7B2F6EDB" w14:textId="10C1C1AE" w:rsidR="005A49A5" w:rsidRPr="00D10DD3" w:rsidRDefault="005A49A5" w:rsidP="00F74FE8">
    <w:pPr>
      <w:tabs>
        <w:tab w:val="right" w:pos="10466"/>
      </w:tabs>
      <w:adjustRightInd w:val="0"/>
      <w:snapToGrid w:val="0"/>
      <w:spacing w:line="240" w:lineRule="auto"/>
      <w:rPr>
        <w:sz w:val="16"/>
        <w:szCs w:val="16"/>
      </w:rPr>
    </w:pPr>
    <w:r w:rsidRPr="00D10DD3">
      <w:rPr>
        <w:i/>
        <w:sz w:val="16"/>
        <w:szCs w:val="16"/>
      </w:rPr>
      <w:t xml:space="preserve">Electronics </w:t>
    </w:r>
    <w:r w:rsidR="009C0D30" w:rsidRPr="00D10DD3">
      <w:rPr>
        <w:b/>
        <w:bCs/>
        <w:iCs/>
        <w:sz w:val="16"/>
        <w:szCs w:val="16"/>
      </w:rPr>
      <w:t>202</w:t>
    </w:r>
    <w:r w:rsidR="0097712F">
      <w:rPr>
        <w:b/>
        <w:bCs/>
        <w:iCs/>
        <w:sz w:val="16"/>
        <w:szCs w:val="16"/>
      </w:rPr>
      <w:t>6</w:t>
    </w:r>
    <w:r w:rsidR="00DD3B93" w:rsidRPr="00D10DD3">
      <w:rPr>
        <w:bCs/>
        <w:iCs/>
        <w:sz w:val="16"/>
        <w:szCs w:val="16"/>
      </w:rPr>
      <w:t>,</w:t>
    </w:r>
    <w:r w:rsidR="009C0D30" w:rsidRPr="00D10DD3">
      <w:rPr>
        <w:bCs/>
        <w:i/>
        <w:iCs/>
        <w:sz w:val="16"/>
        <w:szCs w:val="16"/>
      </w:rPr>
      <w:t xml:space="preserve"> 14</w:t>
    </w:r>
    <w:r w:rsidR="00DD3B93" w:rsidRPr="00D10DD3">
      <w:rPr>
        <w:bCs/>
        <w:iCs/>
        <w:sz w:val="16"/>
        <w:szCs w:val="16"/>
      </w:rPr>
      <w:t xml:space="preserve">, </w:t>
    </w:r>
    <w:r w:rsidR="00C65E6B" w:rsidRPr="00D10DD3">
      <w:rPr>
        <w:bCs/>
        <w:iCs/>
        <w:sz w:val="16"/>
        <w:szCs w:val="16"/>
      </w:rPr>
      <w:t>x</w:t>
    </w:r>
    <w:r w:rsidR="00F74FE8" w:rsidRPr="00D10DD3">
      <w:rPr>
        <w:sz w:val="16"/>
        <w:szCs w:val="16"/>
      </w:rPr>
      <w:tab/>
    </w:r>
    <w:r w:rsidR="009C0D30" w:rsidRPr="00D10DD3">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AABF1" w14:textId="77777777" w:rsidR="00B55A56" w:rsidRPr="00D10DD3" w:rsidRDefault="00B55A56">
      <w:pPr>
        <w:spacing w:line="240" w:lineRule="auto"/>
      </w:pPr>
      <w:r w:rsidRPr="00D10DD3">
        <w:separator/>
      </w:r>
    </w:p>
  </w:footnote>
  <w:footnote w:type="continuationSeparator" w:id="0">
    <w:p w14:paraId="700A91F2" w14:textId="77777777" w:rsidR="00B55A56" w:rsidRPr="00D10DD3" w:rsidRDefault="00B55A56">
      <w:pPr>
        <w:spacing w:line="240" w:lineRule="auto"/>
      </w:pPr>
      <w:r w:rsidRPr="00D10DD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FAD6B" w14:textId="77777777" w:rsidR="005A49A5" w:rsidRPr="00D10DD3" w:rsidRDefault="005A49A5" w:rsidP="005A49A5">
    <w:pPr>
      <w:pStyle w:val="Intestazion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43058" w14:textId="3FE28949" w:rsidR="00A06009" w:rsidRPr="00D10DD3" w:rsidRDefault="005A49A5" w:rsidP="00F74FE8">
    <w:pPr>
      <w:tabs>
        <w:tab w:val="right" w:pos="10466"/>
      </w:tabs>
      <w:adjustRightInd w:val="0"/>
      <w:snapToGrid w:val="0"/>
      <w:spacing w:line="240" w:lineRule="auto"/>
      <w:rPr>
        <w:sz w:val="16"/>
      </w:rPr>
    </w:pPr>
    <w:r w:rsidRPr="00D10DD3">
      <w:rPr>
        <w:i/>
        <w:sz w:val="16"/>
      </w:rPr>
      <w:t xml:space="preserve">Electronics </w:t>
    </w:r>
    <w:r w:rsidR="009C0D30" w:rsidRPr="00D10DD3">
      <w:rPr>
        <w:b/>
        <w:sz w:val="16"/>
      </w:rPr>
      <w:t>202</w:t>
    </w:r>
    <w:r w:rsidR="0097712F">
      <w:rPr>
        <w:b/>
        <w:sz w:val="16"/>
      </w:rPr>
      <w:t>6</w:t>
    </w:r>
    <w:r w:rsidR="00DD3B93" w:rsidRPr="00D10DD3">
      <w:rPr>
        <w:sz w:val="16"/>
      </w:rPr>
      <w:t>,</w:t>
    </w:r>
    <w:r w:rsidR="009C0D30" w:rsidRPr="00D10DD3">
      <w:rPr>
        <w:i/>
        <w:sz w:val="16"/>
      </w:rPr>
      <w:t xml:space="preserve"> 14</w:t>
    </w:r>
    <w:r w:rsidR="00C65E6B" w:rsidRPr="00D10DD3">
      <w:rPr>
        <w:sz w:val="16"/>
      </w:rPr>
      <w:t xml:space="preserve">, x </w:t>
    </w:r>
    <w:r w:rsidR="009C0D30" w:rsidRPr="00D10DD3">
      <w:rPr>
        <w:sz w:val="16"/>
      </w:rPr>
      <w:t>FOR PEER REVIEW</w:t>
    </w:r>
    <w:r w:rsidR="009C0D30" w:rsidRPr="00D10DD3">
      <w:rPr>
        <w:sz w:val="16"/>
      </w:rPr>
      <w:ptab w:relativeTo="margin" w:alignment="right" w:leader="none"/>
    </w:r>
    <w:r w:rsidR="009C0D30" w:rsidRPr="00D10DD3">
      <w:rPr>
        <w:sz w:val="16"/>
      </w:rPr>
      <w:fldChar w:fldCharType="begin"/>
    </w:r>
    <w:r w:rsidR="009C0D30" w:rsidRPr="00D10DD3">
      <w:rPr>
        <w:sz w:val="16"/>
      </w:rPr>
      <w:instrText xml:space="preserve"> PAGE   \* MERGEFORMAT </w:instrText>
    </w:r>
    <w:r w:rsidR="009C0D30" w:rsidRPr="00D10DD3">
      <w:rPr>
        <w:sz w:val="16"/>
      </w:rPr>
      <w:fldChar w:fldCharType="separate"/>
    </w:r>
    <w:r w:rsidR="009C0D30" w:rsidRPr="00D10DD3">
      <w:rPr>
        <w:sz w:val="16"/>
      </w:rPr>
      <w:t>2</w:t>
    </w:r>
    <w:r w:rsidR="009C0D30" w:rsidRPr="00D10DD3">
      <w:rPr>
        <w:sz w:val="16"/>
      </w:rPr>
      <w:fldChar w:fldCharType="end"/>
    </w:r>
    <w:r w:rsidR="009C0D30" w:rsidRPr="00D10DD3">
      <w:rPr>
        <w:sz w:val="16"/>
      </w:rPr>
      <w:t xml:space="preserve"> of </w:t>
    </w:r>
    <w:r w:rsidR="009C0D30" w:rsidRPr="00D10DD3">
      <w:rPr>
        <w:sz w:val="16"/>
      </w:rPr>
      <w:fldChar w:fldCharType="begin"/>
    </w:r>
    <w:r w:rsidR="009C0D30" w:rsidRPr="00D10DD3">
      <w:rPr>
        <w:sz w:val="16"/>
      </w:rPr>
      <w:instrText xml:space="preserve"> NUMPAGES   \* MERGEFORMAT </w:instrText>
    </w:r>
    <w:r w:rsidR="009C0D30" w:rsidRPr="00D10DD3">
      <w:rPr>
        <w:sz w:val="16"/>
      </w:rPr>
      <w:fldChar w:fldCharType="separate"/>
    </w:r>
    <w:r w:rsidR="009C0D30" w:rsidRPr="00D10DD3">
      <w:rPr>
        <w:sz w:val="16"/>
      </w:rPr>
      <w:t>8</w:t>
    </w:r>
    <w:r w:rsidR="009C0D30" w:rsidRPr="00D10DD3">
      <w:rPr>
        <w:sz w:val="16"/>
      </w:rPr>
      <w:fldChar w:fldCharType="end"/>
    </w:r>
  </w:p>
  <w:p w14:paraId="2ABF70BE" w14:textId="77777777" w:rsidR="005A49A5" w:rsidRPr="00D10DD3" w:rsidRDefault="005A49A5" w:rsidP="003C7674">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A06009" w:rsidRPr="00D10DD3" w14:paraId="06563091" w14:textId="77777777" w:rsidTr="00724EBE">
      <w:trPr>
        <w:trHeight w:val="686"/>
      </w:trPr>
      <w:tc>
        <w:tcPr>
          <w:tcW w:w="3679" w:type="dxa"/>
          <w:vAlign w:val="center"/>
        </w:tcPr>
        <w:p w14:paraId="78033E0B" w14:textId="77777777" w:rsidR="00A06009" w:rsidRPr="00D10DD3" w:rsidRDefault="00AE2774" w:rsidP="00F74FE8">
          <w:pPr>
            <w:pStyle w:val="Intestazione"/>
            <w:pBdr>
              <w:bottom w:val="none" w:sz="0" w:space="0" w:color="auto"/>
            </w:pBdr>
            <w:jc w:val="left"/>
            <w:rPr>
              <w:rFonts w:eastAsia="DengXian"/>
              <w:b/>
              <w:bCs/>
            </w:rPr>
          </w:pPr>
          <w:r w:rsidRPr="00D10DD3">
            <w:rPr>
              <w:rFonts w:eastAsia="DengXian"/>
              <w:b/>
              <w:bCs/>
              <w:noProof/>
            </w:rPr>
            <w:drawing>
              <wp:inline distT="0" distB="0" distL="0" distR="0" wp14:anchorId="07DCAA0A" wp14:editId="6E3AE1F6">
                <wp:extent cx="1502873" cy="432000"/>
                <wp:effectExtent l="0" t="0" r="2540" b="6350"/>
                <wp:docPr id="196057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73704" name=""/>
                        <pic:cNvPicPr/>
                      </pic:nvPicPr>
                      <pic:blipFill>
                        <a:blip r:embed="rId1"/>
                        <a:stretch>
                          <a:fillRect/>
                        </a:stretch>
                      </pic:blipFill>
                      <pic:spPr>
                        <a:xfrm>
                          <a:off x="0" y="0"/>
                          <a:ext cx="1502873" cy="432000"/>
                        </a:xfrm>
                        <a:prstGeom prst="rect">
                          <a:avLst/>
                        </a:prstGeom>
                      </pic:spPr>
                    </pic:pic>
                  </a:graphicData>
                </a:graphic>
              </wp:inline>
            </w:drawing>
          </w:r>
        </w:p>
      </w:tc>
      <w:tc>
        <w:tcPr>
          <w:tcW w:w="4535" w:type="dxa"/>
          <w:vAlign w:val="center"/>
        </w:tcPr>
        <w:p w14:paraId="2F701DF7" w14:textId="77777777" w:rsidR="00A06009" w:rsidRPr="00D10DD3" w:rsidRDefault="00A06009" w:rsidP="00F74FE8">
          <w:pPr>
            <w:pStyle w:val="Intestazione"/>
            <w:pBdr>
              <w:bottom w:val="none" w:sz="0" w:space="0" w:color="auto"/>
            </w:pBdr>
            <w:rPr>
              <w:rFonts w:eastAsia="DengXian"/>
              <w:b/>
              <w:bCs/>
            </w:rPr>
          </w:pPr>
        </w:p>
      </w:tc>
      <w:tc>
        <w:tcPr>
          <w:tcW w:w="2273" w:type="dxa"/>
          <w:vAlign w:val="center"/>
        </w:tcPr>
        <w:p w14:paraId="7B3A4AD8" w14:textId="77777777" w:rsidR="00A06009" w:rsidRPr="00D10DD3" w:rsidRDefault="00724EBE" w:rsidP="00724EBE">
          <w:pPr>
            <w:pStyle w:val="Intestazione"/>
            <w:pBdr>
              <w:bottom w:val="none" w:sz="0" w:space="0" w:color="auto"/>
            </w:pBdr>
            <w:jc w:val="right"/>
            <w:rPr>
              <w:rFonts w:eastAsia="DengXian"/>
              <w:b/>
              <w:bCs/>
            </w:rPr>
          </w:pPr>
          <w:r w:rsidRPr="00D10DD3">
            <w:rPr>
              <w:rFonts w:eastAsia="DengXian"/>
              <w:b/>
              <w:bCs/>
              <w:noProof/>
            </w:rPr>
            <w:drawing>
              <wp:inline distT="0" distB="0" distL="0" distR="0" wp14:anchorId="2AB17837" wp14:editId="136A5AC0">
                <wp:extent cx="540000" cy="360000"/>
                <wp:effectExtent l="0" t="0" r="0" b="2540"/>
                <wp:docPr id="498214884" name="Picture 1"/>
                <wp:cNvGraphicFramePr/>
                <a:graphic xmlns:a="http://schemas.openxmlformats.org/drawingml/2006/main">
                  <a:graphicData uri="http://schemas.openxmlformats.org/drawingml/2006/picture">
                    <pic:pic xmlns:pic="http://schemas.openxmlformats.org/drawingml/2006/picture">
                      <pic:nvPicPr>
                        <pic:cNvPr id="498214884" name=""/>
                        <pic:cNvPicPr/>
                      </pic:nvPicPr>
                      <pic:blipFill>
                        <a:blip r:embed="rId2"/>
                        <a:stretch>
                          <a:fillRect/>
                        </a:stretch>
                      </pic:blipFill>
                      <pic:spPr>
                        <a:xfrm>
                          <a:off x="0" y="0"/>
                          <a:ext cx="540000" cy="360000"/>
                        </a:xfrm>
                        <a:prstGeom prst="rect">
                          <a:avLst/>
                        </a:prstGeom>
                      </pic:spPr>
                    </pic:pic>
                  </a:graphicData>
                </a:graphic>
              </wp:inline>
            </w:drawing>
          </w:r>
        </w:p>
      </w:tc>
    </w:tr>
  </w:tbl>
  <w:p w14:paraId="3391D3F6" w14:textId="77777777" w:rsidR="005A49A5" w:rsidRPr="00D10DD3" w:rsidRDefault="005A49A5" w:rsidP="009C0D30">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B045B"/>
    <w:multiLevelType w:val="hybridMultilevel"/>
    <w:tmpl w:val="5F049524"/>
    <w:lvl w:ilvl="0" w:tplc="4EA8DC62">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E25CA1B6"/>
    <w:lvl w:ilvl="0" w:tplc="0FFE0458">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1A4C1634"/>
    <w:lvl w:ilvl="0" w:tplc="10EA2F8A">
      <w:start w:val="1"/>
      <w:numFmt w:val="decimal"/>
      <w:lvlRestart w:val="0"/>
      <w:pStyle w:val="MDPI71footnotes"/>
      <w:lvlText w:val="%1."/>
      <w:lvlJc w:val="left"/>
      <w:pPr>
        <w:ind w:left="425" w:hanging="425"/>
      </w:pPr>
      <w:rPr>
        <w:rFonts w:hint="default"/>
        <w:vertAlign w:val="superscrip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3F7E7624"/>
    <w:multiLevelType w:val="hybridMultilevel"/>
    <w:tmpl w:val="60DE855E"/>
    <w:lvl w:ilvl="0" w:tplc="1B28130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56CF7C60"/>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8527169">
    <w:abstractNumId w:val="4"/>
  </w:num>
  <w:num w:numId="2" w16cid:durableId="1304964277">
    <w:abstractNumId w:val="6"/>
  </w:num>
  <w:num w:numId="3" w16cid:durableId="894045569">
    <w:abstractNumId w:val="3"/>
  </w:num>
  <w:num w:numId="4" w16cid:durableId="1647934302">
    <w:abstractNumId w:val="5"/>
  </w:num>
  <w:num w:numId="5" w16cid:durableId="1977635431">
    <w:abstractNumId w:val="9"/>
  </w:num>
  <w:num w:numId="6" w16cid:durableId="1188443480">
    <w:abstractNumId w:val="2"/>
  </w:num>
  <w:num w:numId="7" w16cid:durableId="199899074">
    <w:abstractNumId w:val="9"/>
  </w:num>
  <w:num w:numId="8" w16cid:durableId="1268350777">
    <w:abstractNumId w:val="2"/>
  </w:num>
  <w:num w:numId="9" w16cid:durableId="1409812030">
    <w:abstractNumId w:val="9"/>
  </w:num>
  <w:num w:numId="10" w16cid:durableId="363558061">
    <w:abstractNumId w:val="2"/>
  </w:num>
  <w:num w:numId="11" w16cid:durableId="3101423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3309852">
    <w:abstractNumId w:val="10"/>
  </w:num>
  <w:num w:numId="13" w16cid:durableId="1518807061">
    <w:abstractNumId w:val="11"/>
  </w:num>
  <w:num w:numId="14" w16cid:durableId="2133550666">
    <w:abstractNumId w:val="9"/>
  </w:num>
  <w:num w:numId="15" w16cid:durableId="659431444">
    <w:abstractNumId w:val="2"/>
  </w:num>
  <w:num w:numId="16" w16cid:durableId="201212443">
    <w:abstractNumId w:val="1"/>
  </w:num>
  <w:num w:numId="17" w16cid:durableId="205408741">
    <w:abstractNumId w:val="8"/>
  </w:num>
  <w:num w:numId="18" w16cid:durableId="478231224">
    <w:abstractNumId w:val="0"/>
  </w:num>
  <w:num w:numId="19" w16cid:durableId="1811438592">
    <w:abstractNumId w:val="9"/>
  </w:num>
  <w:num w:numId="20" w16cid:durableId="1160657370">
    <w:abstractNumId w:val="2"/>
  </w:num>
  <w:num w:numId="21" w16cid:durableId="505637847">
    <w:abstractNumId w:val="1"/>
  </w:num>
  <w:num w:numId="22" w16cid:durableId="2095782718">
    <w:abstractNumId w:val="7"/>
  </w:num>
  <w:num w:numId="23" w16cid:durableId="5766763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BRIELE di PALMA">
    <w15:presenceInfo w15:providerId="AD" w15:userId="S::g.dipalma29@studenti.unisa.it::1151d6a7-3ab3-48b1-b4f5-c8c34e26082e"/>
  </w15:person>
  <w15:person w15:author="EMMANUEL DE LUCA">
    <w15:presenceInfo w15:providerId="AD" w15:userId="S::e.deluca20@studenti.unisa.it::f75132f3-3b9e-4b7c-b2f5-9e60638ef5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283"/>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C09"/>
    <w:rsid w:val="00005452"/>
    <w:rsid w:val="00013E9E"/>
    <w:rsid w:val="00015EAC"/>
    <w:rsid w:val="000315D6"/>
    <w:rsid w:val="000341D6"/>
    <w:rsid w:val="00043EE7"/>
    <w:rsid w:val="000451DF"/>
    <w:rsid w:val="00057A40"/>
    <w:rsid w:val="000606D4"/>
    <w:rsid w:val="00062644"/>
    <w:rsid w:val="00073F38"/>
    <w:rsid w:val="000921E8"/>
    <w:rsid w:val="000A23F8"/>
    <w:rsid w:val="000A6A51"/>
    <w:rsid w:val="000B6FB7"/>
    <w:rsid w:val="000E0787"/>
    <w:rsid w:val="000F2ABA"/>
    <w:rsid w:val="001251A6"/>
    <w:rsid w:val="00130D6E"/>
    <w:rsid w:val="00137179"/>
    <w:rsid w:val="0014708D"/>
    <w:rsid w:val="001619F7"/>
    <w:rsid w:val="00167630"/>
    <w:rsid w:val="00171043"/>
    <w:rsid w:val="00177BBB"/>
    <w:rsid w:val="00183E79"/>
    <w:rsid w:val="001C1236"/>
    <w:rsid w:val="001C6B82"/>
    <w:rsid w:val="001E2AEB"/>
    <w:rsid w:val="001E55CA"/>
    <w:rsid w:val="001E6B90"/>
    <w:rsid w:val="001F295D"/>
    <w:rsid w:val="001F4617"/>
    <w:rsid w:val="0020604E"/>
    <w:rsid w:val="00255DC3"/>
    <w:rsid w:val="00257C6F"/>
    <w:rsid w:val="0028143A"/>
    <w:rsid w:val="0028429A"/>
    <w:rsid w:val="00287B5B"/>
    <w:rsid w:val="0029463C"/>
    <w:rsid w:val="00295161"/>
    <w:rsid w:val="002A4850"/>
    <w:rsid w:val="002A5559"/>
    <w:rsid w:val="002B1614"/>
    <w:rsid w:val="002B5AC7"/>
    <w:rsid w:val="002B6405"/>
    <w:rsid w:val="002C79BF"/>
    <w:rsid w:val="002F6319"/>
    <w:rsid w:val="002F7353"/>
    <w:rsid w:val="00314E62"/>
    <w:rsid w:val="00322BE8"/>
    <w:rsid w:val="00326141"/>
    <w:rsid w:val="00331BF6"/>
    <w:rsid w:val="00342D84"/>
    <w:rsid w:val="003504D8"/>
    <w:rsid w:val="00353FFD"/>
    <w:rsid w:val="0035560F"/>
    <w:rsid w:val="00375335"/>
    <w:rsid w:val="003935B3"/>
    <w:rsid w:val="003A4C09"/>
    <w:rsid w:val="003C7674"/>
    <w:rsid w:val="003D6095"/>
    <w:rsid w:val="003E0515"/>
    <w:rsid w:val="00401D30"/>
    <w:rsid w:val="00405E76"/>
    <w:rsid w:val="00412BAE"/>
    <w:rsid w:val="00416137"/>
    <w:rsid w:val="004217B5"/>
    <w:rsid w:val="00421BCA"/>
    <w:rsid w:val="00436770"/>
    <w:rsid w:val="004449E9"/>
    <w:rsid w:val="00447C71"/>
    <w:rsid w:val="00472C53"/>
    <w:rsid w:val="00477FB2"/>
    <w:rsid w:val="004863A2"/>
    <w:rsid w:val="00492A6F"/>
    <w:rsid w:val="004A3074"/>
    <w:rsid w:val="004C1E72"/>
    <w:rsid w:val="004C7D14"/>
    <w:rsid w:val="004D5279"/>
    <w:rsid w:val="004E165B"/>
    <w:rsid w:val="00502A5D"/>
    <w:rsid w:val="00526F65"/>
    <w:rsid w:val="00534ACB"/>
    <w:rsid w:val="00545B32"/>
    <w:rsid w:val="0054654C"/>
    <w:rsid w:val="0055369D"/>
    <w:rsid w:val="00560EA0"/>
    <w:rsid w:val="00565269"/>
    <w:rsid w:val="00576B2E"/>
    <w:rsid w:val="005A49A5"/>
    <w:rsid w:val="005B346F"/>
    <w:rsid w:val="005B4CDA"/>
    <w:rsid w:val="005B7F39"/>
    <w:rsid w:val="005E2A08"/>
    <w:rsid w:val="00600248"/>
    <w:rsid w:val="00601DF2"/>
    <w:rsid w:val="00604FD4"/>
    <w:rsid w:val="00610B82"/>
    <w:rsid w:val="0062579E"/>
    <w:rsid w:val="006259B1"/>
    <w:rsid w:val="006272A4"/>
    <w:rsid w:val="00641261"/>
    <w:rsid w:val="00654414"/>
    <w:rsid w:val="0065742C"/>
    <w:rsid w:val="006734AF"/>
    <w:rsid w:val="00677A03"/>
    <w:rsid w:val="00682B31"/>
    <w:rsid w:val="00683584"/>
    <w:rsid w:val="00692393"/>
    <w:rsid w:val="006967D1"/>
    <w:rsid w:val="006B0924"/>
    <w:rsid w:val="006C6938"/>
    <w:rsid w:val="006D09BB"/>
    <w:rsid w:val="006D29BB"/>
    <w:rsid w:val="006D3633"/>
    <w:rsid w:val="006D4267"/>
    <w:rsid w:val="006E6E26"/>
    <w:rsid w:val="00721E71"/>
    <w:rsid w:val="00724EBE"/>
    <w:rsid w:val="00736648"/>
    <w:rsid w:val="0074176F"/>
    <w:rsid w:val="007439C0"/>
    <w:rsid w:val="0076471A"/>
    <w:rsid w:val="007744F9"/>
    <w:rsid w:val="0078191E"/>
    <w:rsid w:val="007944FD"/>
    <w:rsid w:val="007A2A63"/>
    <w:rsid w:val="007C2802"/>
    <w:rsid w:val="007E4286"/>
    <w:rsid w:val="007F04AF"/>
    <w:rsid w:val="007F7A48"/>
    <w:rsid w:val="00802B21"/>
    <w:rsid w:val="00820843"/>
    <w:rsid w:val="0083650A"/>
    <w:rsid w:val="0084286C"/>
    <w:rsid w:val="00853625"/>
    <w:rsid w:val="008617EC"/>
    <w:rsid w:val="00865AC6"/>
    <w:rsid w:val="0086607F"/>
    <w:rsid w:val="00870AFC"/>
    <w:rsid w:val="00874FCC"/>
    <w:rsid w:val="00896776"/>
    <w:rsid w:val="008A3DA5"/>
    <w:rsid w:val="008A51CD"/>
    <w:rsid w:val="008B271E"/>
    <w:rsid w:val="008C0E8D"/>
    <w:rsid w:val="008C7574"/>
    <w:rsid w:val="00901B13"/>
    <w:rsid w:val="00905263"/>
    <w:rsid w:val="009143B8"/>
    <w:rsid w:val="009200BD"/>
    <w:rsid w:val="00931F04"/>
    <w:rsid w:val="00937E9F"/>
    <w:rsid w:val="0094614B"/>
    <w:rsid w:val="009574BF"/>
    <w:rsid w:val="009621D6"/>
    <w:rsid w:val="009661AE"/>
    <w:rsid w:val="00967875"/>
    <w:rsid w:val="0097712F"/>
    <w:rsid w:val="009C0D30"/>
    <w:rsid w:val="009D291E"/>
    <w:rsid w:val="009D38B7"/>
    <w:rsid w:val="009E5697"/>
    <w:rsid w:val="009F090C"/>
    <w:rsid w:val="009F5DC2"/>
    <w:rsid w:val="009F70E6"/>
    <w:rsid w:val="009F751D"/>
    <w:rsid w:val="00A06009"/>
    <w:rsid w:val="00A114CA"/>
    <w:rsid w:val="00A26224"/>
    <w:rsid w:val="00A3651E"/>
    <w:rsid w:val="00A46226"/>
    <w:rsid w:val="00A54CF0"/>
    <w:rsid w:val="00A5532B"/>
    <w:rsid w:val="00A609E2"/>
    <w:rsid w:val="00A745B9"/>
    <w:rsid w:val="00A93B91"/>
    <w:rsid w:val="00AA6002"/>
    <w:rsid w:val="00AB2CC2"/>
    <w:rsid w:val="00AB4060"/>
    <w:rsid w:val="00AE2774"/>
    <w:rsid w:val="00AE61B9"/>
    <w:rsid w:val="00B02202"/>
    <w:rsid w:val="00B12056"/>
    <w:rsid w:val="00B151D6"/>
    <w:rsid w:val="00B17053"/>
    <w:rsid w:val="00B26257"/>
    <w:rsid w:val="00B268FA"/>
    <w:rsid w:val="00B34725"/>
    <w:rsid w:val="00B448BA"/>
    <w:rsid w:val="00B45080"/>
    <w:rsid w:val="00B45CDF"/>
    <w:rsid w:val="00B51A50"/>
    <w:rsid w:val="00B51D3A"/>
    <w:rsid w:val="00B52B6B"/>
    <w:rsid w:val="00B55A56"/>
    <w:rsid w:val="00B6357A"/>
    <w:rsid w:val="00B86B0C"/>
    <w:rsid w:val="00B97BE0"/>
    <w:rsid w:val="00BA3172"/>
    <w:rsid w:val="00BA6966"/>
    <w:rsid w:val="00BB0967"/>
    <w:rsid w:val="00BC1763"/>
    <w:rsid w:val="00BC5688"/>
    <w:rsid w:val="00BD1C67"/>
    <w:rsid w:val="00BF03FB"/>
    <w:rsid w:val="00C04AD4"/>
    <w:rsid w:val="00C13472"/>
    <w:rsid w:val="00C14AC6"/>
    <w:rsid w:val="00C20562"/>
    <w:rsid w:val="00C30794"/>
    <w:rsid w:val="00C44917"/>
    <w:rsid w:val="00C52C3A"/>
    <w:rsid w:val="00C53AA8"/>
    <w:rsid w:val="00C56C2B"/>
    <w:rsid w:val="00C6500D"/>
    <w:rsid w:val="00C65E6B"/>
    <w:rsid w:val="00C72CBB"/>
    <w:rsid w:val="00C83CA4"/>
    <w:rsid w:val="00C92675"/>
    <w:rsid w:val="00CA5D81"/>
    <w:rsid w:val="00CB04A0"/>
    <w:rsid w:val="00CE2121"/>
    <w:rsid w:val="00CE769D"/>
    <w:rsid w:val="00CF4787"/>
    <w:rsid w:val="00CF4796"/>
    <w:rsid w:val="00D07EB0"/>
    <w:rsid w:val="00D10DD3"/>
    <w:rsid w:val="00D1254C"/>
    <w:rsid w:val="00D15DA7"/>
    <w:rsid w:val="00D27B93"/>
    <w:rsid w:val="00D31F21"/>
    <w:rsid w:val="00D5217C"/>
    <w:rsid w:val="00D74042"/>
    <w:rsid w:val="00DC698F"/>
    <w:rsid w:val="00DD3B93"/>
    <w:rsid w:val="00DD673D"/>
    <w:rsid w:val="00DF1EBA"/>
    <w:rsid w:val="00DF214A"/>
    <w:rsid w:val="00E06B74"/>
    <w:rsid w:val="00E36D83"/>
    <w:rsid w:val="00E40786"/>
    <w:rsid w:val="00E429AD"/>
    <w:rsid w:val="00E540B1"/>
    <w:rsid w:val="00E74773"/>
    <w:rsid w:val="00EA6E1B"/>
    <w:rsid w:val="00EB17A0"/>
    <w:rsid w:val="00EB31F6"/>
    <w:rsid w:val="00EC5ECD"/>
    <w:rsid w:val="00EF2806"/>
    <w:rsid w:val="00EF4908"/>
    <w:rsid w:val="00F0100C"/>
    <w:rsid w:val="00F244B5"/>
    <w:rsid w:val="00F259BE"/>
    <w:rsid w:val="00F33DCD"/>
    <w:rsid w:val="00F34FEE"/>
    <w:rsid w:val="00F3525F"/>
    <w:rsid w:val="00F40804"/>
    <w:rsid w:val="00F425B0"/>
    <w:rsid w:val="00F47F2A"/>
    <w:rsid w:val="00F514C0"/>
    <w:rsid w:val="00F5171F"/>
    <w:rsid w:val="00F564DD"/>
    <w:rsid w:val="00F62328"/>
    <w:rsid w:val="00F74FE8"/>
    <w:rsid w:val="00F754D1"/>
    <w:rsid w:val="00F82E2B"/>
    <w:rsid w:val="00F87FB1"/>
    <w:rsid w:val="00F90748"/>
    <w:rsid w:val="00FA5188"/>
    <w:rsid w:val="00FB12B8"/>
    <w:rsid w:val="00FB1BC0"/>
    <w:rsid w:val="00FB559B"/>
    <w:rsid w:val="00FE3E55"/>
    <w:rsid w:val="00FE45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D52388"/>
  <w15:chartTrackingRefBased/>
  <w15:docId w15:val="{BC70949B-936C-43A1-BA96-F894A6D7A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30D6E"/>
    <w:pPr>
      <w:spacing w:line="280" w:lineRule="atLeast"/>
      <w:jc w:val="both"/>
    </w:pPr>
    <w:rPr>
      <w:rFonts w:ascii="Palatino Linotype" w:hAnsi="Palatino Linotype"/>
      <w:color w:val="00000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MDPI11articletype">
    <w:name w:val="MDPI_1.1_article_type"/>
    <w:next w:val="Normale"/>
    <w:qFormat/>
    <w:rsid w:val="00130D6E"/>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e"/>
    <w:qFormat/>
    <w:rsid w:val="00130D6E"/>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e"/>
    <w:qFormat/>
    <w:rsid w:val="00130D6E"/>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e"/>
    <w:next w:val="Normale"/>
    <w:qFormat/>
    <w:rsid w:val="00130D6E"/>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130D6E"/>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e"/>
    <w:qFormat/>
    <w:rsid w:val="00130D6E"/>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e"/>
    <w:qFormat/>
    <w:rsid w:val="00130D6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130D6E"/>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ellanormale"/>
    <w:uiPriority w:val="99"/>
    <w:rsid w:val="003A4C09"/>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Grigliatabella">
    <w:name w:val="Table Grid"/>
    <w:basedOn w:val="Tabellanormale"/>
    <w:uiPriority w:val="59"/>
    <w:rsid w:val="00130D6E"/>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dipagina">
    <w:name w:val="footer"/>
    <w:basedOn w:val="Normale"/>
    <w:link w:val="PidipaginaCarattere"/>
    <w:uiPriority w:val="99"/>
    <w:rsid w:val="00130D6E"/>
    <w:pPr>
      <w:tabs>
        <w:tab w:val="center" w:pos="4153"/>
        <w:tab w:val="right" w:pos="8306"/>
      </w:tabs>
      <w:snapToGrid w:val="0"/>
      <w:spacing w:line="240" w:lineRule="atLeast"/>
    </w:pPr>
    <w:rPr>
      <w:szCs w:val="18"/>
    </w:rPr>
  </w:style>
  <w:style w:type="character" w:customStyle="1" w:styleId="PidipaginaCarattere">
    <w:name w:val="Piè di pagina Carattere"/>
    <w:link w:val="Pidipagina"/>
    <w:uiPriority w:val="99"/>
    <w:rsid w:val="00130D6E"/>
    <w:rPr>
      <w:rFonts w:ascii="Palatino Linotype" w:hAnsi="Palatino Linotype"/>
      <w:noProof/>
      <w:color w:val="000000"/>
      <w:szCs w:val="18"/>
    </w:rPr>
  </w:style>
  <w:style w:type="paragraph" w:styleId="Intestazione">
    <w:name w:val="header"/>
    <w:basedOn w:val="Normale"/>
    <w:link w:val="IntestazioneCarattere"/>
    <w:uiPriority w:val="99"/>
    <w:rsid w:val="00130D6E"/>
    <w:pPr>
      <w:pBdr>
        <w:bottom w:val="single" w:sz="6" w:space="1" w:color="auto"/>
      </w:pBdr>
      <w:tabs>
        <w:tab w:val="center" w:pos="4153"/>
        <w:tab w:val="right" w:pos="8306"/>
      </w:tabs>
      <w:snapToGrid w:val="0"/>
      <w:spacing w:line="240" w:lineRule="atLeast"/>
      <w:jc w:val="center"/>
    </w:pPr>
    <w:rPr>
      <w:szCs w:val="18"/>
    </w:rPr>
  </w:style>
  <w:style w:type="character" w:customStyle="1" w:styleId="IntestazioneCarattere">
    <w:name w:val="Intestazione Carattere"/>
    <w:link w:val="Intestazione"/>
    <w:uiPriority w:val="99"/>
    <w:rsid w:val="00130D6E"/>
    <w:rPr>
      <w:rFonts w:ascii="Palatino Linotype" w:hAnsi="Palatino Linotype"/>
      <w:noProof/>
      <w:color w:val="000000"/>
      <w:szCs w:val="18"/>
    </w:rPr>
  </w:style>
  <w:style w:type="paragraph" w:customStyle="1" w:styleId="MDPI32textnoindent">
    <w:name w:val="MDPI_3.2_text_no_indent"/>
    <w:basedOn w:val="MDPI31text"/>
    <w:qFormat/>
    <w:rsid w:val="00130D6E"/>
    <w:pPr>
      <w:ind w:firstLine="0"/>
    </w:pPr>
  </w:style>
  <w:style w:type="paragraph" w:customStyle="1" w:styleId="MDPI31text">
    <w:name w:val="MDPI_3.1_text"/>
    <w:qFormat/>
    <w:rsid w:val="00F754D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130D6E"/>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130D6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130D6E"/>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005452"/>
    <w:pPr>
      <w:numPr>
        <w:numId w:val="21"/>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005452"/>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130D6E"/>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130D6E"/>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130D6E"/>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7A2A63"/>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130D6E"/>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130D6E"/>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130D6E"/>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130D6E"/>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130D6E"/>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130D6E"/>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375335"/>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Testofumetto">
    <w:name w:val="Balloon Text"/>
    <w:basedOn w:val="Normale"/>
    <w:link w:val="TestofumettoCarattere"/>
    <w:uiPriority w:val="99"/>
    <w:rsid w:val="00130D6E"/>
    <w:rPr>
      <w:rFonts w:cs="Tahoma"/>
      <w:szCs w:val="18"/>
    </w:rPr>
  </w:style>
  <w:style w:type="character" w:customStyle="1" w:styleId="TestofumettoCarattere">
    <w:name w:val="Testo fumetto Carattere"/>
    <w:link w:val="Testofumetto"/>
    <w:uiPriority w:val="99"/>
    <w:rsid w:val="00130D6E"/>
    <w:rPr>
      <w:rFonts w:ascii="Palatino Linotype" w:hAnsi="Palatino Linotype" w:cs="Tahoma"/>
      <w:noProof/>
      <w:color w:val="000000"/>
      <w:szCs w:val="18"/>
    </w:rPr>
  </w:style>
  <w:style w:type="character" w:styleId="Numeroriga">
    <w:name w:val="line number"/>
    <w:uiPriority w:val="99"/>
    <w:rsid w:val="00683584"/>
    <w:rPr>
      <w:rFonts w:ascii="Palatino Linotype" w:hAnsi="Palatino Linotype"/>
      <w:sz w:val="16"/>
    </w:rPr>
  </w:style>
  <w:style w:type="table" w:customStyle="1" w:styleId="MDPI41threelinetable">
    <w:name w:val="MDPI_4.1_three_line_table"/>
    <w:basedOn w:val="Tabellanormale"/>
    <w:uiPriority w:val="99"/>
    <w:rsid w:val="00130D6E"/>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Collegamentoipertestuale">
    <w:name w:val="Hyperlink"/>
    <w:uiPriority w:val="99"/>
    <w:rsid w:val="00130D6E"/>
    <w:rPr>
      <w:color w:val="0000FF"/>
      <w:u w:val="single"/>
    </w:rPr>
  </w:style>
  <w:style w:type="character" w:styleId="Menzionenonrisolta">
    <w:name w:val="Unresolved Mention"/>
    <w:uiPriority w:val="99"/>
    <w:semiHidden/>
    <w:unhideWhenUsed/>
    <w:rsid w:val="00F47F2A"/>
    <w:rPr>
      <w:color w:val="605E5C"/>
      <w:shd w:val="clear" w:color="auto" w:fill="E1DFDD"/>
    </w:rPr>
  </w:style>
  <w:style w:type="table" w:styleId="Tabellasemplice4">
    <w:name w:val="Plain Table 4"/>
    <w:basedOn w:val="Tabellanormale"/>
    <w:uiPriority w:val="44"/>
    <w:rsid w:val="00DD3B9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130D6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130D6E"/>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130D6E"/>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130D6E"/>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130D6E"/>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130D6E"/>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B6357A"/>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130D6E"/>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130D6E"/>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6272A4"/>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ellanormale"/>
    <w:uiPriority w:val="99"/>
    <w:rsid w:val="00130D6E"/>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130D6E"/>
  </w:style>
  <w:style w:type="paragraph" w:styleId="Bibliografia">
    <w:name w:val="Bibliography"/>
    <w:basedOn w:val="Normale"/>
    <w:next w:val="Normale"/>
    <w:uiPriority w:val="37"/>
    <w:semiHidden/>
    <w:unhideWhenUsed/>
    <w:rsid w:val="00130D6E"/>
  </w:style>
  <w:style w:type="paragraph" w:styleId="Corpotesto">
    <w:name w:val="Body Text"/>
    <w:link w:val="CorpotestoCarattere"/>
    <w:rsid w:val="00130D6E"/>
    <w:pPr>
      <w:spacing w:after="120" w:line="340" w:lineRule="atLeast"/>
      <w:jc w:val="both"/>
    </w:pPr>
    <w:rPr>
      <w:rFonts w:ascii="Palatino Linotype" w:hAnsi="Palatino Linotype"/>
      <w:color w:val="000000"/>
      <w:sz w:val="24"/>
      <w:lang w:eastAsia="de-DE"/>
    </w:rPr>
  </w:style>
  <w:style w:type="character" w:customStyle="1" w:styleId="CorpotestoCarattere">
    <w:name w:val="Corpo testo Carattere"/>
    <w:link w:val="Corpotesto"/>
    <w:rsid w:val="00130D6E"/>
    <w:rPr>
      <w:rFonts w:ascii="Palatino Linotype" w:hAnsi="Palatino Linotype"/>
      <w:color w:val="000000"/>
      <w:sz w:val="24"/>
      <w:lang w:eastAsia="de-DE"/>
    </w:rPr>
  </w:style>
  <w:style w:type="character" w:styleId="Rimandocommento">
    <w:name w:val="annotation reference"/>
    <w:rsid w:val="00130D6E"/>
    <w:rPr>
      <w:sz w:val="21"/>
      <w:szCs w:val="21"/>
    </w:rPr>
  </w:style>
  <w:style w:type="paragraph" w:styleId="Testocommento">
    <w:name w:val="annotation text"/>
    <w:basedOn w:val="Normale"/>
    <w:link w:val="TestocommentoCarattere"/>
    <w:rsid w:val="00130D6E"/>
  </w:style>
  <w:style w:type="character" w:customStyle="1" w:styleId="TestocommentoCarattere">
    <w:name w:val="Testo commento Carattere"/>
    <w:link w:val="Testocommento"/>
    <w:rsid w:val="00130D6E"/>
    <w:rPr>
      <w:rFonts w:ascii="Palatino Linotype" w:hAnsi="Palatino Linotype"/>
      <w:noProof/>
      <w:color w:val="000000"/>
    </w:rPr>
  </w:style>
  <w:style w:type="paragraph" w:styleId="Soggettocommento">
    <w:name w:val="annotation subject"/>
    <w:basedOn w:val="Testocommento"/>
    <w:next w:val="Testocommento"/>
    <w:link w:val="SoggettocommentoCarattere"/>
    <w:rsid w:val="00130D6E"/>
    <w:rPr>
      <w:b/>
      <w:bCs/>
    </w:rPr>
  </w:style>
  <w:style w:type="character" w:customStyle="1" w:styleId="SoggettocommentoCarattere">
    <w:name w:val="Soggetto commento Carattere"/>
    <w:link w:val="Soggettocommento"/>
    <w:rsid w:val="00130D6E"/>
    <w:rPr>
      <w:rFonts w:ascii="Palatino Linotype" w:hAnsi="Palatino Linotype"/>
      <w:b/>
      <w:bCs/>
      <w:noProof/>
      <w:color w:val="000000"/>
    </w:rPr>
  </w:style>
  <w:style w:type="character" w:styleId="Rimandonotadichiusura">
    <w:name w:val="endnote reference"/>
    <w:rsid w:val="00130D6E"/>
    <w:rPr>
      <w:vertAlign w:val="superscript"/>
    </w:rPr>
  </w:style>
  <w:style w:type="paragraph" w:styleId="Testonotadichiusura">
    <w:name w:val="endnote text"/>
    <w:basedOn w:val="Normale"/>
    <w:link w:val="TestonotadichiusuraCarattere"/>
    <w:semiHidden/>
    <w:unhideWhenUsed/>
    <w:rsid w:val="00130D6E"/>
    <w:pPr>
      <w:spacing w:line="240" w:lineRule="auto"/>
    </w:pPr>
  </w:style>
  <w:style w:type="character" w:customStyle="1" w:styleId="TestonotadichiusuraCarattere">
    <w:name w:val="Testo nota di chiusura Carattere"/>
    <w:link w:val="Testonotadichiusura"/>
    <w:semiHidden/>
    <w:rsid w:val="00130D6E"/>
    <w:rPr>
      <w:rFonts w:ascii="Palatino Linotype" w:hAnsi="Palatino Linotype"/>
      <w:noProof/>
      <w:color w:val="000000"/>
    </w:rPr>
  </w:style>
  <w:style w:type="character" w:styleId="Collegamentovisitato">
    <w:name w:val="FollowedHyperlink"/>
    <w:rsid w:val="00130D6E"/>
    <w:rPr>
      <w:color w:val="954F72"/>
      <w:u w:val="single"/>
    </w:rPr>
  </w:style>
  <w:style w:type="paragraph" w:styleId="Testonotaapidipagina">
    <w:name w:val="footnote text"/>
    <w:basedOn w:val="Normale"/>
    <w:link w:val="TestonotaapidipaginaCarattere"/>
    <w:semiHidden/>
    <w:unhideWhenUsed/>
    <w:rsid w:val="00130D6E"/>
    <w:pPr>
      <w:spacing w:line="240" w:lineRule="auto"/>
    </w:pPr>
  </w:style>
  <w:style w:type="character" w:customStyle="1" w:styleId="TestonotaapidipaginaCarattere">
    <w:name w:val="Testo nota a piè di pagina Carattere"/>
    <w:link w:val="Testonotaapidipagina"/>
    <w:semiHidden/>
    <w:rsid w:val="00130D6E"/>
    <w:rPr>
      <w:rFonts w:ascii="Palatino Linotype" w:hAnsi="Palatino Linotype"/>
      <w:noProof/>
      <w:color w:val="000000"/>
    </w:rPr>
  </w:style>
  <w:style w:type="paragraph" w:styleId="NormaleWeb">
    <w:name w:val="Normal (Web)"/>
    <w:basedOn w:val="Normale"/>
    <w:uiPriority w:val="99"/>
    <w:rsid w:val="00130D6E"/>
    <w:rPr>
      <w:szCs w:val="24"/>
    </w:rPr>
  </w:style>
  <w:style w:type="paragraph" w:customStyle="1" w:styleId="MsoFootnoteText0">
    <w:name w:val="MsoFootnoteText"/>
    <w:basedOn w:val="NormaleWeb"/>
    <w:qFormat/>
    <w:rsid w:val="00130D6E"/>
    <w:rPr>
      <w:rFonts w:ascii="Times New Roman" w:hAnsi="Times New Roman"/>
    </w:rPr>
  </w:style>
  <w:style w:type="character" w:styleId="Numeropagina">
    <w:name w:val="page number"/>
    <w:rsid w:val="00130D6E"/>
  </w:style>
  <w:style w:type="character" w:styleId="Testosegnaposto">
    <w:name w:val="Placeholder Text"/>
    <w:uiPriority w:val="99"/>
    <w:semiHidden/>
    <w:rsid w:val="00130D6E"/>
    <w:rPr>
      <w:color w:val="808080"/>
    </w:rPr>
  </w:style>
  <w:style w:type="paragraph" w:customStyle="1" w:styleId="MDPI71footnotes">
    <w:name w:val="MDPI_7.1_footnotes"/>
    <w:qFormat/>
    <w:rsid w:val="0083650A"/>
    <w:pPr>
      <w:numPr>
        <w:numId w:val="20"/>
      </w:numPr>
      <w:adjustRightInd w:val="0"/>
      <w:snapToGrid w:val="0"/>
      <w:spacing w:line="280" w:lineRule="atLeast"/>
    </w:pPr>
    <w:rPr>
      <w:rFonts w:ascii="Palatino Linotype" w:eastAsiaTheme="minorEastAsia" w:hAnsi="Palatino Linotype"/>
      <w:noProof/>
      <w:color w:val="000000"/>
      <w:sz w:val="18"/>
    </w:rPr>
  </w:style>
  <w:style w:type="character" w:styleId="Enfasigrassetto">
    <w:name w:val="Strong"/>
    <w:basedOn w:val="Carpredefinitoparagrafo"/>
    <w:uiPriority w:val="22"/>
    <w:qFormat/>
    <w:rsid w:val="004449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giovane@unisa.it" TargetMode="External"/><Relationship Id="rId18" Type="http://schemas.openxmlformats.org/officeDocument/2006/relationships/image" Target="media/image5.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4.png"/><Relationship Id="rId25" Type="http://schemas.openxmlformats.org/officeDocument/2006/relationships/header" Target="header2.xml"/><Relationship Id="rId2" Type="http://schemas.openxmlformats.org/officeDocument/2006/relationships/customXml" Target="../customXml/item1.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2.xml"/><Relationship Id="rId10" Type="http://schemas.microsoft.com/office/2011/relationships/commentsExtended" Target="commentsExtended.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eader" Target="header3.xml"/><Relationship Id="rId30" Type="http://schemas.microsoft.com/office/2011/relationships/people" Target="people.xml"/></Relationships>
</file>

<file path=word/_rels/header3.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8C784-A59B-4526-90F1-C2EB788F1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39</Pages>
  <Words>19305</Words>
  <Characters>110040</Characters>
  <Application>Microsoft Office Word</Application>
  <DocSecurity>0</DocSecurity>
  <Lines>917</Lines>
  <Paragraphs>258</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129087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GABRIELE di PALMA</cp:lastModifiedBy>
  <cp:revision>6</cp:revision>
  <dcterms:created xsi:type="dcterms:W3CDTF">2026-04-23T18:12:00Z</dcterms:created>
  <dcterms:modified xsi:type="dcterms:W3CDTF">2026-04-24T06:29:00Z</dcterms:modified>
</cp:coreProperties>
</file>