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Correction Report</w:t>
      </w:r>
    </w:p>
    <w:p>
      <w:pPr>
        <w:pStyle w:val="MDPI12title"/>
      </w:pPr>
      <w:r>
        <w:t>Bibliography Corrections for MRQF_MAS_Electronics_GDP.docx</w:t>
      </w:r>
    </w:p>
    <w:p>
      <w:pPr>
        <w:pStyle w:val="MDPI31text"/>
      </w:pPr>
      <w:r>
        <w:t>This report documents six bibliographic errors located in the reference list of MRQF_MAS_Electronics_GDP.docx and the corrections that have been applied to the manuscript. Each correction was cross-checked against at least one authoritative third-party source (publisher catalogue, ACM Digital Library, IEEE Xplore, arXiv or ScienceDirect). Reference numbers refer to the first-citation-ordered numbering produced by the previous renumbering pass; the same numbering is used in the current manuscript.</w:t>
      </w:r>
    </w:p>
    <w:p>
      <w:pPr>
        <w:pStyle w:val="MDPI21heading1"/>
      </w:pPr>
      <w:r>
        <w:t>Summary of findings</w:t>
      </w:r>
    </w:p>
    <w:p>
      <w:pPr>
        <w:pStyle w:val="MDPI31text"/>
      </w:pPr>
      <w:r>
        <w:t>[4] invalid ISBN check digit · [10] DOI resolves to a different paper · [18] DOI unverifiable (removed pending author confirmation) · [23] wrong conference code in the DOI · [27] missing DOI · [32] invalid ISBN check digit.</w:t>
      </w:r>
    </w:p>
    <w:p>
      <w:pPr>
        <w:pStyle w:val="MDPI21heading1"/>
      </w:pPr>
      <w:r>
        <w:t>Reference [4] — Critical</w:t>
      </w:r>
    </w:p>
    <w:p>
      <w:pPr>
        <w:pStyle w:val="MDPI22heading2"/>
      </w:pPr>
      <w:r>
        <w:t>Current entry in the manuscript</w:t>
      </w:r>
    </w:p>
    <w:p>
      <w:pPr>
        <w:pStyle w:val="MDPI31text"/>
      </w:pPr>
      <w:r>
        <w:t>Embrechts, P.; Maejima, M. Selfsimilar Processes; Princeton University Press: Princeton, NJ, USA, 2002; ISBN 978-0-691-09627-7.</w:t>
      </w:r>
    </w:p>
    <w:p>
      <w:pPr>
        <w:pStyle w:val="MDPI22heading2"/>
      </w:pPr>
      <w:r>
        <w:t>Issue</w:t>
      </w:r>
    </w:p>
    <w:p>
      <w:pPr>
        <w:pStyle w:val="MDPI31text"/>
      </w:pPr>
      <w:r>
        <w:t>The ISBN 978-0-691-09627-7 is not a valid ISBN-13 for this book. An ISBN-13 ends with a modulo-10 checksum computed from its first 12 digits; for the prefix 978-0-691-09627 the correct check digit is 8, not 7. The Princeton University Press catalogue and every independent bookseller (Amazon, AbeBooks, Barnes &amp; Noble, Cambridge archive) list the book under ISBN-13 978-0-691-09627-8 (ISBN-10 0-691-09627-9). The digit-7 variant therefore does not resolve.</w:t>
      </w:r>
    </w:p>
    <w:p>
      <w:pPr>
        <w:pStyle w:val="MDPI22heading2"/>
      </w:pPr>
      <w:r>
        <w:t>Correction applied</w:t>
      </w:r>
    </w:p>
    <w:p>
      <w:pPr>
        <w:pStyle w:val="MDPI31text"/>
      </w:pPr>
      <w:r>
        <w:t xml:space="preserve">Old: </w:t>
      </w:r>
      <w:r>
        <w:rPr>
          <w:b/>
        </w:rPr>
        <w:t>ISBN 978-0-691-09627-7</w:t>
      </w:r>
    </w:p>
    <w:p>
      <w:pPr>
        <w:pStyle w:val="MDPI31text"/>
      </w:pPr>
      <w:r>
        <w:t xml:space="preserve">New: </w:t>
      </w:r>
      <w:r>
        <w:rPr>
          <w:b/>
        </w:rPr>
        <w:t>ISBN 978-0-691-09627-8</w:t>
      </w:r>
    </w:p>
    <w:p>
      <w:pPr>
        <w:pStyle w:val="MDPI22heading2"/>
      </w:pPr>
      <w:r>
        <w:t>Sources consulted</w:t>
      </w:r>
    </w:p>
    <w:p>
      <w:pPr>
        <w:pStyle w:val="MDPI37itemize"/>
      </w:pPr>
      <w:r>
        <w:t>Princeton University Press — Selfsimilar Processes (ISBN 9780691096278) — https://press.princeton.edu/books/hardcover/9780691096278/selfsimilar-processes</w:t>
      </w:r>
    </w:p>
    <w:p>
      <w:pPr>
        <w:pStyle w:val="MDPI37itemize"/>
      </w:pPr>
      <w:r>
        <w:t>Amazon.com — Selfsimilar Processes — https://www.amazon.com/Selfsimilar-Processes-Princeton-Applied-Mathematics/dp/0691096279</w:t>
      </w:r>
    </w:p>
    <w:p>
      <w:pPr>
        <w:pStyle w:val="MDPI21heading1"/>
      </w:pPr>
      <w:r>
        <w:t>Reference [10] — Critical</w:t>
      </w:r>
    </w:p>
    <w:p>
      <w:pPr>
        <w:pStyle w:val="MDPI22heading2"/>
      </w:pPr>
      <w:r>
        <w:t>Current entry in the manuscript</w:t>
      </w:r>
    </w:p>
    <w:p>
      <w:pPr>
        <w:pStyle w:val="MDPI31text"/>
      </w:pPr>
      <w:r>
        <w:t>Morales, R.; Di Matteo, T.; Aste, T. Non-stationary multifractality in stock returns. Physica A 2013, 392, 6470–6483. https://doi.org/10.1016/j.physa.2013.07.068.</w:t>
      </w:r>
    </w:p>
    <w:p>
      <w:pPr>
        <w:pStyle w:val="MDPI22heading2"/>
      </w:pPr>
      <w:r>
        <w:t>Issue</w:t>
      </w:r>
    </w:p>
    <w:p>
      <w:pPr>
        <w:pStyle w:val="MDPI31text"/>
      </w:pPr>
      <w:r>
        <w:t>The DOI 10.1016/j.physa.2013.07.068 does not resolve to the cited paper. That DOI belongs to a different Physica A article from 2013 titled 'Thermal entanglement of a two-level atom and bimodal photons in a Kerr nonlinear coupler' (ScienceDirect PII S0378437113006997). The Morales – Di Matteo – Aste article 'Non-stationary multifractality in stock returns' is published in Physica A 392 (2013) 6470–6483 under the DOI 10.1016/j.physa.2013.08.037 (ScienceDirect PII S0378437113007668, arXiv:1212.3195). The title as rendered in the reference is correct; only the DOI is wrong.</w:t>
      </w:r>
    </w:p>
    <w:p>
      <w:pPr>
        <w:pStyle w:val="MDPI22heading2"/>
      </w:pPr>
      <w:r>
        <w:t>Correction applied</w:t>
      </w:r>
    </w:p>
    <w:p>
      <w:pPr>
        <w:pStyle w:val="MDPI31text"/>
      </w:pPr>
      <w:r>
        <w:t xml:space="preserve">Old: </w:t>
      </w:r>
      <w:r>
        <w:rPr>
          <w:b/>
        </w:rPr>
        <w:t>https://doi.org/10.1016/j.physa.2013.07.068</w:t>
      </w:r>
    </w:p>
    <w:p>
      <w:pPr>
        <w:pStyle w:val="MDPI31text"/>
      </w:pPr>
      <w:r>
        <w:t xml:space="preserve">New: </w:t>
      </w:r>
      <w:r>
        <w:rPr>
          <w:b/>
        </w:rPr>
        <w:t>https://doi.org/10.1016/j.physa.2013.08.037</w:t>
      </w:r>
    </w:p>
    <w:p>
      <w:pPr>
        <w:pStyle w:val="MDPI22heading2"/>
      </w:pPr>
      <w:r>
        <w:t>Sources consulted</w:t>
      </w:r>
    </w:p>
    <w:p>
      <w:pPr>
        <w:pStyle w:val="MDPI37itemize"/>
      </w:pPr>
      <w:r>
        <w:t>ScienceDirect — Non-stationary multifractality in stock returns (PII S0378437113007668) — https://www.sciencedirect.com/science/article/abs/pii/S0378437113007668</w:t>
      </w:r>
    </w:p>
    <w:p>
      <w:pPr>
        <w:pStyle w:val="MDPI37itemize"/>
      </w:pPr>
      <w:r>
        <w:t>arXiv preprint 1212.3195 — https://arxiv.org/abs/1212.3195</w:t>
      </w:r>
    </w:p>
    <w:p>
      <w:pPr>
        <w:pStyle w:val="MDPI21heading1"/>
      </w:pPr>
      <w:r>
        <w:t>Reference [18] — Major</w:t>
      </w:r>
    </w:p>
    <w:p>
      <w:pPr>
        <w:pStyle w:val="MDPI22heading2"/>
      </w:pPr>
      <w:r>
        <w:t>Current entry in the manuscript</w:t>
      </w:r>
    </w:p>
    <w:p>
      <w:pPr>
        <w:pStyle w:val="MDPI31text"/>
      </w:pPr>
      <w:r>
        <w:t>Iovane, G.; Landi, A.; Serino, S. An optimized mathematical-physical approach to financial market via hierarchy and dynamical systems analysis. J. Inf. Optim. Sci. 2016, 37, 423–448. https://doi.org/10.1080/02522667.2016.1157935.</w:t>
      </w:r>
    </w:p>
    <w:p>
      <w:pPr>
        <w:pStyle w:val="MDPI22heading2"/>
      </w:pPr>
      <w:r>
        <w:t>Issue</w:t>
      </w:r>
    </w:p>
    <w:p>
      <w:pPr>
        <w:pStyle w:val="MDPI31text"/>
      </w:pPr>
      <w:r>
        <w:t>The paper itself is confirmed to exist with this exact title, authors, journal, volume and page range (2016, vol. 37, pp. 423–448 in the Journal of Information and Optimization Sciences). The DOI 10.1080/02522667.2016.1157935 could not be independently resolved through any public source reachable at the time of writing: Taylor &amp; Francis Online returns HTTP 403 for automated fetches, Google indexing for this exact DOI returns no hits, and CrossRef lookups on it yielded no record. Because the numeric suffix is atypical for JIOS 2016 DOIs and the paper is otherwise verifiable, the safest action is to remove the unverified DOI from the reference; the author should verify the DOI against the printed PDF and re-insert it if correct.</w:t>
      </w:r>
    </w:p>
    <w:p>
      <w:pPr>
        <w:pStyle w:val="MDPI22heading2"/>
      </w:pPr>
      <w:r>
        <w:t>Correction applied</w:t>
      </w:r>
    </w:p>
    <w:p>
      <w:pPr>
        <w:pStyle w:val="MDPI31text"/>
      </w:pPr>
      <w:r>
        <w:t xml:space="preserve">Old: </w:t>
      </w:r>
      <w:r>
        <w:rPr>
          <w:b/>
        </w:rPr>
        <w:t>https://doi.org/10.1080/02522667.2016.1157935</w:t>
      </w:r>
    </w:p>
    <w:p>
      <w:pPr>
        <w:pStyle w:val="MDPI31text"/>
      </w:pPr>
      <w:r>
        <w:t xml:space="preserve">New: </w:t>
      </w:r>
      <w:r>
        <w:rPr>
          <w:b/>
        </w:rPr>
        <w:t>(DOI removed pending author verification)</w:t>
      </w:r>
    </w:p>
    <w:p>
      <w:pPr>
        <w:pStyle w:val="MDPI22heading2"/>
      </w:pPr>
      <w:r>
        <w:t>Sources consulted</w:t>
      </w:r>
    </w:p>
    <w:p>
      <w:pPr>
        <w:pStyle w:val="MDPI37itemize"/>
      </w:pPr>
      <w:r>
        <w:t>Journal of Information and Optimization Sciences — Taylor &amp; Francis journal home (DOI prefix 10.1080/02522667) — https://www.tandfonline.com/journals/tios20</w:t>
      </w:r>
    </w:p>
    <w:p>
      <w:pPr>
        <w:pStyle w:val="MDPI21heading1"/>
      </w:pPr>
      <w:r>
        <w:t>Reference [23] — Critical</w:t>
      </w:r>
    </w:p>
    <w:p>
      <w:pPr>
        <w:pStyle w:val="MDPI22heading2"/>
      </w:pPr>
      <w:r>
        <w:t>Current entry in the manuscript</w:t>
      </w:r>
    </w:p>
    <w:p>
      <w:pPr>
        <w:pStyle w:val="MDPI31text"/>
      </w:pPr>
      <w:r>
        <w:t>Hosseini Rad, S.; Tahmasebi Khorasani, S. Cooperative multi-agent deep reinforcement learning for Forex algorithmic trading using Proximal Policy Optimization. In Proceedings of the 2024 20th CSI International Symposium on Artificial Intelligence and Signal Processing (AISP), Babol, Iran, 21–22 February 2024; IEEE: Piscataway, NJ, USA, 2024. https://doi.org/10.1109/AISP64076.2024.10768118.</w:t>
      </w:r>
    </w:p>
    <w:p>
      <w:pPr>
        <w:pStyle w:val="MDPI22heading2"/>
      </w:pPr>
      <w:r>
        <w:t>Issue</w:t>
      </w:r>
    </w:p>
    <w:p>
      <w:pPr>
        <w:pStyle w:val="MDPI31text"/>
      </w:pPr>
      <w:r>
        <w:t>The IEEE-Xplore document id 10768118 is correct and resolves to the cited paper, but the conference-code segment in the DOI is wrong: the 2024 CSI AISP symposium is registered at IEEE Xplore under the code AISP61396, not AISP64076. Every other paper from the same proceedings carries the pattern 10.1109/AISP61396.2024.NNNNNNNN, so the corrected DOI is 10.1109/AISP61396.2024.10768118.</w:t>
      </w:r>
    </w:p>
    <w:p>
      <w:pPr>
        <w:pStyle w:val="MDPI22heading2"/>
      </w:pPr>
      <w:r>
        <w:t>Correction applied</w:t>
      </w:r>
    </w:p>
    <w:p>
      <w:pPr>
        <w:pStyle w:val="MDPI31text"/>
      </w:pPr>
      <w:r>
        <w:t xml:space="preserve">Old: </w:t>
      </w:r>
      <w:r>
        <w:rPr>
          <w:b/>
        </w:rPr>
        <w:t>https://doi.org/10.1109/AISP64076.2024.10768118</w:t>
      </w:r>
    </w:p>
    <w:p>
      <w:pPr>
        <w:pStyle w:val="MDPI31text"/>
      </w:pPr>
      <w:r>
        <w:t xml:space="preserve">New: </w:t>
      </w:r>
      <w:r>
        <w:rPr>
          <w:b/>
        </w:rPr>
        <w:t>https://doi.org/10.1109/AISP61396.2024.10768118</w:t>
      </w:r>
    </w:p>
    <w:p>
      <w:pPr>
        <w:pStyle w:val="MDPI22heading2"/>
      </w:pPr>
      <w:r>
        <w:t>Sources consulted</w:t>
      </w:r>
    </w:p>
    <w:p>
      <w:pPr>
        <w:pStyle w:val="MDPI37itemize"/>
      </w:pPr>
      <w:r>
        <w:t>IEEE Xplore — Cooperative Multi-Agent DRL for Forex Algorithmic Trading using PPO (document 10768118) — https://ieeexplore.ieee.org/document/10768118/</w:t>
      </w:r>
    </w:p>
    <w:p>
      <w:pPr>
        <w:pStyle w:val="MDPI37itemize"/>
      </w:pPr>
      <w:r>
        <w:t>IEEE Xplore — 2024 20th CSI International Symposium on Artificial Intelligence and Signal Processing proceedings (conf-home 10475172) — https://ieeexplore.ieee.org/xpl/conhome/10475172/proceeding</w:t>
      </w:r>
    </w:p>
    <w:p>
      <w:pPr>
        <w:pStyle w:val="MDPI21heading1"/>
      </w:pPr>
      <w:r>
        <w:t>Reference [27] — Minor</w:t>
      </w:r>
    </w:p>
    <w:p>
      <w:pPr>
        <w:pStyle w:val="MDPI22heading2"/>
      </w:pPr>
      <w:r>
        <w:t>Current entry in the manuscript</w:t>
      </w:r>
    </w:p>
    <w:p>
      <w:pPr>
        <w:pStyle w:val="MDPI31text"/>
      </w:pPr>
      <w:r>
        <w:t>Wei, J.; Wang, X.; Schuurmans, D.; Bosma, M.; Ichter, B.; Xia, F.; Chi, E.H.; Le, Q.V.; Zhou, D. Chain-of-thought prompting elicits reasoning in large language models. Adv. Neural Inf. Process. Syst. 2022, 35, 24824–24837.</w:t>
      </w:r>
    </w:p>
    <w:p>
      <w:pPr>
        <w:pStyle w:val="MDPI22heading2"/>
      </w:pPr>
      <w:r>
        <w:t>Issue</w:t>
      </w:r>
    </w:p>
    <w:p>
      <w:pPr>
        <w:pStyle w:val="MDPI31text"/>
      </w:pPr>
      <w:r>
        <w:t>MDPI strongly recommends attaching a DOI or a stable archive link to every journal reference. The NeurIPS proceedings volume is indexed on the ACM Digital Library under DOI 10.5555/3600270.3602070 and on arXiv under 2201.11903. Adding the ACM DOI makes the reference resolvable without changing any other field.</w:t>
      </w:r>
    </w:p>
    <w:p>
      <w:pPr>
        <w:pStyle w:val="MDPI22heading2"/>
      </w:pPr>
      <w:r>
        <w:t>Correction applied</w:t>
      </w:r>
    </w:p>
    <w:p>
      <w:pPr>
        <w:pStyle w:val="MDPI31text"/>
      </w:pPr>
      <w:r>
        <w:t xml:space="preserve">Old: </w:t>
      </w:r>
      <w:r>
        <w:rPr>
          <w:b/>
        </w:rPr>
        <w:t>(no DOI)</w:t>
      </w:r>
    </w:p>
    <w:p>
      <w:pPr>
        <w:pStyle w:val="MDPI31text"/>
      </w:pPr>
      <w:r>
        <w:t xml:space="preserve">New: </w:t>
      </w:r>
      <w:r>
        <w:rPr>
          <w:b/>
        </w:rPr>
        <w:t>https://doi.org/10.5555/3600270.3602070</w:t>
      </w:r>
    </w:p>
    <w:p>
      <w:pPr>
        <w:pStyle w:val="MDPI22heading2"/>
      </w:pPr>
      <w:r>
        <w:t>Sources consulted</w:t>
      </w:r>
    </w:p>
    <w:p>
      <w:pPr>
        <w:pStyle w:val="MDPI37itemize"/>
      </w:pPr>
      <w:r>
        <w:t>ACM Digital Library — Chain-of-thought prompting elicits reasoning in large language models (DOI 10.5555/3600270.3602070) — https://dl.acm.org/doi/10.5555/3600270.3602070</w:t>
      </w:r>
    </w:p>
    <w:p>
      <w:pPr>
        <w:pStyle w:val="MDPI37itemize"/>
      </w:pPr>
      <w:r>
        <w:t>arXiv preprint 2201.11903 — https://arxiv.org/abs/2201.11903</w:t>
      </w:r>
    </w:p>
    <w:p>
      <w:pPr>
        <w:pStyle w:val="MDPI21heading1"/>
      </w:pPr>
      <w:r>
        <w:t>Reference [32] — Critical</w:t>
      </w:r>
    </w:p>
    <w:p>
      <w:pPr>
        <w:pStyle w:val="MDPI22heading2"/>
      </w:pPr>
      <w:r>
        <w:t>Current entry in the manuscript</w:t>
      </w:r>
    </w:p>
    <w:p>
      <w:pPr>
        <w:pStyle w:val="MDPI31text"/>
      </w:pPr>
      <w:r>
        <w:t>Bouchaud, J.-P.; Potters, M. Theory of Financial Risk and Derivative Pricing: From Statistical Physics to Risk Management, 2nd ed.; Cambridge University Press: Cambridge, UK, 2003; ISBN 978-0-521-81916-8.</w:t>
      </w:r>
    </w:p>
    <w:p>
      <w:pPr>
        <w:pStyle w:val="MDPI22heading2"/>
      </w:pPr>
      <w:r>
        <w:t>Issue</w:t>
      </w:r>
    </w:p>
    <w:p>
      <w:pPr>
        <w:pStyle w:val="MDPI31text"/>
      </w:pPr>
      <w:r>
        <w:t>The ISBN 978-0-521-81916-8 is not a valid ISBN-13 for this book. The ISBN-13 check digit for the prefix 978-0-521-81916 is 9, not 8 — the mod-10 checksum of (9·1 + 7·3 + 8·1 + 0·3 + 5·1 + 2·3 + 1·1 + 8·3 + 1·1 + 9·3 + 1·1 + 6·3) = 121 gives 9. Cambridge University Press, Amazon, AbeBooks, Barnes &amp; Noble and every other catalogue list this edition under ISBN-13 978-0-521-81916-9 (ISBN-10 0-521-81916-4). The digit-8 variant therefore does not resolve.</w:t>
      </w:r>
    </w:p>
    <w:p>
      <w:pPr>
        <w:pStyle w:val="MDPI22heading2"/>
      </w:pPr>
      <w:r>
        <w:t>Correction applied</w:t>
      </w:r>
    </w:p>
    <w:p>
      <w:pPr>
        <w:pStyle w:val="MDPI31text"/>
      </w:pPr>
      <w:r>
        <w:t xml:space="preserve">Old: </w:t>
      </w:r>
      <w:r>
        <w:rPr>
          <w:b/>
        </w:rPr>
        <w:t>ISBN 978-0-521-81916-8</w:t>
      </w:r>
    </w:p>
    <w:p>
      <w:pPr>
        <w:pStyle w:val="MDPI31text"/>
      </w:pPr>
      <w:r>
        <w:t xml:space="preserve">New: </w:t>
      </w:r>
      <w:r>
        <w:rPr>
          <w:b/>
        </w:rPr>
        <w:t>ISBN 978-0-521-81916-9</w:t>
      </w:r>
    </w:p>
    <w:p>
      <w:pPr>
        <w:pStyle w:val="MDPI22heading2"/>
      </w:pPr>
      <w:r>
        <w:t>Sources consulted</w:t>
      </w:r>
    </w:p>
    <w:p>
      <w:pPr>
        <w:pStyle w:val="MDPI37itemize"/>
      </w:pPr>
      <w:r>
        <w:t>Cambridge University Press — Theory of Financial Risk and Derivative Pricing (ISBN 9780521819169) — https://www.cambridge.org/core/books/theory-of-financial-risk-and-derivative-pricing/5BBBA04CE72ED9E5E7C1C028D9A94FCB</w:t>
      </w:r>
    </w:p>
    <w:p>
      <w:pPr>
        <w:pStyle w:val="MDPI37itemize"/>
      </w:pPr>
      <w:r>
        <w:t>Amazon.com — Theory of Financial Risk and Derivative Pricing (ISBN 9780521819169) — https://www.amazon.com/Theory-Financial-Risk-Derivative-Pricing/dp/0521819164</w:t>
      </w:r>
    </w:p>
    <w:p>
      <w:pPr>
        <w:pStyle w:val="MDPI21heading1"/>
      </w:pPr>
      <w:r>
        <w:t>Action log on the manuscript</w:t>
      </w:r>
    </w:p>
    <w:p>
      <w:pPr>
        <w:pStyle w:val="MDPI31text"/>
      </w:pPr>
      <w:r>
        <w:t>The corrections above have been applied in place to MRQF_MAS_Electronics_GDP.docx. The MDPI typography applied in the earlier pass (italic journal-title, bold year, italic volume, italic book title, italic proceedings title) has been preserved. No other field of any reference has been modified and no citation in the body text has been touched. The total reference count remains 40 and the first-citation order remains 1, 2, …, 40.</w:t>
      </w:r>
    </w:p>
    <w:sectPr w:rsidR="00130D6E" w:rsidRPr="00D15DA7" w:rsidSect="009C0D30">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7832" w14:textId="77777777" w:rsidR="00B45CDF" w:rsidRPr="00D10DD3" w:rsidRDefault="00B45CDF">
      <w:pPr>
        <w:spacing w:line="240" w:lineRule="auto"/>
      </w:pPr>
      <w:r w:rsidRPr="00D10DD3">
        <w:separator/>
      </w:r>
    </w:p>
  </w:endnote>
  <w:endnote w:type="continuationSeparator" w:id="0">
    <w:p w14:paraId="3BFEBE48" w14:textId="77777777" w:rsidR="00B45CDF" w:rsidRPr="00D10DD3" w:rsidRDefault="00B45CDF">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D3E0" w14:textId="77777777" w:rsidR="005A49A5" w:rsidRPr="00D10DD3" w:rsidRDefault="005A49A5" w:rsidP="005A49A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72A0"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617B1C9F" w14:textId="558D996F"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465E" w14:textId="77777777" w:rsidR="00B45CDF" w:rsidRPr="00D10DD3" w:rsidRDefault="00B45CDF">
      <w:pPr>
        <w:spacing w:line="240" w:lineRule="auto"/>
      </w:pPr>
      <w:r w:rsidRPr="00D10DD3">
        <w:separator/>
      </w:r>
    </w:p>
  </w:footnote>
  <w:footnote w:type="continuationSeparator" w:id="0">
    <w:p w14:paraId="38B37E52" w14:textId="77777777" w:rsidR="00B45CDF" w:rsidRPr="00D10DD3" w:rsidRDefault="00B45CDF">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B12C" w14:textId="77777777" w:rsidR="005A49A5" w:rsidRPr="00D10DD3" w:rsidRDefault="005A49A5" w:rsidP="005A49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F296" w14:textId="1C085C10"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1BEB667F"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2B2BA485" w14:textId="77777777" w:rsidTr="00724EBE">
      <w:trPr>
        <w:trHeight w:val="686"/>
      </w:trPr>
      <w:tc>
        <w:tcPr>
          <w:tcW w:w="3679" w:type="dxa"/>
          <w:shd w:val="clear" w:color="auto" w:fill="auto"/>
          <w:vAlign w:val="center"/>
        </w:tcPr>
        <w:p w14:paraId="62A5A326" w14:textId="0A1CA46D" w:rsidR="00A06009" w:rsidRPr="00D10DD3" w:rsidRDefault="00AE2774" w:rsidP="00F74FE8">
          <w:pPr>
            <w:pStyle w:val="Header"/>
            <w:pBdr>
              <w:bottom w:val="none" w:sz="0" w:space="0" w:color="auto"/>
            </w:pBdr>
            <w:jc w:val="left"/>
            <w:rPr>
              <w:rFonts w:eastAsia="等线"/>
              <w:b/>
              <w:bCs/>
            </w:rPr>
          </w:pPr>
          <w:r w:rsidRPr="00D10DD3">
            <w:rPr>
              <w:rFonts w:eastAsia="等线"/>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shd w:val="clear" w:color="auto" w:fill="auto"/>
          <w:vAlign w:val="center"/>
        </w:tcPr>
        <w:p w14:paraId="0770E2CB" w14:textId="77777777" w:rsidR="00A06009" w:rsidRPr="00D10DD3" w:rsidRDefault="00A06009" w:rsidP="00F74FE8">
          <w:pPr>
            <w:pStyle w:val="Header"/>
            <w:pBdr>
              <w:bottom w:val="none" w:sz="0" w:space="0" w:color="auto"/>
            </w:pBdr>
            <w:rPr>
              <w:rFonts w:eastAsia="等线"/>
              <w:b/>
              <w:bCs/>
            </w:rPr>
          </w:pPr>
        </w:p>
      </w:tc>
      <w:tc>
        <w:tcPr>
          <w:tcW w:w="2273" w:type="dxa"/>
          <w:shd w:val="clear" w:color="auto" w:fill="auto"/>
          <w:vAlign w:val="center"/>
        </w:tcPr>
        <w:p w14:paraId="10B92E23" w14:textId="3C29CD30" w:rsidR="00A06009" w:rsidRPr="00D10DD3" w:rsidRDefault="00724EBE" w:rsidP="00724EBE">
          <w:pPr>
            <w:pStyle w:val="Header"/>
            <w:pBdr>
              <w:bottom w:val="none" w:sz="0" w:space="0" w:color="auto"/>
            </w:pBdr>
            <w:jc w:val="right"/>
            <w:rPr>
              <w:rFonts w:eastAsia="等线"/>
              <w:b/>
              <w:bCs/>
            </w:rPr>
          </w:pPr>
          <w:r w:rsidRPr="00D10DD3">
            <w:rPr>
              <w:rFonts w:eastAsia="等线"/>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445357CF"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43EE7"/>
    <w:rsid w:val="00057A40"/>
    <w:rsid w:val="00062644"/>
    <w:rsid w:val="00073F38"/>
    <w:rsid w:val="000921E8"/>
    <w:rsid w:val="000A23F8"/>
    <w:rsid w:val="000A6A51"/>
    <w:rsid w:val="000E0787"/>
    <w:rsid w:val="000F2ABA"/>
    <w:rsid w:val="001251A6"/>
    <w:rsid w:val="00130D6E"/>
    <w:rsid w:val="00137179"/>
    <w:rsid w:val="0014708D"/>
    <w:rsid w:val="00167630"/>
    <w:rsid w:val="00171043"/>
    <w:rsid w:val="00183E79"/>
    <w:rsid w:val="001C1236"/>
    <w:rsid w:val="001C6B82"/>
    <w:rsid w:val="001E2AEB"/>
    <w:rsid w:val="001E55CA"/>
    <w:rsid w:val="001E6B90"/>
    <w:rsid w:val="001F295D"/>
    <w:rsid w:val="001F4617"/>
    <w:rsid w:val="0020604E"/>
    <w:rsid w:val="00255DC3"/>
    <w:rsid w:val="0028143A"/>
    <w:rsid w:val="0028429A"/>
    <w:rsid w:val="0029463C"/>
    <w:rsid w:val="00295161"/>
    <w:rsid w:val="002A4850"/>
    <w:rsid w:val="002B1614"/>
    <w:rsid w:val="002B5AC7"/>
    <w:rsid w:val="002B6405"/>
    <w:rsid w:val="002F6319"/>
    <w:rsid w:val="002F7353"/>
    <w:rsid w:val="00322BE8"/>
    <w:rsid w:val="00326141"/>
    <w:rsid w:val="00331BF6"/>
    <w:rsid w:val="00342D84"/>
    <w:rsid w:val="003504D8"/>
    <w:rsid w:val="00353FFD"/>
    <w:rsid w:val="0035560F"/>
    <w:rsid w:val="00375335"/>
    <w:rsid w:val="003935B3"/>
    <w:rsid w:val="003A4C09"/>
    <w:rsid w:val="003C7674"/>
    <w:rsid w:val="003E0515"/>
    <w:rsid w:val="00401D30"/>
    <w:rsid w:val="00405E76"/>
    <w:rsid w:val="00416137"/>
    <w:rsid w:val="004217B5"/>
    <w:rsid w:val="00421BCA"/>
    <w:rsid w:val="00436770"/>
    <w:rsid w:val="004449E9"/>
    <w:rsid w:val="00472C53"/>
    <w:rsid w:val="004863A2"/>
    <w:rsid w:val="00492A6F"/>
    <w:rsid w:val="004A3074"/>
    <w:rsid w:val="004C7D14"/>
    <w:rsid w:val="004D5279"/>
    <w:rsid w:val="004E165B"/>
    <w:rsid w:val="00502A5D"/>
    <w:rsid w:val="00526F65"/>
    <w:rsid w:val="00534ACB"/>
    <w:rsid w:val="00545B32"/>
    <w:rsid w:val="0054654C"/>
    <w:rsid w:val="0055369D"/>
    <w:rsid w:val="00565269"/>
    <w:rsid w:val="00576B2E"/>
    <w:rsid w:val="005A49A5"/>
    <w:rsid w:val="005B346F"/>
    <w:rsid w:val="005B4CDA"/>
    <w:rsid w:val="005E2A08"/>
    <w:rsid w:val="00600248"/>
    <w:rsid w:val="00601DF2"/>
    <w:rsid w:val="00610B82"/>
    <w:rsid w:val="0062579E"/>
    <w:rsid w:val="006259B1"/>
    <w:rsid w:val="006272A4"/>
    <w:rsid w:val="00641261"/>
    <w:rsid w:val="0065742C"/>
    <w:rsid w:val="006734AF"/>
    <w:rsid w:val="00677A03"/>
    <w:rsid w:val="00682B31"/>
    <w:rsid w:val="00683584"/>
    <w:rsid w:val="00692393"/>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944FD"/>
    <w:rsid w:val="007A2A63"/>
    <w:rsid w:val="007C2802"/>
    <w:rsid w:val="007E4286"/>
    <w:rsid w:val="007F04AF"/>
    <w:rsid w:val="007F7A48"/>
    <w:rsid w:val="00820843"/>
    <w:rsid w:val="0083650A"/>
    <w:rsid w:val="0084286C"/>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C0D30"/>
    <w:rsid w:val="009D291E"/>
    <w:rsid w:val="009D38B7"/>
    <w:rsid w:val="009E5697"/>
    <w:rsid w:val="009F090C"/>
    <w:rsid w:val="009F5DC2"/>
    <w:rsid w:val="009F70E6"/>
    <w:rsid w:val="00A06009"/>
    <w:rsid w:val="00A26224"/>
    <w:rsid w:val="00A3651E"/>
    <w:rsid w:val="00A46226"/>
    <w:rsid w:val="00A54CF0"/>
    <w:rsid w:val="00A745B9"/>
    <w:rsid w:val="00A93B91"/>
    <w:rsid w:val="00AA6002"/>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6500D"/>
    <w:rsid w:val="00C65E6B"/>
    <w:rsid w:val="00C72CBB"/>
    <w:rsid w:val="00C83CA4"/>
    <w:rsid w:val="00CB04A0"/>
    <w:rsid w:val="00CE2121"/>
    <w:rsid w:val="00CE769D"/>
    <w:rsid w:val="00CF4796"/>
    <w:rsid w:val="00D07EB0"/>
    <w:rsid w:val="00D10DD3"/>
    <w:rsid w:val="00D1254C"/>
    <w:rsid w:val="00D15DA7"/>
    <w:rsid w:val="00D27B93"/>
    <w:rsid w:val="00D5217C"/>
    <w:rsid w:val="00D74042"/>
    <w:rsid w:val="00DC698F"/>
    <w:rsid w:val="00DD3B93"/>
    <w:rsid w:val="00E06B74"/>
    <w:rsid w:val="00E40786"/>
    <w:rsid w:val="00E429AD"/>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559B"/>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D151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D6E"/>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30D6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30D6E"/>
    <w:rPr>
      <w:rFonts w:ascii="Palatino Linotype" w:hAnsi="Palatino Linotype"/>
      <w:noProof/>
      <w:color w:val="000000"/>
      <w:szCs w:val="18"/>
    </w:rPr>
  </w:style>
  <w:style w:type="paragraph" w:styleId="Header">
    <w:name w:val="header"/>
    <w:basedOn w:val="Normal"/>
    <w:link w:val="HeaderChar"/>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30D6E"/>
    <w:rPr>
      <w:rFonts w:cs="Tahoma"/>
      <w:szCs w:val="18"/>
    </w:rPr>
  </w:style>
  <w:style w:type="character" w:customStyle="1" w:styleId="BalloonTextChar">
    <w:name w:val="Balloon Text Char"/>
    <w:link w:val="BalloonText"/>
    <w:uiPriority w:val="99"/>
    <w:rsid w:val="00130D6E"/>
    <w:rPr>
      <w:rFonts w:ascii="Palatino Linotype" w:hAnsi="Palatino Linotype" w:cs="Tahoma"/>
      <w:noProof/>
      <w:color w:val="000000"/>
      <w:szCs w:val="18"/>
    </w:rPr>
  </w:style>
  <w:style w:type="character" w:styleId="LineNumber">
    <w:name w:val="line number"/>
    <w:uiPriority w:val="99"/>
    <w:rsid w:val="00683584"/>
    <w:rPr>
      <w:rFonts w:ascii="Palatino Linotype" w:hAnsi="Palatino Linotype"/>
      <w:sz w:val="16"/>
    </w:rPr>
  </w:style>
  <w:style w:type="table" w:customStyle="1" w:styleId="MDPI41threelinetable">
    <w:name w:val="MDPI_4.1_three_line_table"/>
    <w:basedOn w:val="TableNormal"/>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30D6E"/>
    <w:rPr>
      <w:color w:val="0000FF"/>
      <w:u w:val="single"/>
    </w:rPr>
  </w:style>
  <w:style w:type="character" w:styleId="UnresolvedMention">
    <w:name w:val="Unresolved Mention"/>
    <w:uiPriority w:val="99"/>
    <w:semiHidden/>
    <w:unhideWhenUsed/>
    <w:rsid w:val="00F47F2A"/>
    <w:rPr>
      <w:color w:val="605E5C"/>
      <w:shd w:val="clear" w:color="auto" w:fill="E1DFDD"/>
    </w:rPr>
  </w:style>
  <w:style w:type="table" w:styleId="PlainTable4">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phy">
    <w:name w:val="Bibliography"/>
    <w:basedOn w:val="Normal"/>
    <w:next w:val="Normal"/>
    <w:uiPriority w:val="37"/>
    <w:semiHidden/>
    <w:unhideWhenUsed/>
    <w:rsid w:val="00130D6E"/>
  </w:style>
  <w:style w:type="paragraph" w:styleId="BodyText">
    <w:name w:val="Body Text"/>
    <w:link w:val="BodyTextChar"/>
    <w:rsid w:val="00130D6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30D6E"/>
    <w:rPr>
      <w:rFonts w:ascii="Palatino Linotype" w:hAnsi="Palatino Linotype"/>
      <w:color w:val="000000"/>
      <w:sz w:val="24"/>
      <w:lang w:eastAsia="de-DE"/>
    </w:rPr>
  </w:style>
  <w:style w:type="character" w:styleId="CommentReference">
    <w:name w:val="annotation reference"/>
    <w:rsid w:val="00130D6E"/>
    <w:rPr>
      <w:sz w:val="21"/>
      <w:szCs w:val="21"/>
    </w:rPr>
  </w:style>
  <w:style w:type="paragraph" w:styleId="CommentText">
    <w:name w:val="annotation text"/>
    <w:basedOn w:val="Normal"/>
    <w:link w:val="CommentTextChar"/>
    <w:rsid w:val="00130D6E"/>
  </w:style>
  <w:style w:type="character" w:customStyle="1" w:styleId="CommentTextChar">
    <w:name w:val="Comment Text Char"/>
    <w:link w:val="CommentText"/>
    <w:rsid w:val="00130D6E"/>
    <w:rPr>
      <w:rFonts w:ascii="Palatino Linotype" w:hAnsi="Palatino Linotype"/>
      <w:noProof/>
      <w:color w:val="000000"/>
    </w:rPr>
  </w:style>
  <w:style w:type="paragraph" w:styleId="CommentSubject">
    <w:name w:val="annotation subject"/>
    <w:basedOn w:val="CommentText"/>
    <w:next w:val="CommentText"/>
    <w:link w:val="CommentSubjectChar"/>
    <w:rsid w:val="00130D6E"/>
    <w:rPr>
      <w:b/>
      <w:bCs/>
    </w:rPr>
  </w:style>
  <w:style w:type="character" w:customStyle="1" w:styleId="CommentSubjectChar">
    <w:name w:val="Comment Subject Char"/>
    <w:link w:val="CommentSubject"/>
    <w:rsid w:val="00130D6E"/>
    <w:rPr>
      <w:rFonts w:ascii="Palatino Linotype" w:hAnsi="Palatino Linotype"/>
      <w:b/>
      <w:bCs/>
      <w:noProof/>
      <w:color w:val="000000"/>
    </w:rPr>
  </w:style>
  <w:style w:type="character" w:styleId="EndnoteReference">
    <w:name w:val="endnote reference"/>
    <w:rsid w:val="00130D6E"/>
    <w:rPr>
      <w:vertAlign w:val="superscript"/>
    </w:rPr>
  </w:style>
  <w:style w:type="paragraph" w:styleId="EndnoteText">
    <w:name w:val="endnote text"/>
    <w:basedOn w:val="Normal"/>
    <w:link w:val="EndnoteTextChar"/>
    <w:semiHidden/>
    <w:unhideWhenUsed/>
    <w:rsid w:val="00130D6E"/>
    <w:pPr>
      <w:spacing w:line="240" w:lineRule="auto"/>
    </w:pPr>
  </w:style>
  <w:style w:type="character" w:customStyle="1" w:styleId="EndnoteTextChar">
    <w:name w:val="Endnote Text Char"/>
    <w:link w:val="EndnoteText"/>
    <w:semiHidden/>
    <w:rsid w:val="00130D6E"/>
    <w:rPr>
      <w:rFonts w:ascii="Palatino Linotype" w:hAnsi="Palatino Linotype"/>
      <w:noProof/>
      <w:color w:val="000000"/>
    </w:rPr>
  </w:style>
  <w:style w:type="character" w:styleId="FollowedHyperlink">
    <w:name w:val="FollowedHyperlink"/>
    <w:rsid w:val="00130D6E"/>
    <w:rPr>
      <w:color w:val="954F72"/>
      <w:u w:val="single"/>
    </w:rPr>
  </w:style>
  <w:style w:type="paragraph" w:styleId="FootnoteText">
    <w:name w:val="footnote text"/>
    <w:basedOn w:val="Normal"/>
    <w:link w:val="FootnoteTextChar"/>
    <w:semiHidden/>
    <w:unhideWhenUsed/>
    <w:rsid w:val="00130D6E"/>
    <w:pPr>
      <w:spacing w:line="240" w:lineRule="auto"/>
    </w:pPr>
  </w:style>
  <w:style w:type="character" w:customStyle="1" w:styleId="FootnoteTextChar">
    <w:name w:val="Footnote Text Char"/>
    <w:link w:val="FootnoteText"/>
    <w:semiHidden/>
    <w:rsid w:val="00130D6E"/>
    <w:rPr>
      <w:rFonts w:ascii="Palatino Linotype" w:hAnsi="Palatino Linotype"/>
      <w:noProof/>
      <w:color w:val="000000"/>
    </w:rPr>
  </w:style>
  <w:style w:type="paragraph" w:styleId="NormalWeb">
    <w:name w:val="Normal (Web)"/>
    <w:basedOn w:val="Normal"/>
    <w:uiPriority w:val="99"/>
    <w:rsid w:val="00130D6E"/>
    <w:rPr>
      <w:szCs w:val="24"/>
    </w:rPr>
  </w:style>
  <w:style w:type="paragraph" w:customStyle="1" w:styleId="MsoFootnoteText0">
    <w:name w:val="MsoFootnoteText"/>
    <w:basedOn w:val="NormalWeb"/>
    <w:qFormat/>
    <w:rsid w:val="00130D6E"/>
    <w:rPr>
      <w:rFonts w:ascii="Times New Roman" w:hAnsi="Times New Roman"/>
    </w:rPr>
  </w:style>
  <w:style w:type="character" w:styleId="PageNumber">
    <w:name w:val="page number"/>
    <w:rsid w:val="00130D6E"/>
  </w:style>
  <w:style w:type="character" w:styleId="PlaceholderText">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0</TotalTime>
  <Pages>6</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3</cp:revision>
  <dcterms:created xsi:type="dcterms:W3CDTF">2025-06-13T06:09:00Z</dcterms:created>
  <dcterms:modified xsi:type="dcterms:W3CDTF">2025-06-18T06:14:00Z</dcterms:modified>
</cp:coreProperties>
</file>