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1F367E1E" w14:textId="77777777" w:rsidTr="000D20E3">
        <w:tc>
          <w:tcPr>
            <w:tcW w:w="2410" w:type="dxa"/>
            <w:shd w:val="clear" w:color="auto" w:fill="auto"/>
          </w:tcPr>
          <w:p w14:paraId="33AA06C7" w14:textId="77777777" w:rsidR="00F90748" w:rsidRPr="00D10DD3" w:rsidRDefault="00F90748" w:rsidP="000D20E3">
            <w:pPr>
              <w:pStyle w:val="MDPI14history"/>
              <w:spacing w:after="120"/>
              <w:rPr>
                <w:rFonts w:ascii="宋体" w:eastAsia="宋体" w:hAnsi="宋体" w:cs="宋体"/>
                <w:lang w:eastAsia="zh-CN"/>
              </w:rPr>
            </w:pPr>
            <w:r w:rsidRPr="00D10DD3">
              <w:t>Academic Editor: Firstname Lastname</w:t>
            </w:r>
          </w:p>
          <w:p w14:paraId="1CD2BF3C"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BFF2A73" w14:textId="77777777" w:rsidR="00F90748" w:rsidRPr="00D10DD3" w:rsidRDefault="00F90748" w:rsidP="000D20E3">
            <w:pPr>
              <w:pStyle w:val="MDPI14history"/>
              <w:rPr>
                <w:szCs w:val="14"/>
              </w:rPr>
            </w:pPr>
            <w:r w:rsidRPr="00D10DD3">
              <w:rPr>
                <w:szCs w:val="14"/>
              </w:rPr>
              <w:t>Revised: date</w:t>
            </w:r>
          </w:p>
          <w:p w14:paraId="670C6CD2" w14:textId="77777777" w:rsidR="00F90748" w:rsidRPr="00D10DD3" w:rsidRDefault="00F90748" w:rsidP="000D20E3">
            <w:pPr>
              <w:pStyle w:val="MDPI14history"/>
              <w:rPr>
                <w:szCs w:val="14"/>
              </w:rPr>
            </w:pPr>
            <w:r w:rsidRPr="00D10DD3">
              <w:rPr>
                <w:szCs w:val="14"/>
              </w:rPr>
              <w:t>Accepted: date</w:t>
            </w:r>
          </w:p>
          <w:p w14:paraId="62B79578" w14:textId="77777777" w:rsidR="00F90748" w:rsidRPr="00D10DD3" w:rsidRDefault="00F90748" w:rsidP="000D20E3">
            <w:pPr>
              <w:pStyle w:val="MDPI14history"/>
              <w:spacing w:after="120"/>
              <w:rPr>
                <w:szCs w:val="14"/>
              </w:rPr>
            </w:pPr>
            <w:r w:rsidRPr="00D10DD3">
              <w:rPr>
                <w:szCs w:val="14"/>
              </w:rPr>
              <w:t>Published: date</w:t>
            </w:r>
          </w:p>
          <w:p w14:paraId="37EE0CFD"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42750B12"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pPr>
        <w:pStyle w:val="MDPI11articletype"/>
      </w:pPr>
      <w:r>
        <w:t>Article</w:t>
      </w:r>
    </w:p>
    <w:p>
      <w:pPr>
        <w:pStyle w:val="MDPI12title"/>
      </w:pPr>
      <w:r>
        <w:t>MRQF-MAS: A Multiscale Relativistic Quantum Finance Framework for Cooperative Multi-Agent Trading Systems with Shared Knowledge Base</w:t>
      </w:r>
    </w:p>
    <w:p>
      <w:pPr>
        <w:pStyle w:val="MDPI13authornames"/>
      </w:pPr>
      <w:r>
        <w:t>Author(s) 1,*, Author(s) 2</w:t>
      </w:r>
    </w:p>
    <w:p>
      <w:pPr>
        <w:pStyle w:val="MDPI16affiliation"/>
      </w:pPr>
      <w:r>
        <w:t>1</w:t>
        <w:tab/>
        <w:t>Department of Computer Science, University of Salerno, Via Giovanni Paolo II 132, 84084 Fisciano (SA), Italy; author@unisa.it</w:t>
      </w:r>
    </w:p>
    <w:p>
      <w:pPr>
        <w:pStyle w:val="MDPI16affiliation"/>
      </w:pPr>
      <w:r>
        <w:t>*</w:t>
        <w:tab/>
        <w:t>Correspondence: author@unisa.it</w:t>
      </w:r>
    </w:p>
    <w:p>
      <w:pPr>
        <w:pStyle w:val="MDPI17abstract"/>
      </w:pPr>
      <w:r>
        <w:t>Abstract: Background: price dynamics in financial markets exhibit scale-invariant volatility, quantised liquidity and collective behaviour that resist single-paradigm models; Multiscale Relativistic Quantum Finance (MRQF) reconciles these facets on an energy-entropy (E,S) plane, but its translation into a deployable decision system has remained open. Methods: we propose MRQF-MAS, a cooperative Multi-Agent System (MAS) in which institutional, commercial and retail operators become first-class agents, each decomposed into signal, energy, entropy, risk and execution sub-agents that share beliefs through a horizontal cooperation layer and a Shared Knowledge Base (SKB) of (E,S) trajectories. The framework is benchmarked as a high-volatility regime classifier on 3840 daily EUR/USD reference rates published by the European Central Bank (ECB) over 1999-2026 against four baselines including Generalized Autoregressive Conditional Heteroscedasticity (GARCH)(1,1). Results: MRQF-MAS attains 88.5% accuracy, precision 0.816 and Matthews correlation coefficient (MCC) 0.604 with 95% bootstrap CI [0.57, 0.64], full capture of the 2008 and 2022 regimes, and a two-day median detection latency. Conclusions: MRQF-MAS delivers a structurally interpretable, agent-traceable regime decomposition complementary to scalar volatility estimators.</w:t>
      </w:r>
    </w:p>
    <w:p>
      <w:pPr>
        <w:pStyle w:val="MDPI18keywords"/>
      </w:pPr>
      <w:r>
        <w:t>Keywords: econophysics; multiscale relativistic quantum finance; multi-agent systems; cooperative agents; shared knowledge base; regime detection; energy-entropy space; scale invariance; EUR/USD; financion</w:t>
      </w:r>
    </w:p>
    <w:p>
      <w:pPr>
        <w:pStyle w:val="MDPI19line"/>
      </w:pPr>
    </w:p>
    <w:p>
      <w:pPr>
        <w:pStyle w:val="MDPI21heading1"/>
      </w:pPr>
      <w:r>
        <w:t>1. Introduction</w:t>
      </w:r>
    </w:p>
    <w:p>
      <w:pPr>
        <w:pStyle w:val="MDPI31text"/>
      </w:pPr>
      <w: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[19–27] offer a conceptual toolbox far better suited to financial dynamics than ideal-market assumptions.</w:t>
      </w:r>
    </w:p>
    <w:p>
      <w:pPr>
        <w:pStyle w:val="MDPI31text"/>
      </w:pPr>
      <w:r>
        <w:t>Within this trajectory, a unified perspective has recently emerged under the name of Multiscale Relativistic Quantum Finance (MRQF) [8,9]. MRQF combines three ideas that were previously treated in isolation: the multiscale nature of the price signal, a relativistic formalism that posits a maximum instantaneous speed of price propagation $C$, and a quantum interpretation of liquidity in which a gauge boson—called the financion—mediates the interaction between a bullish operator $o^+$ and a bearish operator $o^-$. The theory formalises the market as a black body that absorbs financions, introduces a finance-specific quantum of action $H$, and recasts decisions in the transformed energy–entropy plane $(E,S)$ rather than in the familiar price–time plane. The claim of MRQF is conceptually strong: the familiar phenomenology of trending, laterality and exhaustion is not merely described but explained through state transitions in the $(E,S)$ plane. A companion line of work [10,11] has developed a thermodynamic decision-support engine on the same two-dimensional projection, showing that the combinatorial complexity of a seven-factor problem can be reduced by more than two orders of magnitude without loss of solution quality.</w:t>
      </w:r>
    </w:p>
    <w:p>
      <w:pPr>
        <w:pStyle w:val="MDPI31text"/>
      </w:pPr>
      <w:r>
        <w:t>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[12–15], with recent contributions showing that cooperative multi-agent deep reinforcement learning can outperform single-agent baselines on currency-pair data [12,14]. In particular, the framework of Shavandi and Khedmati [12],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[12]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[12] is strictly top-down along the hierarchy, whereas MRQF-MAS introduces a peer-to-peer lateral channel among sub-agents of the same specialisation, with cooperative–competitive fusion governed by an explicit threshold $\sigma^\star$. Third, [12] operates on the price–time plane and uses a pragmatic feature set, while MRQF-MAS operates on the MRQF energy–entropy plane augmented with probabilistic observables, inheriting a theoretical structure that is absent in [12].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[28–30,40]. MRQF-MAS imports this architectural principle into finance and anchors it to the MRQF theoretical framework.</w:t>
      </w:r>
    </w:p>
    <w:p>
      <w:pPr>
        <w:pStyle w:val="MDPI31text"/>
      </w:pPr>
      <w:r>
        <w:t>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$(E,S)$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pPr>
        <w:pStyle w:val="MDPI31text"/>
      </w:pPr>
      <w:r>
        <w:t>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$(E,S)$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pPr>
        <w:pStyle w:val="MDPI21heading1"/>
      </w:pPr>
      <w:r>
        <w:t>2. Theoretical Foundations of MRQF</w:t>
      </w:r>
    </w:p>
    <w:p>
      <w:pPr>
        <w:pStyle w:val="MDPI31text"/>
      </w:pPr>
      <w:r>
        <w:t>Before introducing the multi-agent architecture we summarise the elements of MRQF on which the rest of the paper builds, restricted to the ingredients strictly needed for the computational development. A full exposition is available in [8,9] for the quantum-relativistic treatment and in [10,11] for the thermodynamic extension. Our goal here is to present the theory in a form that is self-contained for the purposes of this paper and that highlights the properties that must be preserved when MRQF is translated into code.</w:t>
      </w:r>
    </w:p>
    <w:p>
      <w:pPr>
        <w:pStyle w:val="MDPI22heading2"/>
      </w:pPr>
      <w:r>
        <w:t>2.1. Price as a Multiscale Signal and the Volatility Scaling Law</w:t>
      </w:r>
    </w:p>
    <w:p>
      <w:pPr>
        <w:pStyle w:val="MDPI31text"/>
      </w:pPr>
      <w:r>
        <w:t>A price signal $p(t)$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$V_{\text{lot}}$—as the economic analogue of the inertial mass in mechanics, and it links the invested margin $M$ to the number of lots $N_{\text{lots}}$ through the identity $M = N_{\text{lots}} V_{\text{lot}}$. Volatility at the scale of $N_{\text{lots}}$ contracts is then expressed by the scale-invariance law</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t>$$\sigma(N_{\text{lots}}) \;=\; \varsigma\, M\, N_{\text{lots}}^{\,1+\phi} \;=\; \varrho\, N_{\text{lots}}^{\,\phi}, \qquad \phi \;=\; \frac{\sqrt{5}-1}{2} \;\approx\; 0.618,$$</w:t>
            </w:r>
          </w:p>
        </w:tc>
        <w:tc>
          <w:tcPr>
            <w:tcW w:type="dxa" w:w="1134"/>
          </w:tcPr>
          <w:p>
            <w:pPr>
              <w:jc w:val="right"/>
            </w:pPr>
            <w:r>
              <w:t>(1)</w:t>
            </w:r>
          </w:p>
        </w:tc>
      </w:tr>
    </w:tbl>
    <w:p>
      <w:pPr>
        <w:pStyle w:val="MDPI31text"/>
      </w:pPr>
      <w:r>
        <w:t>where the proportionality constant $\varsigma$ encodes the memory of the dynamical system—both the memory of past price levels and the psychological state evoked by the current price and volatility—and $\varrho = \varsigma V_{\text{lot}}$ reabsorbs the mass into the prefactor. The golden-mean exponent $\phi$ connects the theory to the Fibonacci numbers that populate classical technical analysis. Setting $\phi = 1/2$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$N_{\text{lots}} = a_1 N_{\text{lots}}^{(1)} + a_2 N_{\text{lots}}^{(2)} + a_3 N_{\text{lots}}^{(3)}$, yielding a multi-fractional Brownian perspective in which the dominant operator category at any given instant can be inferred from the local scaling behaviour.</w:t>
      </w:r>
    </w:p>
    <w:p>
      <w:pPr>
        <w:pStyle w:val="MDPI31text"/>
      </w:pPr>
      <w:r>
        <w:t>The same relation can be read as a scale law for prices. If we set $\sigma(N_{\text{lots}}) = p(N_{\text{lots}}) - p_0$ with $p_0$ a reference price, the price level associated to a given number of traded lots obeys $p(N_{\text{lots}}) = \varrho N_{\text{lots}}^{\phi} + p_0$.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pPr>
        <w:pStyle w:val="MDPI22heading2"/>
      </w:pPr>
      <w:r>
        <w:t>2.2. Financial Fundamental Constants and the Financion</w:t>
      </w:r>
    </w:p>
    <w:p>
      <w:pPr>
        <w:pStyle w:val="MDPI31text"/>
      </w:pPr>
      <w:r>
        <w:t>To move from a scaling description to a genuine relativistic and quantum reformulation, MRQF introduces two finance-theoretic fundamental constants. The first is $C$, the maximum instantaneous speed at which price information propagates through the market in the absence of special geometries such as liquidity barriers or regulatory circuit breakers. Operationally, $C$ is defined as the supremum of the tick-to-tick price increment,</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t>$$C \;=\; \max_{i \ge 1} \bigl| p_i - p_{i-1} \bigr|,$$</w:t>
            </w:r>
          </w:p>
        </w:tc>
        <w:tc>
          <w:tcPr>
            <w:tcW w:type="dxa" w:w="1134"/>
          </w:tcPr>
          <w:p>
            <w:pPr>
              <w:jc w:val="right"/>
            </w:pPr>
            <w:r>
              <w:t>(2)</w:t>
            </w:r>
          </w:p>
        </w:tc>
      </w:tr>
    </w:tbl>
    <w:p>
      <w:pPr>
        <w:pStyle w:val="MDPI31text"/>
      </w:pPr>
      <w:r>
        <w:t>and it plays the role of a finance-specific analogue of the speed of light. Whenever an operator's implicit speed $p'$ is smaller than $C$ we are in a sub-relativistic regime in which a financial kinetic energy $T = \tfrac{1}{2} M (p')^2$ is meaningful; whenever the operator enters the market its rest-like financial energy saturates the bound $E_R = M C^2$ that sets the scale of the resources that the operator brings to the table.</w:t>
      </w:r>
    </w:p>
    <w:p>
      <w:pPr>
        <w:pStyle w:val="MDPI31text"/>
      </w:pPr>
      <w:r>
        <w:t>The second constant is $H$, the finance-theoretic quantum of action. MRQF posits that the elementary unit of price variation is one tenth of a PIP and that the elementary unit of time is one tick, so that $H = \tfrac{1}{10}\,\text{PIP} \cdot \text{tick}$. The product has the dimensions of an energy multiplied by a time, consistent with the role played by the Planck constant in quantum mechanics. The financion emitted or absorbed in an interaction between operators carries an energy quantum</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t>$$E_Q \;=\; H \nu \;=\; \frac{H C}{\lambda},$$</w:t>
            </w:r>
          </w:p>
        </w:tc>
        <w:tc>
          <w:tcPr>
            <w:tcW w:type="dxa" w:w="1134"/>
          </w:tcPr>
          <w:p>
            <w:pPr>
              <w:jc w:val="right"/>
            </w:pPr>
            <w:r>
              <w:t>(3)</w:t>
            </w:r>
          </w:p>
        </w:tc>
      </w:tr>
    </w:tbl>
    <w:p>
      <w:pPr>
        <w:pStyle w:val="MDPI31text"/>
      </w:pPr>
      <w:r>
        <w:t>where $\nu$ is the frequency at which the operator places orders and $\lambda$ is the corresponding wavelength of price evolution. Identifying $E_R$ with $E_Q$ at the instant in which the operator enters the market, and using the relation $\lambda = H / (M C)$, one recovers the MRQF formulation of the uncertainty principle $\sigma_p \sigma_q \ge H / (4\pi)$, which binds the precision of the price and the precision of the financial momentum. The two constants $C$ and $H$ must be calibrated per market and per instrument: they are not universal, but once fixed they provide a consistent frame in which scale laws, wavelengths and energy budgets all speak the same language.</w:t>
      </w:r>
    </w:p>
    <w:p>
      <w:pPr>
        <w:pStyle w:val="MDPI22heading2"/>
      </w:pPr>
      <w:r>
        <w:t>2.3. Market as Black Body and the Energy–Entropy Representation</w:t>
      </w:r>
    </w:p>
    <w:p>
      <w:pPr>
        <w:pStyle w:val="MDPI31text"/>
      </w:pPr>
      <w:r>
        <w:t>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$o^+ o^- \to x F$ with $x \ge 2$, the operator's relativistic energy is converted into a quantised packet of liquidity carried by financions. The market, modelled as a black body at temperature $T$, absorbs these packets, preserves them for the duration of the position, and releases them back into the phase space of the operators when positions are closed through the reverse reaction $F \to o^+ o^-$. At thermodynamic equilibrium the radiation law $I = \beta T^4$ and the displacement law $\lambda_{\max} = \gamma / T$ hold with suitable form factors, and the average number of financions per mode is given by the Planck-like expression</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t>$$\langle N_F \rangle \;=\; \frac{1}{\exp(H\nu / K T) - 1},$$</w:t>
            </w:r>
          </w:p>
        </w:tc>
        <w:tc>
          <w:tcPr>
            <w:tcW w:type="dxa" w:w="1134"/>
          </w:tcPr>
          <w:p>
            <w:pPr>
              <w:jc w:val="right"/>
            </w:pPr>
            <w:r>
              <w:t>(4)</w:t>
            </w:r>
          </w:p>
        </w:tc>
      </w:tr>
    </w:tbl>
    <w:p>
      <w:pPr>
        <w:pStyle w:val="MDPI31text"/>
      </w:pPr>
      <w:r>
        <w:t>with $K$ a constant that connects micro- and macro-scale views of the price signal, analogous to the Boltzmann constant. The standing-wave resonance condition $\lambda = 2 a / \ell$ identifies a discrete set of privileged price levels, offering a principled explanation of the static support and resistance levels that dominate technical analysis.</w:t>
      </w:r>
    </w:p>
    <w:p>
      <w:pPr>
        <w:pStyle w:val="MDPI31text"/>
      </w:pPr>
      <w:r>
        <w:t>Two state variables summarise the thermodynamic behaviour of the market at any instant: energy $E$ and entropy $S$. Trend phases—markup for bullish trends, markdown for bearish trends—are characterised by $E(t+\Delta t) \neq E(t)$ with $S(t+\Delta t) \simeq S(t)$: the market acquires or releases energy in an ordered way. Lateral phases—accumulation and distribution—are characterised instead by $E(t+\Delta t) \simeq E(t)$ with $S(t+\Delta t) &gt; S(t)$: the market conserves energy but dissipates it into thermal agitation. This qualitative dichotomy, made precise by the pair $(E,S)$, is what makes the energy–entropy plane the natural decision space for a trading system. Price–time charts expose the trader to noise at every scale; the $(E,S)$ plane removes the time axis altogether and replaces it with two state variables whose dynamics is far more stable. Figure 1 summarises the theoretical pipeline from the raw tick-by-tick price signal, through multiscale decomposition, to the trajectory on the $(E,S)$ plane.</w:t>
      </w:r>
    </w:p>
    <w:p>
      <w:pPr>
        <w:pStyle w:val="MDPI31text"/>
      </w:pPr>
      <w:r>
        <w:t>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$o^+ o^- \leftrightarrow x F$;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$C$ and $H$ should be read as instrument-level and venue-level calibration parameters rather than as universal physical constants: $C$ reflects the maximum tick-to-tick increment observed on the specific instrument on the specific venue, and $H$ is expressed in units of that instrument's PIP, which differs across currency pairs (for EUR/USD a PIP is $10^{-4}$ price units, for USD/JPY it is $10^{-2}$).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pPr>
        <w:pStyle w:val="MDPI52figure"/>
        <w:jc w:val="center"/>
      </w:pPr>
      <w:r>
        <w:drawing>
          <wp:inline xmlns:a="http://schemas.openxmlformats.org/drawingml/2006/main" xmlns:pic="http://schemas.openxmlformats.org/drawingml/2006/picture">
            <wp:extent cx="5040000" cy="1482353"/>
            <wp:docPr id="1" name="Picture 1"/>
            <wp:cNvGraphicFramePr>
              <a:graphicFrameLocks noChangeAspect="1"/>
            </wp:cNvGraphicFramePr>
            <a:graphic>
              <a:graphicData uri="http://schemas.openxmlformats.org/drawingml/2006/picture">
                <pic:pic>
                  <pic:nvPicPr>
                    <pic:cNvPr id="0" name="86dbf103603466e89edd3bb8f86d0ec50c76bfba.png"/>
                    <pic:cNvPicPr/>
                  </pic:nvPicPr>
                  <pic:blipFill>
                    <a:blip r:embed="rId18"/>
                    <a:stretch>
                      <a:fillRect/>
                    </a:stretch>
                  </pic:blipFill>
                  <pic:spPr>
                    <a:xfrm>
                      <a:off x="0" y="0"/>
                      <a:ext cx="5040000" cy="1482353"/>
                    </a:xfrm>
                    <a:prstGeom prst="rect"/>
                  </pic:spPr>
                </pic:pic>
              </a:graphicData>
            </a:graphic>
          </wp:inline>
        </w:drawing>
      </w:r>
    </w:p>
    <w:p>
      <w:pPr>
        <w:pStyle w:val="MDPI51figurecaption"/>
      </w:pPr>
      <w:r>
        <w:t>Figure 1. MRQF theoretical pipeline: (a) raw tick-by-tick price signal; (b) multiscale wavelet-like decomposition across timeframes; (c) projection of the resulting dynamics onto the $(E,S)$ plane, showing a representative trajectory from Hot Chaos to Dynamic Order.</w:t>
      </w:r>
    </w:p>
    <w:p>
      <w:pPr>
        <w:pStyle w:val="MDPI21heading1"/>
      </w:pPr>
      <w:r>
        <w:t>3. From MRQF Theory to Computational Representation</w:t>
      </w:r>
    </w:p>
    <w:p>
      <w:pPr>
        <w:pStyle w:val="MDPI31text"/>
      </w:pPr>
      <w:r>
        <w:t>The transition from theory to implementation requires operational definitions of the quantities that MRQF treats abstractly. In this section we specify how energy $E$, entropy $S$, the frequency spectrum and the resonance levels are extracted from a tick data stream, and how the decision state is augmented from a bare pair to a four-dimensional vector that carries probabilistic information suitable for decision making.</w:t>
      </w:r>
    </w:p>
    <w:p>
      <w:pPr>
        <w:pStyle w:val="MDPI22heading2"/>
      </w:pPr>
      <w:r>
        <w:t>3.1. Mapping Equations to Computable Features</w:t>
      </w:r>
    </w:p>
    <w:p>
      <w:pPr>
        <w:pStyle w:val="MDPI31text"/>
      </w:pPr>
      <w:r>
        <w:t>Consider a tick stream $\{(t_i, p_i)\}_{i=1}^N$ at the highest available resolution. Wavelet multi-resolution analysis decomposes the signal into a dyadic tree of approximation and detail coefficients $\{c_{j,k}, d_{j,k}\}$ indexed by scale $j$ and translation $k$,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$\phi_{\text{local}}$ via the slope of $\log \sigma_j$ against $\log 2^j$ in a log–log plot, with $\sigma_j$ the standard deviation of the detail coefficients at scale $j$. The scaling exponent thus becomes an observable quantity, updated online as new ticks arrive.</w:t>
      </w:r>
    </w:p>
    <w:p>
      <w:pPr>
        <w:pStyle w:val="MDPI31text"/>
      </w:pPr>
      <w:r>
        <w:t>The instantaneous energy $E(t)$ is defined as a rolling-window aggregation of absolute price displacement, normalised by the window volatility and rescaled to the ordinal band $E \in \{7, 8, \dots, 35\}$ consistent with the discretisation employed in the thermodynamic treatment [10]. The band structure is motivated by two convergent arguments: a finer granularity would increase the number of admissible states without changing the decisions taken, while a coarser granularity would collapse qualitatively distinct regimes. The instantaneous entropy $S(t)$ is defined, following the maximum-entropy principle [18], as the mean absolute deviation from the median of the price increments in the same rolling window, normalised and rescaled to $S \in \{0, 1, \dots, 12\}$. The choice of absolute deviation rather than variance prevents algebraic cancellation of opposing deviations and preserves robustness to outliers—a desirable property on ordinal scales where single large moves should dominate the signal. The pair $(E, S)$ provides the first two coordinates of the prospect environment state vector.</w:t>
      </w:r>
    </w:p>
    <w:p>
      <w:pPr>
        <w:pStyle w:val="MDPI31text"/>
      </w:pPr>
      <w:r>
        <w:t>Frequency content and resonance levels are extracted in a complementary way. The discrete Fourier transform of a windowed tick signal identifies peaks in the power spectrum, which correspond to the fundamental exchange frequencies $\nu$ of the MRQF formalism; when these frequencies satisfy the standing-wave condition $\nu = \ell C / (2a)$ for some integer $\ell$ and some interval length $a$, the corresponding price levels are candidate support and resistance lines. A resonance is considered structurally relevant when it survives across at least three consecutive windows and when its associated power remains above a threshold expressed in units of the local energy $E(t)$. This screening step is what distinguishes a genuine MRQF resonance from a transient spectral artefact produced by windowing.</w:t>
      </w:r>
    </w:p>
    <w:p>
      <w:pPr>
        <w:pStyle w:val="MDPI22heading2"/>
      </w:pPr>
      <w:r>
        <w:t>3.2. The Prospect Environment State Vector</w:t>
      </w:r>
    </w:p>
    <w:p>
      <w:pPr>
        <w:pStyle w:val="MDPI31text"/>
      </w:pPr>
      <w:r>
        <w:t>The raw pair $(E, S)$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[16] and the probabilistic extension proposed within the thermodynamic MRQF development [10,11], and consistent with recent work on decision-making under incomplete and uncertain information [31,32,39], we augment the state vector to a quadruple $(E, e, S, s)$ where $e$ is the probability of observing the current energy state given the history of the last window, and $s$ is the probability of observing the current entropy state under the same conditioning. The augmented vector lives in a four-dimensional space that we call the prospect environment (PE).</w:t>
      </w:r>
    </w:p>
    <w:p>
      <w:pPr>
        <w:pStyle w:val="MDPI31text"/>
      </w:pPr>
      <w:r>
        <w:t>The usefulness of the PE space is twofold. First, it provides a natural decision channel for a human supervisor overseeing the system: a high energy value accompanied by a low probability $e$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$(E,S)$ plane (Figure 3), which can be used to weight strategies proportionally to the confidence with which the current regime has been identified. Operationally, the probabilities $e$ and $s$ are estimated from the SKB by maintaining a two-dimensional empirical histogram of the historical occupancy of the $(E,S)$ plane, updated online with each new tick window. For a given current pair $(E_t, S_t)$, $e$ is the marginal frequency of the band $E_t$ in the last $W$ windows and $s$ is the analogous marginal for $S_t$, with $W$ chosen to span at least two regime cycles in the instrument under analysis (we use $W = 500$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pPr>
        <w:pStyle w:val="MDPI21heading1"/>
      </w:pPr>
      <w:r>
        <w:t>4. MRQF Multi-Agent Cooperative Architecture</w:t>
      </w:r>
    </w:p>
    <w:p>
      <w:pPr>
        <w:pStyle w:val="MDPI31text"/>
      </w:pPr>
      <w: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pPr>
        <w:pStyle w:val="MDPI52figure"/>
        <w:jc w:val="center"/>
      </w:pPr>
      <w:r>
        <w:drawing>
          <wp:inline xmlns:a="http://schemas.openxmlformats.org/drawingml/2006/main" xmlns:pic="http://schemas.openxmlformats.org/drawingml/2006/picture">
            <wp:extent cx="5040000" cy="3410862"/>
            <wp:docPr id="2" name="Picture 2"/>
            <wp:cNvGraphicFramePr>
              <a:graphicFrameLocks noChangeAspect="1"/>
            </wp:cNvGraphicFramePr>
            <a:graphic>
              <a:graphicData uri="http://schemas.openxmlformats.org/drawingml/2006/picture">
                <pic:pic>
                  <pic:nvPicPr>
                    <pic:cNvPr id="0" name="9f69b37eab66096cea01f44f7ffe53df1b253963.png"/>
                    <pic:cNvPicPr/>
                  </pic:nvPicPr>
                  <pic:blipFill>
                    <a:blip r:embed="rId19"/>
                    <a:stretch>
                      <a:fillRect/>
                    </a:stretch>
                  </pic:blipFill>
                  <pic:spPr>
                    <a:xfrm>
                      <a:off x="0" y="0"/>
                      <a:ext cx="5040000" cy="3410862"/>
                    </a:xfrm>
                    <a:prstGeom prst="rect"/>
                  </pic:spPr>
                </pic:pic>
              </a:graphicData>
            </a:graphic>
          </wp:inline>
        </w:drawing>
      </w:r>
    </w:p>
    <w:p>
      <w:pPr>
        <w:pStyle w:val="MDPI51figurecaption"/>
      </w:pPr>
      <w:r>
        <w:t>Figure 2. MRQF-MAS five-layer cooperative architecture. Horizontal arrows in Layer 4 denote peer-to-peer belief sharing among sub-agents; the green feedback arrow denotes the online update of the SKB from execution outcomes.</w:t>
      </w:r>
    </w:p>
    <w:p>
      <w:pPr>
        <w:pStyle w:val="MDPI22heading2"/>
      </w:pPr>
      <w:r>
        <w:t>4.1. Agent Taxonomy Derived from MRQF</w:t>
      </w:r>
    </w:p>
    <w:p>
      <w:pPr>
        <w:pStyle w:val="MDPI31text"/>
      </w:pPr>
      <w:r>
        <w:t>MRQF distinguishes three categories of financial operator on the basis of their economic function: institutional operators $o_i$, such as banks and credit institutions, whose size and mandate make them slow-moving but decisive; commercial operators $o_c$, such as firms hedging currency exposure tied to real-economy activity; and retail operators $o_r$, small- and medium-size speculative actors who act on short horizons. Each category admits a bullish variant $o^+$ and a bearish variant $o^-$,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pPr>
        <w:pStyle w:val="MDPI31text"/>
      </w:pPr>
      <w:r>
        <w:t>In MRQF-MAS we instantiate each of the three categories as a first-class agent. Agent $\mathcal{A}_i$ represents the institutional flow; agent $\mathcal{A}_c$ represents the commercial flow; agent $\mathcal{A}_r$ represents the retail flow. The three agents share access to the raw tick stream, but they differ in the estimators they apply to it: agent $\mathcal{A}_i$ aggregates over long windows and favours spectral estimators, agent $\mathcal{A}_c$ aggregates over medium windows with emphasis on macro-economic correlation, agent $\mathcal{A}_r$ aggregates over short windows with emphasis on order-book microstructure. The weights $(a_1, a_2, a_3)$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portmanteau of global and local that here denotes the simultaneous availability of per-agent (local) and aggregate (global) views of the dynamics to the decision layer.</w:t>
      </w:r>
    </w:p>
    <w:p>
      <w:pPr>
        <w:pStyle w:val="MDPI22heading2"/>
      </w:pPr>
      <w:r>
        <w:t>4.2. Sub-Agent Specialisation</w:t>
      </w:r>
    </w:p>
    <w:p>
      <w:pPr>
        <w:pStyle w:val="MDPI31text"/>
      </w:pPr>
      <w:r>
        <w:t>Each of the three operator-level agents is further decomposed into five specialised sub-agents. The Signal sub-agent performs the wavelet decomposition of the tick stream and estimates the local scaling exponent $\phi_{\text{local}}$; the Energy sub-agent maps the current window to a band $E \in \{7,\dots,35\}$; the Entropy sub-agent maps the same window to a band $S \in \{0,\dots,12\}$; the Risk sub-agent computes the reliability $R$ and the inter-sub-agent dispersion $\sigma$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pPr>
        <w:pStyle w:val="MDPI31text"/>
      </w:pPr>
      <w:r>
        <w:t>This internal decomposition is not arbitrary: it mirrors the structure of the MRQF theoretical development itself—scale law (Signal), state variables $E$ and $S$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pPr>
        <w:pStyle w:val="MDPI22heading2"/>
      </w:pPr>
      <w:r>
        <w:t>4.3. Cooperative Horizontal Layer</w:t>
      </w:r>
    </w:p>
    <w:p>
      <w:pPr>
        <w:pStyle w:val="MDPI31text"/>
      </w:pPr>
      <w: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pPr>
        <w:pStyle w:val="MDPI31text"/>
      </w:pPr>
      <w:r>
        <w:t>In MRQF-MAS we introduce a horizontal cooperation protocol in which sub-agents exchange belief messages directly. A belief message $\mu_{i \to j}$ sent from sub-agent $i$ to sub-agent $j$ carries a typed proposition (for example, "the current energy band is $E = 24$"), a confidence score $c_{i \to j} \in [0,1]$,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$\sigma$); competitive arbitration is applied when they are divergent (high $\sigma$), interpreted as a regime in which different sub-agents are receiving genuinely different information, and the most confident estimate is preserved while the others are recorded for later auditing. The consensus rule is formalised as</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t>$$\hat{x}_j \;=\; \begin{cases} \displaystyle \frac{\sum_i c_{i \to j}\, x_i + c_j x_j}{\sum_i c_{i \to j} + c_j} &amp; \text{if } \sigma \le \sigma^\star, \\[6pt] \displaystyle x_{i^\star} \text{ with } i^\star = \arg\max_i c_{i \to j} &amp; \text{if } \sigma &gt; \sigma^\star, \end{cases}$$</w:t>
            </w:r>
          </w:p>
        </w:tc>
        <w:tc>
          <w:tcPr>
            <w:tcW w:type="dxa" w:w="1134"/>
          </w:tcPr>
          <w:p>
            <w:pPr>
              <w:jc w:val="right"/>
            </w:pPr>
            <w:r>
              <w:t>(5)</w:t>
            </w:r>
          </w:p>
        </w:tc>
      </w:tr>
    </w:tbl>
    <w:p>
      <w:pPr>
        <w:pStyle w:val="MDPI31text"/>
      </w:pPr>
      <w:r>
        <w:t>with a threshold $\sigma^\star$ that defines the boundary between cooperation and competition. The threshold is set per instrument and per timeframe through a calibration procedure on a held-out segment of historical data: starting from a default $\sigma^\star = 0.20$ on the normalised confidence scale, the value is adjusted so that the frequency of competitive arbitration matches the empirical regime-shift rate of the instrument (typically 5–15% of windows). Once calibrated, $\sigma^\star$ is held constant during deployment, with periodic recalibration on a quarterly basis. We note the conceptual parallel with the MRQF interaction primitives: cooperative fusion is analogous to the elastic scattering $o^\pm \to o^\pm + F$ in which information is reshaped but not destroyed, while competitive arbitration is analogous to the annihilation $o^+ o^- \to x F$ in which one side of the pair prevails and the remainder is emitted as a radiated packet of information. The cooperation layer thereby inherits, rather than invents, the interaction primitives of MRQF.</w:t>
      </w:r>
    </w:p>
    <w:p>
      <w:pPr>
        <w:pStyle w:val="MDPI31text"/>
      </w:pPr>
      <w:r>
        <w:t>Three failure modes of the cooperation rule deserve explicit discussion, because they bound the operational regime in which the layer behaves as designed. The first is symmetric high-confidence disagreement: when two sub-agents emit opposite estimates with identical confidences $c_i = c_j$ exceeding the dispersion threshold $\sigma^\star$, the competitive branch of the consensus rule selects one of the two arbitrarily through the $\arg\max$ tie-break, and the system is briefly indistinguishable from a coin toss. We mitigate this mode by injecting a small jitter $\epsilon \sim 10^{-6}$ on the confidence scores during initialisation, ensuring strict ordering, and by logging tied competitive arbitrations for offline audit. The second failure mode is oscillation across the threshold: when the dispersion $\sigma$ hovers near $\sigma^\star$,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 Table 1 summarises the resulting mapping from physics (QED) through MRQF finance to the MRQF-MAS software layer.</w:t>
      </w:r>
    </w:p>
    <w:p>
      <w:pPr>
        <w:pStyle w:val="MDPI41tablecaption"/>
      </w:pPr>
      <w:r>
        <w:t>Table 1. Mapping from physics to finance to MAS.</w:t>
      </w:r>
    </w:p>
    <w:p>
      <w:pPr>
        <w:pStyle w:val="MDPI22heading2"/>
      </w:pPr>
      <w:r>
        <w:t>4.4. Shared Knowledge Base</w:t>
      </w:r>
    </w:p>
    <w:p>
      <w:pPr>
        <w:pStyle w:val="MDPI31text"/>
      </w:pPr>
      <w:r>
        <w:t>The final architectural component is the shared knowledge base (SKB), a persistent memory accessible to all sub-agents. The SKB stores three classes of objects. The first class comprises historical $(E, S)$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$R$ with scaling exponent $\phi_{\text{local}}$ in band $[\phi_-, \phi_+]$, then the historically observed transition probability to region $R'$ is $p$". These rules are induced from the SKB itself by a periodic off-line mining process and they are versioned so that agents can audit the rule set that was in force at the time of any historical decision.</w:t>
      </w:r>
    </w:p>
    <w:p>
      <w:pPr>
        <w:pStyle w:val="MDPI31text"/>
      </w:pPr>
      <w:r>
        <w:t>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$10^6$ ticks per trading session, each of which generates a single $(E,S)$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$e$ and $s$ cannot be estimated from history; we handle this cold-start regime by falling back to a uniform prior on the $(E,S)$ plane and by locking the system to probe-size trades—at most 10% of the nominal position size—for the first 500 windows, after which the empirical histograms have accumulated enough mass to support reliable density estimates. This conservative bootstrap is a small concession to operational realism and is documented in the reproducibility appendix. Table 2 summarises the inputs, outputs and primary role of each sub-agent.</w:t>
      </w:r>
    </w:p>
    <w:p>
      <w:pPr>
        <w:pStyle w:val="MDPI41tablecaption"/>
      </w:pPr>
      <w:r>
        <w:t>Table 2. Sub-agents: input, output and role.</w:t>
      </w:r>
    </w:p>
    <w:p>
      <w:pPr>
        <w:pStyle w:val="MDPI21heading1"/>
      </w:pPr>
      <w:r>
        <w:t>5. Interaction Dynamics: From Physics to MAS</w:t>
      </w:r>
    </w:p>
    <w:p>
      <w:pPr>
        <w:pStyle w:val="MDPI31text"/>
      </w:pPr>
      <w: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pPr>
        <w:pStyle w:val="MDPI22heading2"/>
      </w:pPr>
      <w:r>
        <w:t>5.1. Mapping MRQF Interactions to Agent Protocols</w:t>
      </w:r>
    </w:p>
    <w:p>
      <w:pPr>
        <w:pStyle w:val="MDPI31text"/>
      </w:pPr>
      <w:r>
        <w:t>The MRQF scattering reaction $o^+ \to o^+ + F$, together with its bearish counterpart $o^- \to o^- + F$,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[38],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pPr>
        <w:pStyle w:val="MDPI31text"/>
      </w:pPr>
      <w:r>
        <w:t>The MRQF annihilation reaction $o^+ o^- \to x F$ with $x \ge 2$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sub-agent but of the cooperative consensus reached at Section 4.3. The order is emitted 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pPr>
        <w:pStyle w:val="MDPI31text"/>
      </w:pPr>
      <w:r>
        <w:t>The MRQF pair-production reaction $F \to o^+ o^-$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$(E,S)$ trajectory and becomes part of the training data available to all agents in future decisions. This closes the architectural loop between theory and implementation: each MRQF interaction primitive has a concrete counterpart in the information-flow protocol of MRQF-MAS.</w:t>
      </w:r>
    </w:p>
    <w:p>
      <w:pPr>
        <w:pStyle w:val="MDPI21heading1"/>
      </w:pPr>
      <w:r>
        <w:t>6. Trading Framework</w:t>
      </w:r>
    </w:p>
    <w:p>
      <w:pPr>
        <w:pStyle w:val="MDPI31text"/>
      </w:pPr>
      <w:r>
        <w:t>The $(E, S)$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pPr>
        <w:pStyle w:val="MDPI52figure"/>
        <w:jc w:val="center"/>
      </w:pPr>
      <w:r>
        <w:drawing>
          <wp:inline xmlns:a="http://schemas.openxmlformats.org/drawingml/2006/main" xmlns:pic="http://schemas.openxmlformats.org/drawingml/2006/picture">
            <wp:extent cx="5040000" cy="4099941"/>
            <wp:docPr id="3" name="Picture 3"/>
            <wp:cNvGraphicFramePr>
              <a:graphicFrameLocks noChangeAspect="1"/>
            </wp:cNvGraphicFramePr>
            <a:graphic>
              <a:graphicData uri="http://schemas.openxmlformats.org/drawingml/2006/picture">
                <pic:pic>
                  <pic:nvPicPr>
                    <pic:cNvPr id="0" name="77d7691f31d0656d51a02e6ab2029d3f06ab9164.png"/>
                    <pic:cNvPicPr/>
                  </pic:nvPicPr>
                  <pic:blipFill>
                    <a:blip r:embed="rId20"/>
                    <a:stretch>
                      <a:fillRect/>
                    </a:stretch>
                  </pic:blipFill>
                  <pic:spPr>
                    <a:xfrm>
                      <a:off x="0" y="0"/>
                      <a:ext cx="5040000" cy="4099941"/>
                    </a:xfrm>
                    <a:prstGeom prst="rect"/>
                  </pic:spPr>
                </pic:pic>
              </a:graphicData>
            </a:graphic>
          </wp:inline>
        </w:drawing>
      </w:r>
    </w:p>
    <w:p>
      <w:pPr>
        <w:pStyle w:val="MDPI51figurecaption"/>
      </w:pPr>
      <w:r>
        <w:t>Figure 3. State space in the $(E,S)$ plane with nine operational subscenarios. Region I (Winter): low energy, low entropy; Region III (Spring): high energy, low entropy; Region VII (Autumn): low energy, high entropy; Region IX (Summer): high energy, high entropy. Green stars on the $S=0$ axis mark the fundamental attractors corresponding to dynamic order at different energy levels.</w:t>
      </w:r>
    </w:p>
    <w:p>
      <w:pPr>
        <w:pStyle w:val="MDPI22heading2"/>
      </w:pPr>
      <w:r>
        <w:t>6.1. Decision Space in the ES Plane</w:t>
      </w:r>
    </w:p>
    <w:p>
      <w:pPr>
        <w:pStyle w:val="MDPI31text"/>
      </w:pPr>
      <w:r>
        <w:t>The $(E, S)$ plane is partitioned into nine regions defined by the tertiles of both coordinates. Region I (low $E$, low $S$), which we term Winter, represents a quiescent market in which neither energy nor disorder is significant: the system is close to a thermal-death state and few opportunities are available. Region III (high $E$, low $S$), Spring, represents an ordered high-energy regime, which is the ideal regime for directional trend-following strategies. Region IX (high $E$, high $S$), Summer, represents a high-energy chaotic regime that is simultaneously the most opportunity-rich and the most dangerous. Region VII (low $E$, high $S$), Autumn, represents exhausted disorder: the market has already released its energy but still displays high entropy, and mean-reversion or fade strategies are favoured. The remaining five regions cover transitional and neutral states.</w:t>
      </w:r>
    </w:p>
    <w:p>
      <w:pPr>
        <w:pStyle w:val="MDPI31text"/>
      </w:pPr>
      <w:r>
        <w:t>Fundamental attractors—states with $S = 0$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pPr>
        <w:pStyle w:val="MDPI22heading2"/>
      </w:pPr>
      <w:r>
        <w:t>6.2. Strategy Classes</w:t>
      </w:r>
    </w:p>
    <w:p>
      <w:pPr>
        <w:pStyle w:val="MDPI31text"/>
      </w:pPr>
      <w:r>
        <w:t>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$R$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pPr>
        <w:pStyle w:val="MDPI31text"/>
      </w:pPr>
      <w: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 Table 3 summarises the activation region, the dominant agent and the size policy associated with each strategy class.</w:t>
      </w:r>
    </w:p>
    <w:p>
      <w:pPr>
        <w:pStyle w:val="MDPI41tablecaption"/>
      </w:pPr>
      <w:r>
        <w:t>Table 3. Strategy classes and their activation regions.</w:t>
      </w:r>
    </w:p>
    <w:p>
      <w:pPr>
        <w:pStyle w:val="MDPI22heading2"/>
      </w:pPr>
      <w:r>
        <w:t>6.3. Risk Management via Entropic Transitions</w:t>
      </w:r>
    </w:p>
    <w:p>
      <w:pPr>
        <w:pStyle w:val="MDPI31text"/>
      </w:pPr>
      <w:r>
        <w:t>Risk management in MRQF-MAS is governed by transitions on the $(E, S)$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pPr>
        <w:pStyle w:val="MDPI31text"/>
      </w:pPr>
      <w:r>
        <w:t>The quality vector $(E, e, S, s)$ described in Section 3.2 provides the control signal for the risk sub-agent. Low values of $e$ or $s$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$(E, S)$ pair, corresponds empirically to a reduction of worst-case drawdowns without a corresponding reduction in average return, as the synthetic case study of Section 8 will illustrate.</w:t>
      </w:r>
    </w:p>
    <w:p>
      <w:pPr>
        <w:pStyle w:val="MDPI21heading1"/>
      </w:pPr>
      <w:r>
        <w:t>7. Algorithmic Implementation</w:t>
      </w:r>
    </w:p>
    <w:p>
      <w:pPr>
        <w:pStyle w:val="MDPI31text"/>
      </w:pPr>
      <w:r>
        <w:t>We now specify the end-to-end algorithm that binds data ingestion, feature extraction, cooperative decision making and execution. Figure 4 provides a schematic of the full pipeline, while the pseudocode below gives the coordination algorithm in detail.</w:t>
      </w:r>
    </w:p>
    <w:p>
      <w:pPr>
        <w:pStyle w:val="MDPI52figure"/>
        <w:jc w:val="center"/>
      </w:pPr>
      <w:r>
        <w:drawing>
          <wp:inline xmlns:a="http://schemas.openxmlformats.org/drawingml/2006/main" xmlns:pic="http://schemas.openxmlformats.org/drawingml/2006/picture">
            <wp:extent cx="5040000" cy="1863529"/>
            <wp:docPr id="4" name="Picture 4"/>
            <wp:cNvGraphicFramePr>
              <a:graphicFrameLocks noChangeAspect="1"/>
            </wp:cNvGraphicFramePr>
            <a:graphic>
              <a:graphicData uri="http://schemas.openxmlformats.org/drawingml/2006/picture">
                <pic:pic>
                  <pic:nvPicPr>
                    <pic:cNvPr id="0" name="04ad1bf59b0b7a48f944f24d8219df4080c18cd5.png"/>
                    <pic:cNvPicPr/>
                  </pic:nvPicPr>
                  <pic:blipFill>
                    <a:blip r:embed="rId21"/>
                    <a:stretch>
                      <a:fillRect/>
                    </a:stretch>
                  </pic:blipFill>
                  <pic:spPr>
                    <a:xfrm>
                      <a:off x="0" y="0"/>
                      <a:ext cx="5040000" cy="1863529"/>
                    </a:xfrm>
                    <a:prstGeom prst="rect"/>
                  </pic:spPr>
                </pic:pic>
              </a:graphicData>
            </a:graphic>
          </wp:inline>
        </w:drawing>
      </w:r>
    </w:p>
    <w:p>
      <w:pPr>
        <w:pStyle w:val="MDPI51figurecaption"/>
      </w:pPr>
      <w:r>
        <w:t>Figure 4. MRQF-MAS end-to-end algorithmic pipeline: data ingestion, feature extraction, $(E,S)$ mapping, cooperative agents, shared knowledge base, meta-orchestrator and execution. The feedback arrow represents the online update of the SKB from realised execution outcomes.</w:t>
      </w:r>
    </w:p>
    <w:p>
      <w:pPr>
        <w:pStyle w:val="MDPI22heading2"/>
      </w:pPr>
      <w:r>
        <w:t>7.1. End-to-End Pipeline</w:t>
      </w:r>
    </w:p>
    <w:p>
      <w:pPr>
        <w:pStyle w:val="MDPI31text"/>
      </w:pPr>
      <w:r>
        <w:t>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$E$, the entropy $S$ and the spectral resonances. The feature vector is then mapped to the prospect environment state $(E, e, S, s)$ described in Section 3.2, with the probabilities $e$ and $s$ computed by matching the current position on the plane against the historical occupancy density stored in the shared knowledge base.</w:t>
      </w:r>
    </w:p>
    <w:p>
      <w:pPr>
        <w:pStyle w:val="MDPI31text"/>
      </w:pPr>
      <w:r>
        <w:t>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$(E, S)$ outcome, closing the loop. The feedback step is critical: without it, the system would operate on a static SKB and would lose the adaptation capacity that MRQF-MAS is designed to provide.</w:t>
      </w:r>
    </w:p>
    <w:p>
      <w:pPr>
        <w:pStyle w:val="MDPI22heading2"/>
      </w:pPr>
      <w:r>
        <w:t>7.2. Cooperative Coordination Algorithm</w:t>
      </w:r>
    </w:p>
    <w:p>
      <w:pPr>
        <w:pStyle w:val="MDPI31text"/>
      </w:pPr>
      <w:r>
        <w:t>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(\texttt{buy}, \texttt{sell} or \texttt{hold}), a nominal size expressed as a fraction of the maximum admissible position, and a reliability score in $[0,1]$;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increasingly impose on algorithmic trading systems [17]. Third, the SKB update is append-only and is tagged with the hash of the complete decision context, so that every historical entry can be traced back to the exact inputs that produced it.</w:t>
      </w:r>
    </w:p>
    <w:p>
      <w:pPr>
        <w:pStyle w:val="MDPI31text"/>
      </w:pPr>
      <w:r>
        <w:t>A reinforcement-learning layer may optionally be added on top of this deterministic core. The cooperative consensus provides a warm-start policy $\pi_0(a | s) = (1 - \epsilon)\, \delta_{\pi_{\text{MRQF}}}(a | s) + \epsilon\, U(\mathcal{A})$, with a small exploration coefficient $\epsilon \in [0.05, 0.10]$,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pPr>
        <w:pStyle w:val="MDPI35textbeforelist"/>
      </w:pPr>
      <w:r>
        <w:t>Algorithm 1. MRQF-MAS Cooperative Coordination.</w:t>
      </w:r>
    </w:p>
    <w:p>
      <w:pPr>
        <w:pStyle w:val="MDPI37itemize"/>
      </w:pPr>
      <w:r>
        <w:t>Input : Tick stream T; Shared knowledge base SKB; Cooperation threshold sigma*</w:t>
      </w:r>
    </w:p>
    <w:p>
      <w:pPr>
        <w:pStyle w:val="MDPI37itemize"/>
      </w:pPr>
      <w:r>
        <w:t>Output: Stream of order specifications O</w:t>
      </w:r>
    </w:p>
    <w:p>
      <w:pPr>
        <w:pStyle w:val="MDPI37itemize"/>
      </w:pPr>
      <w:r>
        <w:t>1.  while T is open do</w:t>
      </w:r>
    </w:p>
    <w:p>
      <w:pPr>
        <w:pStyle w:val="MDPI37itemize"/>
      </w:pPr>
      <w:r>
        <w:t>2.      W &lt;- read_next_window(T)</w:t>
      </w:r>
    </w:p>
    <w:p>
      <w:pPr>
        <w:pStyle w:val="MDPI37itemize"/>
      </w:pPr>
      <w:r>
        <w:t>3.      (wavelet, phi_local) &lt;- Signal.decompose(W)</w:t>
      </w:r>
    </w:p>
    <w:p>
      <w:pPr>
        <w:pStyle w:val="MDPI37itemize"/>
      </w:pPr>
      <w:r>
        <w:t>4.      E, S &lt;- Energy_Entropy.estimate(W, wavelet)</w:t>
      </w:r>
    </w:p>
    <w:p>
      <w:pPr>
        <w:pStyle w:val="MDPI37itemize"/>
      </w:pPr>
      <w:r>
        <w:t>5.      (e, s) &lt;- SKB.probabilities(E, S)</w:t>
      </w:r>
    </w:p>
    <w:p>
      <w:pPr>
        <w:pStyle w:val="MDPI37itemize"/>
      </w:pPr>
      <w:r>
        <w:t>6.      State &lt;- (E, e, S, s, phi_local)</w:t>
      </w:r>
    </w:p>
    <w:p>
      <w:pPr>
        <w:pStyle w:val="MDPI37itemize"/>
      </w:pPr>
      <w:r>
        <w:t>7.      foreach agent A in {A_i, A_c, A_r} do</w:t>
      </w:r>
    </w:p>
    <w:p>
      <w:pPr>
        <w:pStyle w:val="MDPI37itemize"/>
      </w:pPr>
      <w:r>
        <w:t>8.          Local[A] &lt;- A.estimate(State)</w:t>
      </w:r>
    </w:p>
    <w:p>
      <w:pPr>
        <w:pStyle w:val="MDPI37itemize"/>
      </w:pPr>
      <w:r>
        <w:t>9.      foreach specialisation k in {Signal, Energy, Entropy, Risk, Execution} do</w:t>
      </w:r>
    </w:p>
    <w:p>
      <w:pPr>
        <w:pStyle w:val="MDPI37itemize"/>
      </w:pPr>
      <w:r>
        <w:t>10.         BeliefMessages &lt;- {Local[A].sub[k] for A in {A_i, A_c, A_r}}</w:t>
      </w:r>
    </w:p>
    <w:p>
      <w:pPr>
        <w:pStyle w:val="MDPI37itemize"/>
      </w:pPr>
      <w:r>
        <w:t>11.         sigma_k &lt;- dispersion(BeliefMessages)</w:t>
      </w:r>
    </w:p>
    <w:p>
      <w:pPr>
        <w:pStyle w:val="MDPI37itemize"/>
      </w:pPr>
      <w:r>
        <w:t>12.         if sigma_k &lt;= sigma* then</w:t>
      </w:r>
    </w:p>
    <w:p>
      <w:pPr>
        <w:pStyle w:val="MDPI37itemize"/>
      </w:pPr>
      <w:r>
        <w:t>13.             Consensus[k] &lt;- weighted_average(BeliefMessages)</w:t>
      </w:r>
    </w:p>
    <w:p>
      <w:pPr>
        <w:pStyle w:val="MDPI37itemize"/>
      </w:pPr>
      <w:r>
        <w:t>14.                            // returns scalar value x_hat</w:t>
      </w:r>
    </w:p>
    <w:p>
      <w:pPr>
        <w:pStyle w:val="MDPI37itemize"/>
      </w:pPr>
      <w:r>
        <w:t>15.         else</w:t>
      </w:r>
    </w:p>
    <w:p>
      <w:pPr>
        <w:pStyle w:val="MDPI37itemize"/>
      </w:pPr>
      <w:r>
        <w:t>16.             Consensus[k] &lt;- argmax_value(BeliefMessages)</w:t>
      </w:r>
    </w:p>
    <w:p>
      <w:pPr>
        <w:pStyle w:val="MDPI37itemize"/>
      </w:pPr>
      <w:r>
        <w:t>17.                            // returns the x_i carried by the highest-</w:t>
      </w:r>
    </w:p>
    <w:p>
      <w:pPr>
        <w:pStyle w:val="MDPI37itemize"/>
      </w:pPr>
      <w:r>
        <w:t>18.                            // confidence message</w:t>
      </w:r>
    </w:p>
    <w:p>
      <w:pPr>
        <w:pStyle w:val="MDPI37itemize"/>
      </w:pPr>
      <w:r>
        <w:t>19.     foreach agent A do</w:t>
      </w:r>
    </w:p>
    <w:p>
      <w:pPr>
        <w:pStyle w:val="MDPI37itemize"/>
      </w:pPr>
      <w:r>
        <w:t>20.         Proposal[A] &lt;- A.consolidate(Consensus)</w:t>
      </w:r>
    </w:p>
    <w:p>
      <w:pPr>
        <w:pStyle w:val="MDPI37itemize"/>
      </w:pPr>
      <w:r>
        <w:t>21.     order &lt;- MetaOrchestrator.arbitrate(Proposal, Risk_gating=(E,e,S,s))</w:t>
      </w:r>
    </w:p>
    <w:p>
      <w:pPr>
        <w:pStyle w:val="MDPI37itemize"/>
      </w:pPr>
      <w:r>
        <w:t>22.     emit(order, O)</w:t>
      </w:r>
    </w:p>
    <w:p>
      <w:pPr>
        <w:pStyle w:val="MDPI37itemize"/>
      </w:pPr>
      <w:r>
        <w:t>23.     Outcome &lt;- Execution.execute(order)</w:t>
      </w:r>
    </w:p>
    <w:p>
      <w:pPr>
        <w:pStyle w:val="MDPI37itemize"/>
      </w:pPr>
      <w:r>
        <w:t>24.     SKB.append(State, order, Outcome)</w:t>
      </w:r>
    </w:p>
    <w:p>
      <w:pPr>
        <w:pStyle w:val="MDPI37itemize"/>
      </w:pPr>
      <w:r>
        <w:t>25. end while</w:t>
      </w:r>
    </w:p>
    <w:p>
      <w:pPr>
        <w:pStyle w:val="MDPI21heading1"/>
      </w:pPr>
      <w:r>
        <w:t>8. Synthetic EUR/USD Case Study</w:t>
      </w:r>
    </w:p>
    <w:p>
      <w:pPr>
        <w:pStyle w:val="MDPI31text"/>
      </w:pPr>
      <w:r>
        <w:t>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$(E, S)$ plane behaves as predicted. An overview of the resulting tick series is shown in Figure 5.</w:t>
      </w:r>
    </w:p>
    <w:p>
      <w:pPr>
        <w:pStyle w:val="MDPI52figure"/>
        <w:jc w:val="center"/>
      </w:pPr>
      <w:r>
        <w:drawing>
          <wp:inline xmlns:a="http://schemas.openxmlformats.org/drawingml/2006/main" xmlns:pic="http://schemas.openxmlformats.org/drawingml/2006/picture">
            <wp:extent cx="5040000" cy="3192411"/>
            <wp:docPr id="5" name="Picture 5"/>
            <wp:cNvGraphicFramePr>
              <a:graphicFrameLocks noChangeAspect="1"/>
            </wp:cNvGraphicFramePr>
            <a:graphic>
              <a:graphicData uri="http://schemas.openxmlformats.org/drawingml/2006/picture">
                <pic:pic>
                  <pic:nvPicPr>
                    <pic:cNvPr id="0" name="63f6b8d4790b659471f2264181753247c162d360.png"/>
                    <pic:cNvPicPr/>
                  </pic:nvPicPr>
                  <pic:blipFill>
                    <a:blip r:embed="rId22"/>
                    <a:stretch>
                      <a:fillRect/>
                    </a:stretch>
                  </pic:blipFill>
                  <pic:spPr>
                    <a:xfrm>
                      <a:off x="0" y="0"/>
                      <a:ext cx="5040000" cy="3192411"/>
                    </a:xfrm>
                    <a:prstGeom prst="rect"/>
                  </pic:spPr>
                </pic:pic>
              </a:graphicData>
            </a:graphic>
          </wp:inline>
        </w:drawing>
      </w:r>
    </w:p>
    <w:p>
      <w:pPr>
        <w:pStyle w:val="MDPI51figurecaption"/>
      </w:pPr>
      <w:r>
        <w:t>Figure 5. Synthetic EUR/USD case study: (a) tick realisation (N=2000); (b) volatility scaling log–log, measured $\phi_{\text{est}}=0.469$ vs MRQF target $\phi=0.618$; (c) rolling estimates of $E(t)$ and $S(t)$; (d) trajectory in the $(E,S)$ plane with colour-coded time progression.</w:t>
      </w:r>
    </w:p>
    <w:p>
      <w:pPr>
        <w:pStyle w:val="MDPI31text"/>
      </w:pPr>
      <w:r>
        <w:t>The synthetic data is generated from a fractionally integrated innovation process with target scaling exponent $\phi = 0.618$ and baseline price level consistent with the EUR/USD spot rate observed in recent months. Figure 5(a) shows a representative 2000-tick realisation; the visual appearance reproduces the alternation of directional moves and consolidation that is familiar from real tick data. Figure 5(b) shows the volatility scaling in log–log coordinates: the slope of the measured points is $\phi_{\text{est}} = 0.469$, close to but below the nominal value $\phi = 0.618$.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$\phi_{\text{local}}$ estimates in the range $[0.43, 0.51]$, and the Risk sub-agent reflects the discrepancy in its reliability score $R$.</w:t>
      </w:r>
    </w:p>
    <w:p>
      <w:pPr>
        <w:pStyle w:val="MDPI31text"/>
      </w:pPr>
      <w:r>
        <w:t>Figure 5(c) shows the rolling estimates of $E(t)$ and $S(t)$ along the same realisation. Both time series fluctuate in the narrow band that the scale discretisation imposes, but the joint evolution visible in Figure 5(d) shows that the trajectory visits a restricted region of the plane, concentrated around $(E, S) \approx (20, 7)$,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$\phi=0.618$ and the measured $\phi_{\text{est}}=0.469$ is also attributable to the finite-sample bias of wavelet-based scaling estimators, which is well documented in the Hurst-exponent literature and is known to systematically under-estimate the true exponent on samples below $N \approx 10^4$ ticks [37]. The MRQF-MAS reliability sub-agent reflects this epistemic uncertainty in its score $R$, and the cooperative consensus is correspondingly cautious.</w:t>
      </w:r>
    </w:p>
    <w:p>
      <w:pPr>
        <w:pStyle w:val="MDPI31text"/>
      </w:pPr>
      <w:r>
        <w:t>Two observations deserve emphasis. The first is that the trajectory on the plane is remarkably stable: successive points in Figure 5(d) remain within a localised cluster, without the high-frequency oscillation that would be visible in a price–time plot of the same data. This stability is the structural reason why the $(E, S)$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 Table 4 reports the metrics produced by MRQF-MAS on this synthetic realisation.</w:t>
      </w:r>
    </w:p>
    <w:p>
      <w:pPr>
        <w:pStyle w:val="MDPI41tablecaption"/>
      </w:pPr>
      <w:r>
        <w:t>Table 4. Case-study metrics produced by MRQF-MAS on the synthetic EUR/USD realisation.</w:t>
      </w:r>
    </w:p>
    <w:p>
      <w:pPr>
        <w:pStyle w:val="MDPI21heading1"/>
      </w:pPr>
      <w:r>
        <w:t>9. Limits of the Quantum-Relativistic Analogy</w:t>
      </w:r>
    </w:p>
    <w:p>
      <w:pPr>
        <w:pStyle w:val="MDPI31text"/>
      </w:pPr>
      <w: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pPr>
        <w:pStyle w:val="MDPI31text"/>
      </w:pPr>
      <w:r>
        <w:t>The terms financion, scattering, annihilation, pair production, black-body market and quantum of action $H$ appear in the MRQF literature [8,9] and in this paper as names for well-defined mathematical objects in a formal framework, not as physical entities endowed with microphysical existence. The financion is the unit of interaction defined inside MRQF through the reactions $o^+ o^- \leftrightarrow x F$;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interpretable state variables, not a claim that the market radiates photons. The constants $C$ and $H$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pPr>
        <w:pStyle w:val="MDPI31text"/>
      </w:pPr>
      <w:r>
        <w:t>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$(E, S)$ and a decomposition of operator types into interacting populations. The falsifiable content of the theory lies in the predictive utility of the $(E, S)$ decision space and in the testable claim that its trajectories carry information not available in the price–time plane alone. This is a defensible empirical claim, and it is the claim we subject to quantitative scrutiny in the extended backtest of Section 10.</w:t>
      </w:r>
    </w:p>
    <w:p>
      <w:pPr>
        <w:pStyle w:val="MDPI31text"/>
      </w:pPr>
      <w: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pPr>
        <w:pStyle w:val="MDPI21heading1"/>
      </w:pPr>
      <w:r>
        <w:t>10. Extended Empirical Validation</w:t>
      </w:r>
    </w:p>
    <w:p>
      <w:pPr>
        <w:pStyle w:val="MDPI31text"/>
      </w:pPr>
      <w:r>
        <w:t>The synthetic case study of Section 8 was designed as a consistency check for the $(E,S)$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$(E,S)$ region map; claiming direct profit extraction would be over-reach, while claiming a structured regime filter is both defensible and operationally useful as a pre-processing layer for downstream decision systems.</w:t>
      </w:r>
    </w:p>
    <w:p>
      <w:pPr>
        <w:pStyle w:val="MDPI31text"/>
      </w:pPr>
      <w:r>
        <w:t>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$-0.5$ basis points with standard deviation of $77.6$ basis points; excess kurtosis is $3.46$ and skewness is essentially zero, consistent with the leptokurtic, near-symmetric distribution documented for major FX pairs in the stylised-facts literature [27]. This real-data profile differs 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pPr>
        <w:pStyle w:val="MDPI31text"/>
      </w:pPr>
      <w:r>
        <w:t>The evaluation metric is the classification performance against a high-volatility regime indicator defined as the realised 22-day standard deviation exceeding its trailing 80th percentile, a standard construction in the regime-switching literature [22]. The threshold amounts to $89.3$ basis points, and $19.9\%$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pPr>
        <w:pStyle w:val="MDPI31text"/>
      </w:pPr>
      <w:r>
        <w:t>Three non-trivial baselines are considered. The rolling-volatility threshold classifier mirrors the ground-truth construction with a shorter calibration window, and represents the simplest practitioner heuristic. The Generalized Autoregressive Conditional Heteroscedasticity (GARCH)-like classifier fits a $(1,1)$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$\omega=10^{-8}$, $\alpha=0.10$, $\beta=0.85$ and represents an out-of-the-box deployment without parameter fitting. The second variant, GARCH-fitted, estimates $(\omega, \alpha, \beta)$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$\omega=2.50 \times 10^{-7}$, $\alpha=0.0320$, $\beta=0.9642$, with persistence $\alpha+\beta=0.9962$ consistent with the near-unit-root behaviour widely documented for major FX series [22,27]. The momentum classifier flags regimes based on the magnitude of cumulative 22-day returns and plays the role of a non-volatility competitor. MRQF-MAS is run as specified in Sections 4–7, with the same threshold $\sigma^\star = 0.20$, the same nine-band decomposition and the same golden-ratio cooperation weight $\varphi = 0.618$ used in the earlier analyses.</w:t>
      </w:r>
    </w:p>
    <w:p>
      <w:pPr>
        <w:pStyle w:val="MDPI31text"/>
      </w:pPr>
      <w:r>
        <w:t>Table 5 reports the metrics together with bootstrap 95% confidence intervals on the Matthews correlation coefficient (1000 resamples with replacement of the evaluation set). MRQF-MAS attains an accuracy of $0.885$, a precision of $0.816$, a recall of $0.542$, an F1 score of $0.652$, MCC $0.604$ with 95% CI $[0.57, 0.64]$, and a median detection latency of two trading days. The rolling-volatility baseline attains $0.866$, $0.722$, $0.532$, $0.612$ and MCC $0.543$ with 95% CI $[0.51, 0.58]$; the MRQF-MAS improvement of $+0.061$ MCC points over this baseline is statistically significant under the bootstrap test, with non-overlapping confidence intervals. The GARCH(1,1) variant with literature-default coefficients attains accuracy $0.889$, F1 $0.721$ and MCC $0.651$ with 95% CI $[0.62, 0.68]$, slightly above MRQF-MAS on aggregate F1 and MCC. The MLE-fitted GARCH variant raises this further to MCC $0.694$ with 95% CI $[0.66, 0.72]$, F1 $0.755$, accuracy $0.902$, precision $0.753$ and recall $0.758$, opening a statistically significant gap of approximately $0.09$ MCC points over MRQF-MAS with non-overlapping confidence intervals. The momentum classifier lags both ($0.749$ accuracy, $0.376$ F1, $0.219$ MCC), confirming that directional persistence is a weak indicator of volatility regimes on daily FX data.</w:t>
      </w:r>
    </w:p>
    <w:p>
      <w:pPr>
        <w:pStyle w:val="MDPI31text"/>
      </w:pPr>
      <w:r>
        <w:t>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$(E,S)$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pPr>
        <w:pStyle w:val="MDPI31text"/>
      </w:pPr>
      <w:r>
        <w:t>It is therefore useful to state explicitly the theoretical relationship between the two approaches. GARCH is a univariate parametric model of conditional variance: it specifies a single latent quantity $\sigma^2_t$ that evolves as an autoregressive function of past squared innovations and of its own lagged values, and uses a threshold on $\sigma^2_t$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$\varphi$.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pPr>
        <w:pStyle w:val="MDPI31text"/>
      </w:pPr>
      <w:r>
        <w:t>The precision-recall profile of MRQF-MAS deserves a separate comment, because it is by design rather than by accident. Recall of $0.54$ corresponds to approximately 54% of high-volatility days being flagged, against 81% precision on the days that are flagged. Figure 7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$\sigma^\star$ would increase recall at the cost of precision; the sensitivity analysis of Section 11 shows that the trade-off can be tuned along a smooth curve. The default $\sigma^\star = 0.20$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$\sigma^\star = 0.15$, which would push MCC to approximately $0.67$ and bring MRQF-MAS within $0.02$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$(E,S)$ plane—is independent of a fine threshold tuning that would conflict with the spirit of an a priori, theoretically motivated parameterisation. The GARCH-like baseline, with precision $0.72$ and recall $0.72$, occupies a different point on the same Pareto frontier and is the natural choice when the consumer tolerates more false alarms.</w:t>
      </w:r>
    </w:p>
    <w:p>
      <w:pPr>
        <w:pStyle w:val="MDPI31text"/>
      </w:pPr>
      <w:r>
        <w:t>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$0.172$) yields MCC $0.587$, accuracy $0.891$, precision $0.740$ and recall $0.570$. The post-split sub-sample (1171 observations from 2013 to 2026, covering the 2014 oil-price collapse, the 2020 COVID shock and the 2022 Ukraine crisis, regime base rate $0.248$) yields MCC $0.640$, accuracy $0.873$, precision $0.961$ and recall $0.507$.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$\chi^2 = 53.7$ ($p &lt; 10^{-3}$),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 Table 8 decomposes these metrics across the pre-split and post-split sub-samples.</w:t>
      </w:r>
    </w:p>
    <w:p>
      <w:pPr>
        <w:pStyle w:val="MDPI31text"/>
      </w:pPr>
      <w:r>
        <w:t>Figure 6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($83\%$ detection rate, matching the ground-truth 83%). The 2020 COVID shock is partially captured ($45\%$ MRQF-MAS, $59\%$ rolling-vol against $59\%$ ground truth), reflecting the extreme narrowness of the event and the 22-day window effect. The 2010 European sovereign debt episode is detected markedly better by MRQF-MAS ($42\%$) than by rolling-vol ($9\%$), 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$-0.63\%$ on that date (approximately $1.1\sigma$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$0.48$)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 The per-episode detection rates are reported in Table 7.</w:t>
      </w:r>
    </w:p>
    <w:p>
      <w:pPr>
        <w:pStyle w:val="MDPI31text"/>
      </w:pPr>
      <w:r>
        <w:t>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$0.816$ to $0.763$ and MCC from $0.604$ to $0.591$, while recall increases marginally from $0.542$ to $0.571$: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$(E,S)$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$(E,S)$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pPr>
        <w:pStyle w:val="MDPI31text"/>
      </w:pPr>
      <w: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pPr>
        <w:pStyle w:val="MDPI52figure"/>
        <w:jc w:val="center"/>
      </w:pPr>
      <w:r>
        <w:drawing>
          <wp:inline xmlns:a="http://schemas.openxmlformats.org/drawingml/2006/main" xmlns:pic="http://schemas.openxmlformats.org/drawingml/2006/picture">
            <wp:extent cx="5040000" cy="1798353"/>
            <wp:docPr id="6" name="Picture 6"/>
            <wp:cNvGraphicFramePr>
              <a:graphicFrameLocks noChangeAspect="1"/>
            </wp:cNvGraphicFramePr>
            <a:graphic>
              <a:graphicData uri="http://schemas.openxmlformats.org/drawingml/2006/picture">
                <pic:pic>
                  <pic:nvPicPr>
                    <pic:cNvPr id="0" name="5f959ce10d672d7bd140eeedf1d0ac432b454c2b.png"/>
                    <pic:cNvPicPr/>
                  </pic:nvPicPr>
                  <pic:blipFill>
                    <a:blip r:embed="rId23"/>
                    <a:stretch>
                      <a:fillRect/>
                    </a:stretch>
                  </pic:blipFill>
                  <pic:spPr>
                    <a:xfrm>
                      <a:off x="0" y="0"/>
                      <a:ext cx="5040000" cy="1798353"/>
                    </a:xfrm>
                    <a:prstGeom prst="rect"/>
                  </pic:spPr>
                </pic:pic>
              </a:graphicData>
            </a:graphic>
          </wp:inline>
        </w:drawing>
      </w:r>
    </w:p>
    <w:p>
      <w:pPr>
        <w:pStyle w:val="MDPI51figurecaption"/>
      </w:pPr>
      <w:r>
        <w:t>Figure 6.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p>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p>
      <w:pPr>
        <w:pStyle w:val="MDPI41tablecaption"/>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p>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p>
      <w:pPr>
        <w:pStyle w:val="MDPI41tablecaption"/>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pPr>
        <w:pStyle w:val="MDPI52figure"/>
        <w:jc w:val="center"/>
      </w:pPr>
      <w:r>
        <w:drawing>
          <wp:inline xmlns:a="http://schemas.openxmlformats.org/drawingml/2006/main" xmlns:pic="http://schemas.openxmlformats.org/drawingml/2006/picture">
            <wp:extent cx="5040000" cy="3682021"/>
            <wp:docPr id="7" name="Picture 7"/>
            <wp:cNvGraphicFramePr>
              <a:graphicFrameLocks noChangeAspect="1"/>
            </wp:cNvGraphicFramePr>
            <a:graphic>
              <a:graphicData uri="http://schemas.openxmlformats.org/drawingml/2006/picture">
                <pic:pic>
                  <pic:nvPicPr>
                    <pic:cNvPr id="0" name="5c3b2910fa051cef9634a1af41ddbb39fbfc2e45.png"/>
                    <pic:cNvPicPr/>
                  </pic:nvPicPr>
                  <pic:blipFill>
                    <a:blip r:embed="rId24"/>
                    <a:stretch>
                      <a:fillRect/>
                    </a:stretch>
                  </pic:blipFill>
                  <pic:spPr>
                    <a:xfrm>
                      <a:off x="0" y="0"/>
                      <a:ext cx="5040000" cy="3682021"/>
                    </a:xfrm>
                    <a:prstGeom prst="rect"/>
                  </pic:spPr>
                </pic:pic>
              </a:graphicData>
            </a:graphic>
          </wp:inline>
        </w:drawing>
      </w:r>
    </w:p>
    <w:p>
      <w:pPr>
        <w:pStyle w:val="MDPI51figurecaption"/>
      </w:pPr>
      <w:r>
        <w:t>Figure 7.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pPr>
        <w:pStyle w:val="MDPI21heading1"/>
      </w:pPr>
      <w:r>
        <w:t>11. Sensitivity and Complexity Analysis</w:t>
      </w:r>
    </w:p>
    <w:p>
      <w:pPr>
        <w:pStyle w:val="MDPI31text"/>
      </w:pPr>
      <w:r>
        <w:t>Reviewers raised two legitimate concerns about the robustness and the practical feasibility of the architecture: the dependence of the results on the hyperparameters $\phi$, $\sigma^\star$ and on the granularity of the $(E, S)$ bands; and the computational cost of a design that instantiates three operator-level agents, each decomposed into five sub-agents, with a lateral cooperation protocol. This section addresses both concerns quantitatively.</w:t>
      </w:r>
    </w:p>
    <w:p>
      <w:pPr>
        <w:pStyle w:val="MDPI31text"/>
      </w:pPr>
      <w:r>
        <w:t>The sensitivity analysis was performed by sweeping each of the three hyperparameters over a realistic range while keeping the others at their default values, and by re-running the regime-detection pipeline of Section 10 on the real ECB EUR/USD series. The scaling exponent $\phi$ was varied through the proxy of the scaling-window length $W$, which controls how many observations are aggregated in the feature extraction step and thereby determines the effective Hurst-like exponent captured by the Signal sub-agent; values of $W$ between 100 and 1500 business days correspond to proxied $\phi$ values between $0.45$ and $0.75$. The cooperation threshold $\sigma^\star$ was varied between $0.10$ and $0.50$ around its default of $0.20$;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pPr>
        <w:pStyle w:val="MDPI31text"/>
      </w:pPr>
      <w:r>
        <w:t>Figure 8 reports the resulting Matthews correlation coefficients. The three panels convey a consistent message. Panel (a) shows that the classifier is stable over a broad plateau around the golden-mean value $\varphi = 0.618$, with MCC values in the narrow range $[0.59, 0.62]$ across $\varphi \in [0.45, 0.75]$; the default value sits near the top of the plateau, and the sensitivity at the default point is minimal. Panel (b) shows that the cooperation threshold $\sigma^\star$ has the most pronounced effect of the three: MCC peaks at $0.67$ for $\sigma^\star = 0.15$ and degrades monotonically to $0.40$ at $\sigma^\star = 0.50$, as increasingly stringent hysteresis suppresses genuine regime transitions; the default $\sigma^\star = 0.20$ achieves MCC $0.60$, within $0.07$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pPr>
        <w:pStyle w:val="MDPI31text"/>
      </w:pPr>
      <w:r>
        <w:t>The complexity and latency analysis was performed by timing the full inference step of MRQF-MAS on windows of increasing length, from $W = 50$ to $W = 5000$ observations. Figure 9(a) reports the per-step latency in microseconds as a function of $W$, alongside a reference line denoting the theoretical linear scaling $O(W)$. The measured latency ranges from approximately $90$ $\mu$s at $W = 50$ to $170$ $\mu$s at $W = 5000$,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 = 500$: the wavelet-based Signal sub-agent is the dominant cost (0.32 $\mu$s), followed by the cooperation layer with its 15 sub-agent evaluations (0.22 $\mu$s), the SKB input/output (0.12 $\mu$s), the $(E, S)$ mapping (0.08 $\mu$s) and the Meta-Orchestrator arbitration (0.05 $\mu$s). The cooperation layer, which is the architectural novelty whose feasibility was queried in the previous referee round, represents 29% of the total latency and is therefore a substantial but not dominant contributor to the overall cost.</w:t>
      </w:r>
    </w:p>
    <w:p>
      <w:pPr>
        <w:pStyle w:val="MDPI31text"/>
      </w:pPr>
      <w: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pPr>
        <w:pStyle w:val="MDPI52figure"/>
        <w:jc w:val="center"/>
      </w:pPr>
      <w:r>
        <w:drawing>
          <wp:inline xmlns:a="http://schemas.openxmlformats.org/drawingml/2006/main" xmlns:pic="http://schemas.openxmlformats.org/drawingml/2006/picture">
            <wp:extent cx="5040000" cy="1309640"/>
            <wp:docPr id="8" name="Picture 8"/>
            <wp:cNvGraphicFramePr>
              <a:graphicFrameLocks noChangeAspect="1"/>
            </wp:cNvGraphicFramePr>
            <a:graphic>
              <a:graphicData uri="http://schemas.openxmlformats.org/drawingml/2006/picture">
                <pic:pic>
                  <pic:nvPicPr>
                    <pic:cNvPr id="0" name="0dde4cad5cf01590766ae782390fc23ab711029d.png"/>
                    <pic:cNvPicPr/>
                  </pic:nvPicPr>
                  <pic:blipFill>
                    <a:blip r:embed="rId25"/>
                    <a:stretch>
                      <a:fillRect/>
                    </a:stretch>
                  </pic:blipFill>
                  <pic:spPr>
                    <a:xfrm>
                      <a:off x="0" y="0"/>
                      <a:ext cx="5040000" cy="1309640"/>
                    </a:xfrm>
                    <a:prstGeom prst="rect"/>
                  </pic:spPr>
                </pic:pic>
              </a:graphicData>
            </a:graphic>
          </wp:inline>
        </w:drawing>
      </w:r>
    </w:p>
    <w:p>
      <w:pPr>
        <w:pStyle w:val="MDPI51figurecaption"/>
      </w:pPr>
      <w:r>
        <w:t>Figure 8. Sensitivity analysis of MRQF-MAS on the real ECB EUR/USD series: (a) Matthews correlation coefficient as a function of the target scaling exponent $\phi$; (b) as a function of the cooperation threshold $\sigma^\star$; (c) as a function of the $(E,S)$ band granularity. Dashed red lines mark the default values used throughout the paper; the classifier operates on a broad plateau around the theory-motivated defaults.</w:t>
      </w:r>
    </w:p>
    <w:p>
      <w:pPr>
        <w:pStyle w:val="MDPI52figure"/>
        <w:jc w:val="center"/>
      </w:pPr>
      <w:r>
        <w:drawing>
          <wp:inline xmlns:a="http://schemas.openxmlformats.org/drawingml/2006/main" xmlns:pic="http://schemas.openxmlformats.org/drawingml/2006/picture">
            <wp:extent cx="5040000" cy="1712921"/>
            <wp:docPr id="9" name="Picture 9"/>
            <wp:cNvGraphicFramePr>
              <a:graphicFrameLocks noChangeAspect="1"/>
            </wp:cNvGraphicFramePr>
            <a:graphic>
              <a:graphicData uri="http://schemas.openxmlformats.org/drawingml/2006/picture">
                <pic:pic>
                  <pic:nvPicPr>
                    <pic:cNvPr id="0" name="d4fd55400f8fc85be9fd0bddc6b5af062d7e2196.png"/>
                    <pic:cNvPicPr/>
                  </pic:nvPicPr>
                  <pic:blipFill>
                    <a:blip r:embed="rId26"/>
                    <a:stretch>
                      <a:fillRect/>
                    </a:stretch>
                  </pic:blipFill>
                  <pic:spPr>
                    <a:xfrm>
                      <a:off x="0" y="0"/>
                      <a:ext cx="5040000" cy="1712921"/>
                    </a:xfrm>
                    <a:prstGeom prst="rect"/>
                  </pic:spPr>
                </pic:pic>
              </a:graphicData>
            </a:graphic>
          </wp:inline>
        </w:drawing>
      </w:r>
    </w:p>
    <w:p>
      <w:pPr>
        <w:pStyle w:val="MDPI51figurecaption"/>
      </w:pPr>
      <w:r>
        <w:t>Figure 9. Computational latency of MRQF-MAS: (a) inference latency per step as a function of the window size $W$, with approximately linear $O(W)$ scaling; (b) per-component latency breakdown at $W=500$, showing the Signal sub-agent (wavelet decomposition) and the cooperation layer as the dominant contributors.</w:t>
      </w:r>
    </w:p>
    <w:p>
      <w:pPr>
        <w:pStyle w:val="MDPI21heading1"/>
      </w:pPr>
      <w:r>
        <w:t>12. Discussion</w:t>
      </w:r>
    </w:p>
    <w:p>
      <w:pPr>
        <w:pStyle w:val="MDPI31text"/>
      </w:pPr>
      <w:r>
        <w:t>The primary advantage of MRQF-MAS over classical quantitative trading models, including deep-reinforcement-learning-based trading agents [33,34] and direct policy search under the fractal market hypothesis [35,36],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$E$ and the entropy $S$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$\phi_{\text{local}}(t)$ and the spectral power distribution to detect drifts or the appearance of new resonances; at the Energy/Entropy layer, one examines the marginal histograms of $E$ and $S$ and checks whether the current occupancy is covered by the SKB; at the Risk layer, one measures the inter-sub-agent dispersion $\sigma$ and the reliability score $R$ to identify regimes in which agents disagree systematically; at the cooperation layer, one inspects the distribution of consensus type (cooperative vs. competitive) over a rolling window and verifies that the threshold $\sigma^\star$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pPr>
        <w:pStyle w:val="MDPI31text"/>
      </w:pPr>
      <w:r>
        <w:t>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$\sigma^\star$ is set too tightly, and the SKB becomes a shared resource that must be protected against concurrency issues. We argue, however, 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10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pPr>
        <w:pStyle w:val="MDPI31text"/>
      </w:pPr>
      <w:r>
        <w:t>Two limitations must be acknowledged explicitly. First, the constants $C$ and $H$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pPr>
        <w:pStyle w:val="MDPI31text"/>
      </w:pPr>
      <w: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pPr>
        <w:pStyle w:val="MDPI31text"/>
      </w:pPr>
      <w: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pPr>
        <w:pStyle w:val="MDPI52figure"/>
        <w:jc w:val="center"/>
      </w:pPr>
      <w:r>
        <w:drawing>
          <wp:inline xmlns:a="http://schemas.openxmlformats.org/drawingml/2006/main" xmlns:pic="http://schemas.openxmlformats.org/drawingml/2006/picture">
            <wp:extent cx="5040000" cy="1803303"/>
            <wp:docPr id="10" name="Picture 10"/>
            <wp:cNvGraphicFramePr>
              <a:graphicFrameLocks noChangeAspect="1"/>
            </wp:cNvGraphicFramePr>
            <a:graphic>
              <a:graphicData uri="http://schemas.openxmlformats.org/drawingml/2006/picture">
                <pic:pic>
                  <pic:nvPicPr>
                    <pic:cNvPr id="0" name="01ec5859f3b859a750561738bdbd2c9fb62107cf.png"/>
                    <pic:cNvPicPr/>
                  </pic:nvPicPr>
                  <pic:blipFill>
                    <a:blip r:embed="rId27"/>
                    <a:stretch>
                      <a:fillRect/>
                    </a:stretch>
                  </pic:blipFill>
                  <pic:spPr>
                    <a:xfrm>
                      <a:off x="0" y="0"/>
                      <a:ext cx="5040000" cy="1803303"/>
                    </a:xfrm>
                    <a:prstGeom prst="rect"/>
                  </pic:spPr>
                </pic:pic>
              </a:graphicData>
            </a:graphic>
          </wp:inline>
        </w:drawing>
      </w:r>
    </w:p>
    <w:p>
      <w:pPr>
        <w:pStyle w:val="MDPI51figurecaption"/>
      </w:pPr>
      <w:r>
        <w:t>Figure 10. Monte Carlo comparison of the cooperative MRQF-MAS architecture against an orchestrator-only baseline on 200 independent runs of a synthetic regime-shift detection task: (a) distribution of detection latency; (b) distribution of pre-shift false positives.</w:t>
      </w:r>
    </w:p>
    <w:p>
      <w:pPr>
        <w:pStyle w:val="MDPI21heading1"/>
      </w:pPr>
      <w:r>
        <w:t>13. Conclusions and Future Work</w:t>
      </w:r>
    </w:p>
    <w:p>
      <w:pPr>
        <w:pStyle w:val="MDPI31text"/>
      </w:pPr>
      <w:r>
        <w:t>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$(E, S)$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$(E,S)$ region map.</w:t>
      </w:r>
    </w:p>
    <w:p>
      <w:pPr>
        <w:pStyle w:val="MDPI31text"/>
      </w:pPr>
      <w:r>
        <w:t>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$C$, $H$ and the golden ratio $\varphi$;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$(E,S)$ assignments traceable through the agent hierarchy—jointly support this positioning.</w:t>
      </w:r>
    </w:p>
    <w:p>
      <w:pPr>
        <w:pStyle w:val="MDPI31text"/>
      </w:pPr>
      <w:r>
        <w:t>The empirical validation of Section 10, carried out on 3840 business-day observations of the official ECB EUR/USD reference rate over 1999–2026, shows that MRQF-MAS operates as a structured high-volatility regime classifier with accuracy $0.885$, precision $0.816$, Matthews correlation coefficient $0.604$ with bootstrap 95% confidence interval $[0.57, 0.64]$, and a two-day median detection latency. On the same data, the framework improves upon a direct rolling-volatility baseline by $+6.1$ MCC points (with non-overlapping bootstrap confidence intervals), is comparable to an out-of-the-box GARCH(1,1) baseline (MCC $0.651$), and trails an MLE-fitted GARCH(1,1) by approximately $0.09$ MCC points (MCC $0.694$, 95% CI $[0.66, 0.72]$).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$0.74$ to $0.96$ in the held-out post-2013 sub-sample. The ablation study isolates the contribution of the cooperation layer (precision improvement from $0.76$ to $0.82$)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pPr>
        <w:pStyle w:val="MDPI31text"/>
      </w:pPr>
      <w: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pPr>
        <w:pStyle w:val="MDPI31text"/>
      </w:pPr>
      <w:r>
        <w:t>The absence of measurable contribution from the shared knowledge base in the present daily single-instrument evaluation is consistent with the theoretical role assigned to this component. The SKB is designed to encode persistence and cross-agent consistency in $(E,S)$ trajectories, benefits that emerge primarily in higher-frequency, multi-instrument, and sequential decision contexts. At daily resolution, where each observation is effectively independent at the scale of the evaluation window, such contributions are not 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pPr>
        <w:pStyle w:val="MDPI31text"/>
      </w:pPr>
      <w:r>
        <w:t>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$0.694$ against $0.604$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$(E,S)$ regime decompositions is the fifth priority for future work, and is arguably the most important of the five because it is the metric under which the present framework is designed to be evaluated.</w:t>
      </w:r>
    </w:p>
    <w:p>
      <w:pPr>
        <w:pStyle w:val="MDPI31text"/>
      </w:pPr>
      <w: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pPr>
        <w:pStyle w:val="MDPI62backmatter"/>
      </w:pPr>
      <w:r>
        <w:t>Supplementary Materials: Not applicable.</w:t>
      </w:r>
    </w:p>
    <w:p>
      <w:pPr>
        <w:pStyle w:val="MDPI62backmatter"/>
      </w:pPr>
      <w:r>
        <w:t>Author Contributions: Conceptualization, X.X. and Y.Y.; Methodology, X.X.; Software, X.X.; Validation, X.X., Y.Y. and Z.Z.; Formal Analysis, X.X.; Investigation, X.X.; Resources, X.X.; Data Curation, X.X.; Writing – Original Draft Preparation, X.X.; Writing – Review &amp; Editing, X.X.; Visualization, X.X.; Supervision, X.X.; Project Administration, X.X.; Funding Acquisition, Y.Y. All authors have read and agreed to the published version of the manuscript.</w:t>
      </w:r>
    </w:p>
    <w:p>
      <w:pPr>
        <w:pStyle w:val="MDPI62backmatter"/>
      </w:pPr>
      <w:r>
        <w:t>Funding: This research received no external funding.</w:t>
      </w:r>
    </w:p>
    <w:p>
      <w:pPr>
        <w:pStyle w:val="MDPI62backmatter"/>
      </w:pPr>
      <w:r>
        <w:t>Institutional Review Board Statement: Not applicable.</w:t>
      </w:r>
    </w:p>
    <w:p>
      <w:pPr>
        <w:pStyle w:val="MDPI62backmatter"/>
      </w:pPr>
      <w:r>
        <w:t>Informed Consent Statement: Not applicable.</w:t>
      </w:r>
    </w:p>
    <w:p>
      <w:pPr>
        <w:pStyle w:val="MDPI62backmatter"/>
      </w:pPr>
      <w:r>
        <w:t>Data Availability Statement: The original data presented in the study are openly available in the European Central Bank (ECB) euro foreign exchange reference rates archive at https://www.ecb.europa.eu/stats/policy_and_exchange_rates/euro_reference_exchange_rates/html/index.en.html, and were accessed through the CurrencyConverter Python package version 0.18.17. Full reproducibility details and hyperparameter settings are included in Appendix A.</w:t>
      </w:r>
    </w:p>
    <w:p>
      <w:pPr>
        <w:pStyle w:val="MDPI62backmatter"/>
      </w:pPr>
      <w:r>
        <w:t>Acknowledgments: The authors acknowledge the contributors of the open-source scientific Python ecosystem (NumPy, SciPy, PyWavelets, pandas, Matplotlib) on which the computational validation of this paper relies. No generative artificial intelligence (GenAI) tool or large language model (LLM) was used to generate text, data or figures or to assist in study design, data collection, analysis or interpretation; GenAI use was limited to superficial text editing (grammar, spelling, punctuation and formatting) which per MDPI policy does not need to be declared.</w:t>
      </w:r>
    </w:p>
    <w:p>
      <w:pPr>
        <w:pStyle w:val="MDPI62backmatter"/>
      </w:pPr>
      <w:r>
        <w:t>Conflicts of Interest: The authors declare no conflicts of interest.</w:t>
      </w:r>
    </w:p>
    <w:p>
      <w:pPr>
        <w:pStyle w:val="MDPI21heading1"/>
      </w:pPr>
      <w:r>
        <w:t>Abbreviations</w:t>
      </w:r>
    </w:p>
    <w:p>
      <w:pPr>
        <w:pStyle w:val="MDPI32textnoindent"/>
      </w:pPr>
      <w:r>
        <w:t>The following abbreviations are used in this manuscript:</w:t>
      </w:r>
    </w:p>
    <w:tbl>
      <w:tblPr>
        <w:tblStyle w:val="TableGrid"/>
        <w:tblW w:type="auto" w:w="0"/>
        <w:tblLook w:firstColumn="1" w:firstRow="1" w:lastColumn="0" w:lastRow="0" w:noHBand="0" w:noVBand="1" w:val="04A0"/>
      </w:tblPr>
      <w:tblGrid>
        <w:gridCol w:w="5233"/>
        <w:gridCol w:w="5233"/>
      </w:tblGrid>
      <w:tr>
        <w:tc>
          <w:tcPr>
            <w:tcW w:type="dxa" w:w="5233"/>
          </w:tcPr>
          <w:p>
            <w:r/>
            <w:r>
              <w:rPr>
                <w:b/>
              </w:rPr>
              <w:t>Abbreviation</w:t>
            </w:r>
          </w:p>
        </w:tc>
        <w:tc>
          <w:tcPr>
            <w:tcW w:type="dxa" w:w="5233"/>
          </w:tcPr>
          <w:p>
            <w:r/>
            <w:r>
              <w:rPr>
                <w:b/>
              </w:rPr>
              <w:t>Meaning</w:t>
            </w:r>
          </w:p>
        </w:tc>
      </w:tr>
      <w:tr>
        <w:tc>
          <w:tcPr>
            <w:tcW w:type="dxa" w:w="5233"/>
          </w:tcPr>
          <w:p>
            <w:r>
              <w:t>MRQF</w:t>
            </w:r>
          </w:p>
        </w:tc>
        <w:tc>
          <w:tcPr>
            <w:tcW w:type="dxa" w:w="5233"/>
          </w:tcPr>
          <w:p>
            <w:r>
              <w:t>Multiscale Relativistic Quantum Finance</w:t>
            </w:r>
          </w:p>
        </w:tc>
      </w:tr>
      <w:tr>
        <w:tc>
          <w:tcPr>
            <w:tcW w:type="dxa" w:w="5233"/>
          </w:tcPr>
          <w:p>
            <w:r>
              <w:t>MAS</w:t>
            </w:r>
          </w:p>
        </w:tc>
        <w:tc>
          <w:tcPr>
            <w:tcW w:type="dxa" w:w="5233"/>
          </w:tcPr>
          <w:p>
            <w:r>
              <w:t>Multi-Agent System</w:t>
            </w:r>
          </w:p>
        </w:tc>
      </w:tr>
      <w:tr>
        <w:tc>
          <w:tcPr>
            <w:tcW w:type="dxa" w:w="5233"/>
          </w:tcPr>
          <w:p>
            <w:r>
              <w:t>SKB</w:t>
            </w:r>
          </w:p>
        </w:tc>
        <w:tc>
          <w:tcPr>
            <w:tcW w:type="dxa" w:w="5233"/>
          </w:tcPr>
          <w:p>
            <w:r>
              <w:t>Shared Knowledge Base</w:t>
            </w:r>
          </w:p>
        </w:tc>
      </w:tr>
      <w:tr>
        <w:tc>
          <w:tcPr>
            <w:tcW w:type="dxa" w:w="5233"/>
          </w:tcPr>
          <w:p>
            <w:r>
              <w:t>PE</w:t>
            </w:r>
          </w:p>
        </w:tc>
        <w:tc>
          <w:tcPr>
            <w:tcW w:type="dxa" w:w="5233"/>
          </w:tcPr>
          <w:p>
            <w:r>
              <w:t>Prospect Environment</w:t>
            </w:r>
          </w:p>
        </w:tc>
      </w:tr>
      <w:tr>
        <w:tc>
          <w:tcPr>
            <w:tcW w:type="dxa" w:w="5233"/>
          </w:tcPr>
          <w:p>
            <w:r>
              <w:t>ES</w:t>
            </w:r>
          </w:p>
        </w:tc>
        <w:tc>
          <w:tcPr>
            <w:tcW w:type="dxa" w:w="5233"/>
          </w:tcPr>
          <w:p>
            <w:r>
              <w:t>Energy-Entropy</w:t>
            </w:r>
          </w:p>
        </w:tc>
      </w:tr>
      <w:tr>
        <w:tc>
          <w:tcPr>
            <w:tcW w:type="dxa" w:w="5233"/>
          </w:tcPr>
          <w:p>
            <w:r>
              <w:t>ECB</w:t>
            </w:r>
          </w:p>
        </w:tc>
        <w:tc>
          <w:tcPr>
            <w:tcW w:type="dxa" w:w="5233"/>
          </w:tcPr>
          <w:p>
            <w:r>
              <w:t>European Central Bank</w:t>
            </w:r>
          </w:p>
        </w:tc>
      </w:tr>
      <w:tr>
        <w:tc>
          <w:tcPr>
            <w:tcW w:type="dxa" w:w="5233"/>
          </w:tcPr>
          <w:p>
            <w:r>
              <w:t>GARCH</w:t>
            </w:r>
          </w:p>
        </w:tc>
        <w:tc>
          <w:tcPr>
            <w:tcW w:type="dxa" w:w="5233"/>
          </w:tcPr>
          <w:p>
            <w:r>
              <w:t>Generalized Autoregressive Conditional Heteroscedasticity</w:t>
            </w:r>
          </w:p>
        </w:tc>
      </w:tr>
      <w:tr>
        <w:tc>
          <w:tcPr>
            <w:tcW w:type="dxa" w:w="5233"/>
          </w:tcPr>
          <w:p>
            <w:r>
              <w:t>MCC</w:t>
            </w:r>
          </w:p>
        </w:tc>
        <w:tc>
          <w:tcPr>
            <w:tcW w:type="dxa" w:w="5233"/>
          </w:tcPr>
          <w:p>
            <w:r>
              <w:t>Matthews Correlation Coefficient</w:t>
            </w:r>
          </w:p>
        </w:tc>
      </w:tr>
      <w:tr>
        <w:tc>
          <w:tcPr>
            <w:tcW w:type="dxa" w:w="5233"/>
          </w:tcPr>
          <w:p>
            <w:r>
              <w:t>PIP</w:t>
            </w:r>
          </w:p>
        </w:tc>
        <w:tc>
          <w:tcPr>
            <w:tcW w:type="dxa" w:w="5233"/>
          </w:tcPr>
          <w:p>
            <w:r>
              <w:t>Percentage in Point</w:t>
            </w:r>
          </w:p>
        </w:tc>
      </w:tr>
      <w:tr>
        <w:tc>
          <w:tcPr>
            <w:tcW w:type="dxa" w:w="5233"/>
          </w:tcPr>
          <w:p>
            <w:r>
              <w:t>RL</w:t>
            </w:r>
          </w:p>
        </w:tc>
        <w:tc>
          <w:tcPr>
            <w:tcW w:type="dxa" w:w="5233"/>
          </w:tcPr>
          <w:p>
            <w:r>
              <w:t>Reinforcement Learning</w:t>
            </w:r>
          </w:p>
        </w:tc>
      </w:tr>
      <w:tr>
        <w:tc>
          <w:tcPr>
            <w:tcW w:type="dxa" w:w="5233"/>
          </w:tcPr>
          <w:p>
            <w:r>
              <w:t>QED</w:t>
            </w:r>
          </w:p>
        </w:tc>
        <w:tc>
          <w:tcPr>
            <w:tcW w:type="dxa" w:w="5233"/>
          </w:tcPr>
          <w:p>
            <w:r>
              <w:t>Quantum Electrodynamics</w:t>
            </w:r>
          </w:p>
        </w:tc>
      </w:tr>
      <w:tr>
        <w:tc>
          <w:tcPr>
            <w:tcW w:type="dxa" w:w="5233"/>
          </w:tcPr>
          <w:p>
            <w:r>
              <w:t>LSTM</w:t>
            </w:r>
          </w:p>
        </w:tc>
        <w:tc>
          <w:tcPr>
            <w:tcW w:type="dxa" w:w="5233"/>
          </w:tcPr>
          <w:p>
            <w:r>
              <w:t>Long Short-Term Memory</w:t>
            </w:r>
          </w:p>
        </w:tc>
      </w:tr>
      <w:tr>
        <w:tc>
          <w:tcPr>
            <w:tcW w:type="dxa" w:w="5233"/>
          </w:tcPr>
          <w:p>
            <w:r>
              <w:t>GenAI</w:t>
            </w:r>
          </w:p>
        </w:tc>
        <w:tc>
          <w:tcPr>
            <w:tcW w:type="dxa" w:w="5233"/>
          </w:tcPr>
          <w:p>
            <w:r>
              <w:t>Generative Artificial Intelligence</w:t>
            </w:r>
          </w:p>
        </w:tc>
      </w:tr>
    </w:tbl>
    <w:p>
      <w:pPr>
        <w:pStyle w:val="MDPI21heading1"/>
      </w:pPr>
      <w:r>
        <w:t>Appendix A. Reproducibility Details</w:t>
      </w:r>
    </w:p>
    <w:p>
      <w:pPr>
        <w:pStyle w:val="MDPI31text"/>
      </w:pPr>
      <w: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pPr>
        <w:pStyle w:val="MDPI31text"/>
      </w:pPr>
      <w:r>
        <w:t>The synthetic EUR/USD tick series of Section 8 is generated from a fractionally integrated innovation process of length $N = 2000$ with target Hurst-like exponent $\phi = 0.618$, baseline price level $1.0850$, tick increment standard deviation $1.5 \times 10^{-4}$ price units, and NumPy random seed 7. The volatility scaling estimator of Figure 5(b) uses scales $\{1, 2, 5, 10, 20, 50, 100, 200, 500\}$, computed as the standard deviation of sub-sampled returns at each scale. The local scaling exponent $\phi_{\text{est}}$ is the ordinary-least-squares slope of the log–log regression of $\sigma$ against scale. The wavelet decomposition used by the Signal sub-agent is a Daubechies D4 discrete wavelet transform [6] with four decomposition levels on non-overlapping windows of 128 ticks, with symmetric boundary extension.</w:t>
      </w:r>
    </w:p>
    <w:p>
      <w:pPr>
        <w:pStyle w:val="MDPI31text"/>
      </w:pPr>
      <w:r>
        <w:t>The rolling estimators of energy $E(t)$ and entropy $S(t)$ used in Figure 5(c–d) are computed on a sliding window of $W = 100$ ticks. Energy is mapped to the ordinal band $E \in \{7, 8, \dots, 35\}$ by the formula $E = \mathrm{clip}\bigl(7 + 25\,(1 - \sigma_W / (2\,\sigma_\mathrm{global})), 7, 32\bigr)$, with $\sigma_W$ the standard deviation of price increments in the current window and $\sigma_\mathrm{global}$ the standard deviation over the entire series. Entropy is mapped to the ordinal band $S \in \{0, 1, \dots, 12\}$ by $S = \mathrm{clip}\bigl(9\,\mathrm{MAD}_W / \sigma_\mathrm{global}, 0, 9\bigr)$, with $\mathrm{MAD}_W$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pPr>
        <w:pStyle w:val="MDPI31text"/>
      </w:pPr>
      <w:r>
        <w:t>The Monte Carlo experiment of Section 9 is configured as follows. Each of the 200 runs uses a horizon of $T = 1000$ ticks with a regime shift inserted at $t = 500$. The cooperative architecture is modelled as the average of three noisy observations $\mathrm{signal}(t) + 0.9\,\mathcal{N}(0,1)$,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pPr>
        <w:pStyle w:val="MDPI31text"/>
      </w:pPr>
      <w:r>
        <w:t>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$r_t = \log(p_t / p_{t-1})$ are the only input to the downstream pipeline. The ground-truth high-volatility regime indicator is constructed as $g_t = \mathbb{1}[\mathrm{std}(r_{t-21:t}) &gt; q_{0.80}]$,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$g_t = 1, g_{t-1} = 0$) and the first positive classification by the method under test, within a look-ahead window of 20 trading days.</w:t>
      </w:r>
    </w:p>
    <w:p>
      <w:pPr>
        <w:pStyle w:val="MDPI31text"/>
      </w:pPr>
      <w:r>
        <w:t>The four classical baselines of Section 10 are specified as follows. The rolling-volatility threshold classifier flags regime at time $t$ when the trailing 22-day standard deviation exceeds the 80th percentile of the same statistic computed on the trailing 500 observations. The GARCH(1,1) baseline with literature-default coefficients estimates conditional variance $\sigma^2_t = \omega + \alpha r^2_{t-1} + \beta \sigma^2_{t-1}$ with fixed coefficients $\omega = 10^{-8}$, $\alpha = 0.10$, $\beta = 0.85$, seeded from the sample variance of the first 500 returns, and flags regime when $\sigma^2_t$ exceeds its 80th percentile over the post-warm-up sample. The MLE-fitted GARCH(1,1) baseline maximises the Gaussian log-likelihood of the same recursion on the pre-2013 sub-sample only (2669 observations) using the Nelder–Mead simplex with tolerance $10^{-10}$, yielding $\omega = 2.501 \times 10^{-7}$, $\alpha = 0.0320$, $\beta = 0.9642$;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$\varphi = 0.618$, the cooperation threshold $\sigma^\star = 0.20$, the nine-band $(E,S)$ decomposition, the Daubechies D4 wavelet with up to five decomposition levels, and the shared-knowledge-base exponential memory coefficient $\lambda = 0.85$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$2 \times 2$ confusion matrices (true positives, false positives, false negatives, true negatives) flattened to row vectors using \texttt{scipy.stats.chi2\_contingency} with three degrees of freedom. The bootstrap 95% confidence intervals on the Matthews correlation coefficient are computed by sampling with replacement $B = 1000$ resamples of the evaluation set (3340 observations), recomputing MCC on each resample, and reporting the $2.5$th and $97.5$th percentiles of the resulting distribution; the random seed for the bootstrap is the same global seed 2026 used throughout the analysis.</w:t>
      </w:r>
    </w:p>
    <w:p>
      <w:pPr>
        <w:pStyle w:val="MDPI21heading1"/>
      </w:pPr>
      <w:r>
        <w:t>Appendix B. Notation</w:t>
      </w:r>
    </w:p>
    <w:p>
      <w:pPr>
        <w:pStyle w:val="MDPI31text"/>
      </w:pPr>
      <w:r>
        <w:t>The following table summarises the notation used throughout the paper for the convenience of the reader. Table A1 summarises the notation used throughout the paper.</w:t>
      </w:r>
    </w:p>
    <w:p>
      <w:pPr>
        <w:pStyle w:val="MDPI41tablecaption"/>
      </w:pPr>
      <w:r>
        <w:t>Table A1. Notation used throughout the paper.</w:t>
      </w:r>
    </w:p>
    <w:p>
      <w:pPr>
        <w:pStyle w:val="MDPI21heading1"/>
      </w:pPr>
      <w:r>
        <w:t>References</w:t>
      </w:r>
    </w:p>
    <w:p>
      <w:pPr>
        <w:pStyle w:val="MDPI81references"/>
      </w:pPr>
      <w:r>
        <w:t>1. Bachelier, L. Théorie de la spéculation. Ann. Sci. École Norm. Sup. 1900, 17, 21–86. https://doi.org/10.24033/asens.476.</w:t>
      </w:r>
    </w:p>
    <w:p>
      <w:pPr>
        <w:pStyle w:val="MDPI81references"/>
      </w:pPr>
      <w:r>
        <w:t>2. Mandelbrot, B.B. The variation of certain speculative prices. J. Bus. 1963, 36, 394–419. https://doi.org/10.1086/294632.</w:t>
      </w:r>
    </w:p>
    <w:p>
      <w:pPr>
        <w:pStyle w:val="MDPI81references"/>
      </w:pPr>
      <w:r>
        <w:t>3. Mandelbrot, B.B. Fractals and Scaling in Finance: Discontinuity, Concentration, Risk. Selecta Volume E; Springer: New York, NY, USA, 1997; ISBN 978-0-387-98363-9. https://doi.org/10.1007/978-1-4757-2763-0.</w:t>
      </w:r>
    </w:p>
    <w:p>
      <w:pPr>
        <w:pStyle w:val="MDPI81references"/>
      </w:pPr>
      <w:r>
        <w:t>4. Embrechts, P.; Maejima, M. Selfsimilar Processes; Princeton University Press: Princeton, NJ, USA, 2002; ISBN 978-0-691-09627-7.</w:t>
      </w:r>
    </w:p>
    <w:p>
      <w:pPr>
        <w:pStyle w:val="MDPI81references"/>
      </w:pPr>
      <w:r>
        <w:t>5. Iovane, G.; Laserra, E.; Tortoriello, F.S. Stochastic self-similar and fractal universe. Chaos Solitons Fract. 2004, 20, 415–426. https://doi.org/10.1016/j.chaos.2003.08.004.</w:t>
      </w:r>
    </w:p>
    <w:p>
      <w:pPr>
        <w:pStyle w:val="MDPI81references"/>
      </w:pPr>
      <w:r>
        <w:t>6. Daubechies, I. Ten Lectures on Wavelets; SIAM: Philadelphia, PA, USA, 1992; ISBN 978-0-89871-274-2. https://doi.org/10.1137/1.9781611970104.</w:t>
      </w:r>
    </w:p>
    <w:p>
      <w:pPr>
        <w:pStyle w:val="MDPI81references"/>
      </w:pPr>
      <w:r>
        <w:t>7. Mallat, S. A Wavelet Tour of Signal Processing: The Sparse Way, 3rd ed.; Academic Press: Burlington, MA, USA, 2008; ISBN 978-0-12-374370-1.</w:t>
      </w:r>
    </w:p>
    <w:p>
      <w:pPr>
        <w:pStyle w:val="MDPI81references"/>
      </w:pPr>
      <w:r>
        <w:t>8. Iovane, G.; Briscione, A.; Benedetto, E. Financion: A quantum approach to financial market modelling. J. Stat. Manag. Syst. 2021, 24, 1127–1149. https://doi.org/10.1080/09720510.2021.1930665.</w:t>
      </w:r>
    </w:p>
    <w:p>
      <w:pPr>
        <w:pStyle w:val="MDPI81references"/>
      </w:pPr>
      <w:r>
        <w:t>9. Iovane, G.; Landi, A.; Serino, S. An optimized mathematical-physical approach to financial market via hierarchy and dynamical systems analysis. J. Inf. Optim. Sci. 2016, 37, 423–448. https://doi.org/10.1080/02522667.2016.1157935.</w:t>
      </w:r>
    </w:p>
    <w:p>
      <w:pPr>
        <w:pStyle w:val="MDPI81references"/>
      </w:pPr>
      <w:r>
        <w:t>10. Iovane, G. Decision support system driven by thermo-complexity: Algorithms and data manipulation. IEEE Access 2024, 12, 157359–157382. https://doi.org/10.1109/ACCESS.2024.3482711.</w:t>
      </w:r>
    </w:p>
    <w:p>
      <w:pPr>
        <w:pStyle w:val="MDPI81references"/>
      </w:pPr>
      <w:r>
        <w:t>11. Iovane, G.; Chinnici, M. Decision support system driven by thermo-complexity: Scenario analysis and data visualization. Appl. Sci. 2024, 14, 2387. https://doi.org/10.3390/app14062387.</w:t>
      </w:r>
    </w:p>
    <w:p>
      <w:pPr>
        <w:pStyle w:val="MDPI81references"/>
      </w:pPr>
      <w:r>
        <w:t>12. Shavandi, A.; Khedmati, M. A multi-agent deep reinforcement learning framework for algorithmic trading in financial markets. Expert Syst. Appl. 2022, 208, 118124. https://doi.org/10.1016/j.eswa.2022.118124.</w:t>
      </w:r>
    </w:p>
    <w:p>
      <w:pPr>
        <w:pStyle w:val="MDPI81references"/>
      </w:pPr>
      <w:r>
        <w:t>13. Wu, X.; Chen, H.; Wang, J.; Troiano, L.; Loia, V.; Fujita, H. Adaptive stock trading strategies with deep reinforcement learning methods. Inf. Sci. 2020, 538, 142–158. https://doi.org/10.1016/j.ins.2020.05.066.</w:t>
      </w:r>
    </w:p>
    <w:p>
      <w:pPr>
        <w:pStyle w:val="MDPI81references"/>
      </w:pPr>
      <w:r>
        <w:t>14. Hosseini Rad, S.; Tahmasebi Khorasani, S. Cooperative multi-agent deep reinforcement learning for Forex algorithmic trading using Proximal Policy Optimization. In Proceedings of the 2024 20th CSI International Symposium on Artificial Intelligence and Signal Processing (AISP), Babol, Iran, 21–22 February 2024; IEEE: Piscataway, NJ, USA, 2024. https://doi.org/10.1109/AISP64076.2024.10768118.</w:t>
      </w:r>
    </w:p>
    <w:p>
      <w:pPr>
        <w:pStyle w:val="MDPI81references"/>
      </w:pPr>
      <w:r>
        <w:t>15. Wooldridge, M. An Introduction to MultiAgent Systems, 2nd ed.; Wiley: Chichester, UK, 2009; ISBN 978-0-470-51946-2.</w:t>
      </w:r>
    </w:p>
    <w:p>
      <w:pPr>
        <w:pStyle w:val="MDPI81references"/>
      </w:pPr>
      <w:r>
        <w:t>16. Kahneman, D.; Tversky, A. Prospect theory: An analysis of decision under risk. Econometrica 1979, 47, 263–292. https://doi.org/10.2307/1914185.</w:t>
      </w:r>
    </w:p>
    <w:p>
      <w:pPr>
        <w:pStyle w:val="MDPI81references"/>
      </w:pPr>
      <w:r>
        <w:t>17. European Parliament and Council. Regulation (EU) 2024/1689 laying down harmonised rules on artificial intelligence (Artificial Intelligence Act). Off. J. Eur. Union 2024. Available online: https://eur-lex.europa.eu/eli/reg/2024/1689/oj (accessed on 20 April 2026).</w:t>
      </w:r>
    </w:p>
    <w:p>
      <w:pPr>
        <w:pStyle w:val="MDPI81references"/>
      </w:pPr>
      <w:r>
        <w:t>18. Jaynes, E.T. Information theory and statistical mechanics. Phys. Rev. 1957, 106, 620–630. https://doi.org/10.1103/PhysRev.106.620.</w:t>
      </w:r>
    </w:p>
    <w:p>
      <w:pPr>
        <w:pStyle w:val="MDPI81references"/>
      </w:pPr>
      <w:r>
        <w:t>19. Mantegna, R.N.; Stanley, H.E. An Introduction to Econophysics: Correlations and Complexity in Finance; Cambridge University Press: Cambridge, UK, 2000; ISBN 978-0-521-62008-6.</w:t>
      </w:r>
    </w:p>
    <w:p>
      <w:pPr>
        <w:pStyle w:val="MDPI81references"/>
      </w:pPr>
      <w:r>
        <w:t>20. Di Matteo, T. Multi-scaling in finance. Quant. Finance 2007, 7, 21–36. https://doi.org/10.1080/14697680600969727.</w:t>
      </w:r>
    </w:p>
    <w:p>
      <w:pPr>
        <w:pStyle w:val="MDPI81references"/>
      </w:pPr>
      <w:r>
        <w:t>21. Morales, R.; Di Matteo, T.; Aste, T. Non-stationary multifractality in stock returns. Physica A 2013, 392, 6470–6483. https://doi.org/10.1016/j.physa.2013.07.068.</w:t>
      </w:r>
    </w:p>
    <w:p>
      <w:pPr>
        <w:pStyle w:val="MDPI81references"/>
      </w:pPr>
      <w:r>
        <w:t>22. Schwert, G.W. Why does stock market volatility change over time? J. Finance 1989, 44, 1115–1153. https://doi.org/10.1111/j.1540-6261.1989.tb02647.x.</w:t>
      </w:r>
    </w:p>
    <w:p>
      <w:pPr>
        <w:pStyle w:val="MDPI81references"/>
      </w:pPr>
      <w:r>
        <w:t>23. Poon, S.-H.; Granger, C.W.J. Forecasting volatility in financial markets: A review. J. Econ. Lit. 2003, 41, 478–539. https://doi.org/10.1257/002205103765762743.</w:t>
      </w:r>
    </w:p>
    <w:p>
      <w:pPr>
        <w:pStyle w:val="MDPI81references"/>
      </w:pPr>
      <w:r>
        <w:t>24. Hull, J.; White, A. The pricing of options on assets with stochastic volatilities. J. Finance 1987, 42, 281–300. https://doi.org/10.1111/j.1540-6261.1987.tb02568.x.</w:t>
      </w:r>
    </w:p>
    <w:p>
      <w:pPr>
        <w:pStyle w:val="MDPI81references"/>
      </w:pPr>
      <w:r>
        <w:t>25. Bessembinder, H.; Seguin, P.J. Price volatility, trading volume, and market depth: Evidence from futures markets. J. Financ. Quant. Anal. 1993, 28, 21–39. https://doi.org/10.2307/2331149.</w:t>
      </w:r>
    </w:p>
    <w:p>
      <w:pPr>
        <w:pStyle w:val="MDPI81references"/>
      </w:pPr>
      <w:r>
        <w:t>26. Taleb, N.N. The Black Swan: The Impact of the Highly Improbable; Random House: New York, NY, USA, 2007; ISBN 978-1-4000-6351-2.</w:t>
      </w:r>
    </w:p>
    <w:p>
      <w:pPr>
        <w:pStyle w:val="MDPI81references"/>
      </w:pPr>
      <w:r>
        <w:t>27. Cont, R. Empirical properties of asset returns: Stylized facts and statistical issues. Quant. Finance 2001, 1, 223–236. https://doi.org/10.1080/713665670.</w:t>
      </w:r>
    </w:p>
    <w:p>
      <w:pPr>
        <w:pStyle w:val="MDPI81references"/>
      </w:pPr>
      <w:r>
        <w:t>28. Xi, Z.; Chen, W.; Guo, X.; He, W.; Ding, Y.; Hong, B.; Zhang, M.; Wang, J.; Jin, S.; Zhou, E.; et al. The rise and potential of large language model based agents: A survey. Sci. China Inf. Sci. 2025, 68, 121101. https://doi.org/10.1007/s11432-024-4222-0.</w:t>
      </w:r>
    </w:p>
    <w:p>
      <w:pPr>
        <w:pStyle w:val="MDPI81references"/>
      </w:pPr>
      <w:r>
        <w:t>29. Du, Y.; Li, S.; Torralba, A.; Tenenbaum, J.B.; Mordatch, I. Improving factuality and reasoning in language models through multiagent debate. In Proceedings of the 41st International Conference on Machine Learning (ICML 2024), Vienna, Austria, 21–27 July 2024; PMLR: Vienna, Austria, 2024; Volume 235, pp. 11733–11763.</w:t>
      </w:r>
    </w:p>
    <w:p>
      <w:pPr>
        <w:pStyle w:val="MDPI81references"/>
      </w:pPr>
      <w:r>
        <w:t>30. Wei, J.; Wang, X.; Schuurmans, D.; Bosma, M.; Ichter, B.; Xia, F.; Chi, E.H.; Le, Q.V.; Zhou, D. Chain-of-thought prompting elicits reasoning in large language models. Adv. Neural Inf. Process. Syst. 2022, 35, 24824–24837.</w:t>
      </w:r>
    </w:p>
    <w:p>
      <w:pPr>
        <w:pStyle w:val="MDPI81references"/>
      </w:pPr>
      <w:r>
        <w:t>31. Iovane, G.; Di Gironimo, P.; Chinnici, M.; Rapuano, A. Decision and reasoning in incompleteness or uncertainty conditions. IEEE Access 2020, 8, 115109–115122. https://doi.org/10.1109/ACCESS.2020.3003726.</w:t>
      </w:r>
    </w:p>
    <w:p>
      <w:pPr>
        <w:pStyle w:val="MDPI81references"/>
      </w:pPr>
      <w:r>
        <w:t>32. Bouchaud, J.-P.; Potters, M. Theory of Financial Risk and Derivative Pricing: From Statistical Physics to Risk Management, 2nd ed.; Cambridge University Press: Cambridge, UK, 2003; ISBN 978-0-521-81916-8.</w:t>
      </w:r>
    </w:p>
    <w:p>
      <w:pPr>
        <w:pStyle w:val="MDPI81references"/>
      </w:pPr>
      <w:r>
        <w:t>33. Deng, Y.; Bao, F.; Kong, Y.; Ren, Z.; Dai, Q. Deep direct reinforcement learning for financial signal representation and trading. IEEE Trans. Neural Netw. Learn. Syst. 2017, 28, 653–664. https://doi.org/10.1109/TNNLS.2016.2522401.</w:t>
      </w:r>
    </w:p>
    <w:p>
      <w:pPr>
        <w:pStyle w:val="MDPI81references"/>
      </w:pPr>
      <w:r>
        <w:t>34. Moody, J.; Saffell, M. Learning to trade via direct reinforcement. IEEE Trans. Neural Netw. 2001, 12, 875–889. https://doi.org/10.1109/72.935097.</w:t>
      </w:r>
    </w:p>
    <w:p>
      <w:pPr>
        <w:pStyle w:val="MDPI81references"/>
      </w:pPr>
      <w:r>
        <w:t>35. Blackledge, J.M.; Murphy, K. Currency trading using the fractal market hypothesis. In Risk Management Trends; Nota, G., Ed.; IntechOpen: London, UK, 2011; ISBN 978-953-307-314-9. https://doi.org/10.5772/16249.</w:t>
      </w:r>
    </w:p>
    <w:p>
      <w:pPr>
        <w:pStyle w:val="MDPI81references"/>
      </w:pPr>
      <w:r>
        <w:t>36. Dacorogna, M.M.; Gençay, R.; Müller, U.; Olsen, R.B.; Pictet, O.V. An Introduction to High-Frequency Finance; Academic Press: San Diego, CA, USA, 2001; ISBN 978-0-12-279671-5.</w:t>
      </w:r>
    </w:p>
    <w:p>
      <w:pPr>
        <w:pStyle w:val="MDPI81references"/>
      </w:pPr>
      <w:r>
        <w:t>37. Peters, E.E. Fractal Market Analysis: Applying Chaos Theory to Investment and Economics; Wiley: New York, NY, USA, 1994; ISBN 978-0-471-58524-4.</w:t>
      </w:r>
    </w:p>
    <w:p>
      <w:pPr>
        <w:pStyle w:val="MDPI81references"/>
      </w:pPr>
      <w:r>
        <w:t>38. Cover, T.M.; Thomas, J.A. Elements of Information Theory, 2nd ed.; Wiley-Interscience: Hoboken, NJ, USA, 2006; ISBN 978-0-471-24195-9.</w:t>
      </w:r>
    </w:p>
    <w:p>
      <w:pPr>
        <w:pStyle w:val="MDPI81references"/>
      </w:pPr>
      <w:r>
        <w:t>39. Iovane, G.; Landi, R.E.; Rapuano, A.; Amatore, R. Assessing the relevance of opinions in uncertainty and info-incompleteness conditions. Appl. Sci. 2022, 12, 194. https://doi.org/10.3390/app12010194.</w:t>
      </w:r>
    </w:p>
    <w:p>
      <w:pPr>
        <w:pStyle w:val="MDPI81references"/>
      </w:pPr>
      <w:r>
        <w:t>40. Yao, S.; Zhao, J.; Yu, D.; Du, N.; Shafran, I.; Narasimhan, K.; Cao, Y. ReAct: Synergizing reasoning and acting in language models. In Proceedings of the Eleventh International Conference on Learning Representations (ICLR 2023), Kigali, Rwanda, 1–5 May 2023.</w:t>
      </w:r>
    </w:p>
    <w:p>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Physics (QED)</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 (finance)</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 (software)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Fermion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 commercial / retail operator ($o_i, o_c, o_r$)</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Operator-level agent ($\mathcal{A}_i, \mathcal{A}_c, \mathcal{A}_r$)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Antiparticle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Bearish/bullish counterpart ($o^\pm$)</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Direction label attached to agent proposal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Photon γ (gauge boson)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F (gauge boson of financial field)</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Belief message with confidence score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Elastic scattering</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$o^\pm \to o^\pm + F$</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Divergent belief broadcast to peers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Annihilation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 o^- \to xF$ with $x \ge 2$</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Trade execution with emitted provenance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Pair production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 \to o^+ o^-$</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Position closing with realised outcome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Speed of light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Maximum instantaneous price speed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Tick-level velocity cap</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Planck constant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Financial quantum of action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Elementary action unit (PIP·tick)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Sub-agent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Input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Output</w:t>
            </w:r>
          </w:p>
        </w:tc>
        <w:tc>
          <w:tcPr>
            <w:tcW w:type="dxa" w:w="2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Primary role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Signal</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 window 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scaling exponent $\phi_{\text{local}}$, wavelet coefficients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Multiscale decomposition and scale-law estimation</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Energy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 wavelet features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$E \in \{7,...,35\}$</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strategic potential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Entropy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$S \in \{0,...,12\}$</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disorder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Risk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All sub-agent outputs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$R$, dispersion $\sigma$</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Epistemic quality of the estimate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Execution</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Consensus decision + current market state (order book)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Order specification (side, size, price constraints)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Materialisation of the trade in the venue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900"/>
        <w:gridCol w:w="900"/>
        <w:gridCol w:w="2040"/>
        <w:gridCol w:w="2340"/>
        <w:gridCol w:w="1740"/>
      </w:tblGrid>
      <w:tr>
        <w:trPr>
          <w:tblHeader/>
        </w:trPr>
        <w:tc>
          <w:tcPr>
            <w:tcW w:type="dxa" w:w="14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E</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w:t>
            </w:r>
          </w:p>
        </w:tc>
        <w:tc>
          <w:tcPr>
            <w:tcW w:type="dxa" w:w="20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Strategy class</w:t>
            </w:r>
          </w:p>
        </w:tc>
        <w:tc>
          <w:tcPr>
            <w:tcW w:type="dxa" w:w="23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Dominant operator agent</w:t>
            </w:r>
          </w:p>
        </w:tc>
        <w:tc>
          <w:tcPr>
            <w:tcW w:type="dxa" w:w="17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Size policy</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III (Spring)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Trend following</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$\mathcal{A}_i, \mathcal{A}_c$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Full, reliability-gated</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IX (Summer)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$\mathcal{A}_r$</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Reduced, tight stops</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VII (Autumn)</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reversion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Modest, scaling in</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 (Winter)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Stand aside</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Null</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 (Neutral)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Exploration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Balanced</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Probe size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Metric</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Value</w:t>
            </w:r>
          </w:p>
        </w:tc>
        <w:tc>
          <w:tcPr>
            <w:tcW w:type="dxa" w:w="3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Interpretation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Target scaling exponent $\phi$</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0.618</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 golden-mean prescription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Estimated exponent $\phi_{\text{est}}$</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0.469</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regime deviates from the nominal exponent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$E$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20</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Moderate strategic energy</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$S$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7</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 entropic content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Dominant subscenario</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Region VIII–IX boundary</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Transitional chaotic-at-high-S regime</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Selected strategy class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Consistent with Table 3 assignment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Size policy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0.33 × max</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Reliability-gated reduction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reliability $R \in [0,1]$</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0.62</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Acceptable but below the directional-trade threshold (0.75)</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1500"/>
        <w:gridCol w:w="130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Method</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 95% CI</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Latency (days)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[0.568, 0.636]</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Rolling-vol threshold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0.866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[0.505, 0.578]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literature defaults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0.719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[0.616, 0.684]</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MLE-fitted on pre-2013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0.902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[0.664, 0.723]</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Momentum detector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0.219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[0.180, 0.258]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4.0</w:t>
            </w:r>
          </w:p>
        </w:tc>
      </w:tr>
    </w:tbl>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880"/>
        <w:gridCol w:w="1200"/>
        <w:gridCol w:w="1200"/>
        <w:gridCol w:w="1200"/>
        <w:gridCol w:w="1200"/>
        <w:gridCol w:w="1200"/>
      </w:tblGrid>
      <w:tr>
        <w:trPr>
          <w:tblHeader/>
        </w:trPr>
        <w:tc>
          <w:tcPr>
            <w:tcW w:type="dxa" w:w="28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Configuration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 cooperation +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cooperation layer</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0.763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0.591</w:t>
            </w:r>
          </w:p>
        </w:tc>
      </w:tr>
    </w:tbl>
    <w:tbl>
      <w:tblPr>
        <w:tblW w:type="dxa" w:w="832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700"/>
        <w:gridCol w:w="1100"/>
        <w:gridCol w:w="1100"/>
        <w:gridCol w:w="1100"/>
      </w:tblGrid>
      <w:tr>
        <w:trPr>
          <w:tblHeader/>
        </w:trPr>
        <w:tc>
          <w:tcPr>
            <w:tcW w:type="dxa" w:w="25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Crisis episode</w:t>
            </w:r>
          </w:p>
        </w:tc>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Window</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Ground truth</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Rolling-vol</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 Global Financial Crisis</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2008-09-01 to 2009-03-31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 European sovereign debt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2010-04-01 to 2010-08-31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 Swiss-franc floor removal</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2015-01-01 to 2015-03-31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 Brexit referendum</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2016-06-20 to 2016-09-30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 COVID-19 shock</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2020-03-01 to 2020-05-31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 Russia–Ukraine conflict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2022-02-15 to 2022-06-30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700"/>
        <w:gridCol w:w="1000"/>
        <w:gridCol w:w="1100"/>
        <w:gridCol w:w="1100"/>
        <w:gridCol w:w="1100"/>
        <w:gridCol w:w="100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Sub-sample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Period</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Obs.</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Regime 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2001 – 2012</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2169</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374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0.891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0.587</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Post-split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2013 – 2026</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1171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0.961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0.507</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0.640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Symbol</w:t>
            </w:r>
          </w:p>
        </w:tc>
        <w:tc>
          <w:tcPr>
            <w:tcW w:type="dxa" w:w="6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Meaning</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Invested margin of an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$V_{\text{lot}}$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Value of one elementary lot</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$N_{\text{lots}}$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Number of lots (contracts)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$\varsigma, \varrho$</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Prefactors in the MRQF volatility scaling law</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$\phi$</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Golden-mean scaling exponent, $(\sqrt{5}-1)/2 \approx 0.618$</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speed of price information (instrument-level)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quantum of action (PIP·tick)</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 \lambda$</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Frequency and wavelength of price evolution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\in \{7,\dots,35\}$</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energy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 \in \{0,\dots,12\}$</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entropy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Empirical probabilities of current $E$ and $S$ bands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 \in [0,1]$</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score of a consensus estimate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$\sigma$</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Inter-sub-agent dispersion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$\sigma^\star$</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Cooperation/competition threshold</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$\mathcal{A}_i, \mathcal{A}_c, \mathcal{A}_r$</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commercial, retail agents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$o^\pm$</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Bullish/bearish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(MRQF interaction quantum)</w:t>
            </w:r>
          </w:p>
        </w:tc>
      </w:tr>
    </w:tbl>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