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219BB" w14:textId="54FAE7AB" w:rsidR="004D02AC" w:rsidRDefault="00BB4AC2" w:rsidP="00F60F9A">
      <w:pPr>
        <w:jc w:val="center"/>
        <w:rPr>
          <w:sz w:val="32"/>
          <w:szCs w:val="32"/>
        </w:rPr>
      </w:pPr>
      <w:r>
        <w:rPr>
          <w:b/>
          <w:bCs/>
          <w:sz w:val="32"/>
          <w:szCs w:val="32"/>
        </w:rPr>
        <w:t>V</w:t>
      </w:r>
      <w:r w:rsidR="00BE6EB9">
        <w:rPr>
          <w:b/>
          <w:bCs/>
          <w:sz w:val="32"/>
          <w:szCs w:val="32"/>
        </w:rPr>
        <w:t>ery Safe Bank</w:t>
      </w:r>
      <w:bookmarkStart w:id="0" w:name="_GoBack"/>
      <w:bookmarkEnd w:id="0"/>
      <w:r>
        <w:rPr>
          <w:b/>
          <w:bCs/>
          <w:sz w:val="32"/>
          <w:szCs w:val="32"/>
        </w:rPr>
        <w:t xml:space="preserve"> </w:t>
      </w:r>
      <w:r w:rsidR="00F60F9A">
        <w:rPr>
          <w:b/>
          <w:bCs/>
          <w:sz w:val="32"/>
          <w:szCs w:val="32"/>
        </w:rPr>
        <w:t xml:space="preserve">Contingency </w:t>
      </w:r>
      <w:r w:rsidR="005D1247">
        <w:rPr>
          <w:b/>
          <w:bCs/>
          <w:sz w:val="32"/>
          <w:szCs w:val="32"/>
        </w:rPr>
        <w:t xml:space="preserve">Plan </w:t>
      </w:r>
      <w:r w:rsidR="00F60F9A">
        <w:rPr>
          <w:b/>
          <w:bCs/>
          <w:sz w:val="32"/>
          <w:szCs w:val="32"/>
        </w:rPr>
        <w:t>Policy</w:t>
      </w:r>
    </w:p>
    <w:p w14:paraId="40BD38CF" w14:textId="117DF29B" w:rsidR="00F60F9A" w:rsidRDefault="00F60F9A" w:rsidP="00F60F9A">
      <w:pPr>
        <w:jc w:val="right"/>
        <w:rPr>
          <w:sz w:val="24"/>
          <w:szCs w:val="24"/>
        </w:rPr>
      </w:pPr>
      <w:r>
        <w:rPr>
          <w:sz w:val="24"/>
          <w:szCs w:val="24"/>
        </w:rPr>
        <w:t>Geldi Omeri</w:t>
      </w:r>
      <w:r>
        <w:rPr>
          <w:sz w:val="24"/>
          <w:szCs w:val="24"/>
        </w:rPr>
        <w:br/>
        <w:t>ITMS-588</w:t>
      </w:r>
    </w:p>
    <w:p w14:paraId="1687DC09" w14:textId="77777777" w:rsidR="00BB4AC2" w:rsidRDefault="00BB4AC2" w:rsidP="00100F0D">
      <w:pPr>
        <w:jc w:val="center"/>
        <w:rPr>
          <w:b/>
          <w:bCs/>
          <w:sz w:val="28"/>
          <w:szCs w:val="28"/>
        </w:rPr>
      </w:pPr>
    </w:p>
    <w:p w14:paraId="27D0F17D" w14:textId="291144C4" w:rsidR="00100F0D" w:rsidRDefault="00100F0D" w:rsidP="00100F0D">
      <w:pPr>
        <w:jc w:val="center"/>
        <w:rPr>
          <w:b/>
          <w:bCs/>
          <w:sz w:val="28"/>
          <w:szCs w:val="28"/>
        </w:rPr>
      </w:pPr>
      <w:r>
        <w:rPr>
          <w:b/>
          <w:bCs/>
          <w:sz w:val="28"/>
          <w:szCs w:val="28"/>
        </w:rPr>
        <w:t>Overview</w:t>
      </w:r>
    </w:p>
    <w:p w14:paraId="085ADDB6" w14:textId="15FAA7BD" w:rsidR="00100F0D" w:rsidRPr="00BB4AC2" w:rsidRDefault="006C346B" w:rsidP="006C346B">
      <w:pPr>
        <w:rPr>
          <w:sz w:val="24"/>
          <w:szCs w:val="24"/>
        </w:rPr>
      </w:pPr>
      <w:r>
        <w:rPr>
          <w:sz w:val="24"/>
          <w:szCs w:val="24"/>
        </w:rPr>
        <w:tab/>
        <w:t>A contingency plan is a necessary step in preparing Very Safe Bank for a variety of disasters. The contingency plan is not limited to tackling only natural disasters such as tornados and blizzards but also include any potential black-outs or brown-outs and any other event that could delay business operations and services.</w:t>
      </w:r>
      <w:r w:rsidR="005E2194">
        <w:rPr>
          <w:sz w:val="24"/>
          <w:szCs w:val="24"/>
        </w:rPr>
        <w:t xml:space="preserve"> The contingency plan aims to identify the critical business </w:t>
      </w:r>
      <w:r w:rsidR="00521583">
        <w:rPr>
          <w:sz w:val="24"/>
          <w:szCs w:val="24"/>
        </w:rPr>
        <w:t xml:space="preserve">systems, </w:t>
      </w:r>
      <w:r w:rsidR="005E2194">
        <w:rPr>
          <w:sz w:val="24"/>
          <w:szCs w:val="24"/>
        </w:rPr>
        <w:t>operations</w:t>
      </w:r>
      <w:r w:rsidR="00521583">
        <w:rPr>
          <w:sz w:val="24"/>
          <w:szCs w:val="24"/>
        </w:rPr>
        <w:t>,</w:t>
      </w:r>
      <w:r w:rsidR="005E2194">
        <w:rPr>
          <w:sz w:val="24"/>
          <w:szCs w:val="24"/>
        </w:rPr>
        <w:t xml:space="preserve"> and assets and enable an effective recovery process </w:t>
      </w:r>
      <w:r w:rsidR="00DA342B">
        <w:rPr>
          <w:sz w:val="24"/>
          <w:szCs w:val="24"/>
        </w:rPr>
        <w:t>if</w:t>
      </w:r>
      <w:r w:rsidR="005E2194">
        <w:rPr>
          <w:sz w:val="24"/>
          <w:szCs w:val="24"/>
        </w:rPr>
        <w:t xml:space="preserve"> normal business operations are affected by a disaster.</w:t>
      </w:r>
      <w:r w:rsidR="00DA342B">
        <w:rPr>
          <w:sz w:val="24"/>
          <w:szCs w:val="24"/>
        </w:rPr>
        <w:t xml:space="preserve"> </w:t>
      </w:r>
      <w:r w:rsidR="00B13A40">
        <w:rPr>
          <w:sz w:val="24"/>
          <w:szCs w:val="24"/>
        </w:rPr>
        <w:t>Managements support and attention during contingency planning for disasters is required for this policy to be successful.</w:t>
      </w:r>
    </w:p>
    <w:p w14:paraId="711F3BDE" w14:textId="5648AEC1" w:rsidR="00100F0D" w:rsidRPr="00BB4AC2" w:rsidRDefault="00100F0D" w:rsidP="00100F0D">
      <w:pPr>
        <w:jc w:val="center"/>
        <w:rPr>
          <w:sz w:val="24"/>
          <w:szCs w:val="24"/>
        </w:rPr>
      </w:pPr>
    </w:p>
    <w:p w14:paraId="3D650CBD" w14:textId="378C7BCB" w:rsidR="00100F0D" w:rsidRDefault="00100F0D" w:rsidP="00100F0D">
      <w:pPr>
        <w:jc w:val="center"/>
        <w:rPr>
          <w:b/>
          <w:bCs/>
          <w:sz w:val="28"/>
          <w:szCs w:val="28"/>
        </w:rPr>
      </w:pPr>
      <w:r>
        <w:rPr>
          <w:b/>
          <w:bCs/>
          <w:sz w:val="28"/>
          <w:szCs w:val="28"/>
        </w:rPr>
        <w:t>Purpose</w:t>
      </w:r>
    </w:p>
    <w:p w14:paraId="2375FCAE" w14:textId="38B9F51C" w:rsidR="00100F0D" w:rsidRPr="00BB4AC2" w:rsidRDefault="000814E6" w:rsidP="000814E6">
      <w:pPr>
        <w:ind w:firstLine="720"/>
        <w:rPr>
          <w:sz w:val="24"/>
          <w:szCs w:val="24"/>
        </w:rPr>
      </w:pPr>
      <w:r>
        <w:rPr>
          <w:sz w:val="24"/>
          <w:szCs w:val="24"/>
        </w:rPr>
        <w:t>The contingency policy provides a path forward in recovering business systems, operations, and assets during and after a disaster. The policy establishes the minimum requirements necessary for Very Safe Bank to develop and implement a successful contingency plan</w:t>
      </w:r>
      <w:r w:rsidR="00DA1A9C">
        <w:rPr>
          <w:sz w:val="24"/>
          <w:szCs w:val="24"/>
        </w:rPr>
        <w:t>.</w:t>
      </w:r>
    </w:p>
    <w:p w14:paraId="32A300D7" w14:textId="3264086E" w:rsidR="00100F0D" w:rsidRPr="00BB4AC2" w:rsidRDefault="00100F0D" w:rsidP="00100F0D">
      <w:pPr>
        <w:jc w:val="center"/>
        <w:rPr>
          <w:sz w:val="24"/>
          <w:szCs w:val="24"/>
        </w:rPr>
      </w:pPr>
    </w:p>
    <w:p w14:paraId="42A43E83" w14:textId="25895720" w:rsidR="00100F0D" w:rsidRDefault="00100F0D" w:rsidP="00100F0D">
      <w:pPr>
        <w:jc w:val="center"/>
        <w:rPr>
          <w:b/>
          <w:bCs/>
          <w:sz w:val="28"/>
          <w:szCs w:val="28"/>
        </w:rPr>
      </w:pPr>
      <w:r>
        <w:rPr>
          <w:b/>
          <w:bCs/>
          <w:sz w:val="28"/>
          <w:szCs w:val="28"/>
        </w:rPr>
        <w:t>Scope</w:t>
      </w:r>
    </w:p>
    <w:p w14:paraId="20E02B69" w14:textId="340F0802" w:rsidR="00100F0D" w:rsidRPr="00BB4AC2" w:rsidRDefault="003B4D35" w:rsidP="003B4D35">
      <w:pPr>
        <w:rPr>
          <w:sz w:val="24"/>
          <w:szCs w:val="24"/>
        </w:rPr>
      </w:pPr>
      <w:r>
        <w:rPr>
          <w:sz w:val="24"/>
          <w:szCs w:val="24"/>
        </w:rPr>
        <w:tab/>
        <w:t>This policy sets the expectation for a contingency plan to be established for the Very Safe Bank Chicago Headquarters location. This polic</w:t>
      </w:r>
      <w:r w:rsidR="00472F4E">
        <w:rPr>
          <w:sz w:val="24"/>
          <w:szCs w:val="24"/>
        </w:rPr>
        <w:t xml:space="preserve">y </w:t>
      </w:r>
      <w:r>
        <w:rPr>
          <w:sz w:val="24"/>
          <w:szCs w:val="24"/>
        </w:rPr>
        <w:t>does not detail the specifics of the contingency plan.</w:t>
      </w:r>
    </w:p>
    <w:p w14:paraId="15FDCA09" w14:textId="443C6CF2" w:rsidR="00100F0D" w:rsidRPr="00BB4AC2" w:rsidRDefault="00100F0D" w:rsidP="00100F0D">
      <w:pPr>
        <w:jc w:val="center"/>
        <w:rPr>
          <w:sz w:val="24"/>
          <w:szCs w:val="24"/>
        </w:rPr>
      </w:pPr>
    </w:p>
    <w:p w14:paraId="5D2C6A29" w14:textId="7BBB013D" w:rsidR="00100F0D" w:rsidRDefault="00100F0D" w:rsidP="00100F0D">
      <w:pPr>
        <w:jc w:val="center"/>
        <w:rPr>
          <w:b/>
          <w:bCs/>
          <w:sz w:val="28"/>
          <w:szCs w:val="28"/>
        </w:rPr>
      </w:pPr>
      <w:r>
        <w:rPr>
          <w:b/>
          <w:bCs/>
          <w:sz w:val="28"/>
          <w:szCs w:val="28"/>
        </w:rPr>
        <w:t>Policy Statements</w:t>
      </w:r>
    </w:p>
    <w:p w14:paraId="0422C9AE" w14:textId="7A340AFC" w:rsidR="00521583" w:rsidRDefault="00521583" w:rsidP="00521583">
      <w:pPr>
        <w:rPr>
          <w:sz w:val="24"/>
          <w:szCs w:val="24"/>
        </w:rPr>
      </w:pPr>
      <w:r>
        <w:rPr>
          <w:sz w:val="24"/>
          <w:szCs w:val="24"/>
        </w:rPr>
        <w:tab/>
        <w:t xml:space="preserve">The focus of a contingency plan is to protect confidentiality, integrity, and availability of critical VSB systems, operations, and assets during </w:t>
      </w:r>
      <w:r w:rsidR="00731E1E">
        <w:rPr>
          <w:sz w:val="24"/>
          <w:szCs w:val="24"/>
        </w:rPr>
        <w:t>an emergency</w:t>
      </w:r>
      <w:r>
        <w:rPr>
          <w:sz w:val="24"/>
          <w:szCs w:val="24"/>
        </w:rPr>
        <w:t xml:space="preserve"> or disaster.</w:t>
      </w:r>
      <w:r w:rsidR="00731E1E">
        <w:rPr>
          <w:sz w:val="24"/>
          <w:szCs w:val="24"/>
        </w:rPr>
        <w:t xml:space="preserve"> The responsibility for contingency planning and funding falls on IT management</w:t>
      </w:r>
      <w:r w:rsidR="001126AD">
        <w:rPr>
          <w:sz w:val="24"/>
          <w:szCs w:val="24"/>
        </w:rPr>
        <w:t xml:space="preserve"> and</w:t>
      </w:r>
      <w:r w:rsidR="00731E1E">
        <w:rPr>
          <w:sz w:val="24"/>
          <w:szCs w:val="24"/>
        </w:rPr>
        <w:t xml:space="preserve"> senior leadership.</w:t>
      </w:r>
      <w:r w:rsidR="002E6A22">
        <w:rPr>
          <w:sz w:val="24"/>
          <w:szCs w:val="24"/>
        </w:rPr>
        <w:t xml:space="preserve"> The responsibility to develop and maintain the plan falls on the policy champion and</w:t>
      </w:r>
      <w:r w:rsidR="00D6592F">
        <w:rPr>
          <w:sz w:val="24"/>
          <w:szCs w:val="24"/>
        </w:rPr>
        <w:t>/or</w:t>
      </w:r>
      <w:r w:rsidR="002E6A22">
        <w:rPr>
          <w:sz w:val="24"/>
          <w:szCs w:val="24"/>
        </w:rPr>
        <w:t xml:space="preserve"> the contingency plan coordinator.</w:t>
      </w:r>
    </w:p>
    <w:p w14:paraId="39965DCF" w14:textId="508C04EC" w:rsidR="006453D3" w:rsidRDefault="006453D3" w:rsidP="00521583">
      <w:pPr>
        <w:rPr>
          <w:sz w:val="24"/>
          <w:szCs w:val="24"/>
        </w:rPr>
      </w:pPr>
      <w:r>
        <w:rPr>
          <w:sz w:val="24"/>
          <w:szCs w:val="24"/>
        </w:rPr>
        <w:t xml:space="preserve">The plan will </w:t>
      </w:r>
      <w:r w:rsidR="00636C86">
        <w:rPr>
          <w:sz w:val="24"/>
          <w:szCs w:val="24"/>
        </w:rPr>
        <w:t>be periodically</w:t>
      </w:r>
      <w:r>
        <w:rPr>
          <w:sz w:val="24"/>
          <w:szCs w:val="24"/>
        </w:rPr>
        <w:t xml:space="preserve"> test</w:t>
      </w:r>
      <w:r w:rsidR="00636C86">
        <w:rPr>
          <w:sz w:val="24"/>
          <w:szCs w:val="24"/>
        </w:rPr>
        <w:t xml:space="preserve">ed on an annual </w:t>
      </w:r>
      <w:r w:rsidR="00B8031B">
        <w:rPr>
          <w:sz w:val="24"/>
          <w:szCs w:val="24"/>
        </w:rPr>
        <w:t>basis</w:t>
      </w:r>
      <w:r>
        <w:rPr>
          <w:sz w:val="24"/>
          <w:szCs w:val="24"/>
        </w:rPr>
        <w:t xml:space="preserve"> to identify and analyze unforeseen problems and areas for improvement. The plan will be updated and revised in response to </w:t>
      </w:r>
      <w:r>
        <w:rPr>
          <w:sz w:val="24"/>
          <w:szCs w:val="24"/>
        </w:rPr>
        <w:lastRenderedPageBreak/>
        <w:t>these tests and to changes in the organization and technology.</w:t>
      </w:r>
      <w:r w:rsidR="00636C86">
        <w:rPr>
          <w:sz w:val="24"/>
          <w:szCs w:val="24"/>
        </w:rPr>
        <w:t xml:space="preserve"> </w:t>
      </w:r>
      <w:r>
        <w:rPr>
          <w:sz w:val="24"/>
          <w:szCs w:val="24"/>
        </w:rPr>
        <w:t xml:space="preserve">Revisions will be documented as they are incorporated. </w:t>
      </w:r>
    </w:p>
    <w:p w14:paraId="502B8449" w14:textId="20C01643" w:rsidR="00100F0D" w:rsidRDefault="00521583" w:rsidP="00521583">
      <w:pPr>
        <w:rPr>
          <w:sz w:val="24"/>
          <w:szCs w:val="24"/>
        </w:rPr>
      </w:pPr>
      <w:r>
        <w:rPr>
          <w:sz w:val="24"/>
          <w:szCs w:val="24"/>
        </w:rPr>
        <w:t>The following requirements must be met:</w:t>
      </w:r>
    </w:p>
    <w:p w14:paraId="7E70CB8D" w14:textId="77DC2CA9" w:rsidR="00521583" w:rsidRDefault="00D44DFF" w:rsidP="00521583">
      <w:pPr>
        <w:pStyle w:val="ListParagraph"/>
        <w:numPr>
          <w:ilvl w:val="0"/>
          <w:numId w:val="1"/>
        </w:numPr>
        <w:rPr>
          <w:sz w:val="24"/>
          <w:szCs w:val="24"/>
        </w:rPr>
      </w:pPr>
      <w:r>
        <w:rPr>
          <w:sz w:val="24"/>
          <w:szCs w:val="24"/>
        </w:rPr>
        <w:t xml:space="preserve">Criticality/Priority List: </w:t>
      </w:r>
      <w:r w:rsidR="00A163E6">
        <w:rPr>
          <w:sz w:val="24"/>
          <w:szCs w:val="24"/>
        </w:rPr>
        <w:t>Identify and prioritize business critical systems, operations, and assets.</w:t>
      </w:r>
      <w:r w:rsidR="007E3617">
        <w:rPr>
          <w:sz w:val="24"/>
          <w:szCs w:val="24"/>
        </w:rPr>
        <w:t xml:space="preserve"> Detail relevant information regarding each item including factors such as confidentiality.</w:t>
      </w:r>
    </w:p>
    <w:p w14:paraId="30214FBA" w14:textId="60E4B20F" w:rsidR="00A163E6" w:rsidRDefault="00A163E6" w:rsidP="00521583">
      <w:pPr>
        <w:pStyle w:val="ListParagraph"/>
        <w:numPr>
          <w:ilvl w:val="0"/>
          <w:numId w:val="1"/>
        </w:numPr>
        <w:rPr>
          <w:sz w:val="24"/>
          <w:szCs w:val="24"/>
        </w:rPr>
      </w:pPr>
      <w:r>
        <w:rPr>
          <w:sz w:val="24"/>
          <w:szCs w:val="24"/>
        </w:rPr>
        <w:t>Natural Disaster Contingency Plan: Determine how disasters such as floods, fires, and tornados would affect business functions. What actions would be taken? What resources are needed to combat each situation?</w:t>
      </w:r>
    </w:p>
    <w:p w14:paraId="7CC3D75C" w14:textId="2FA61778" w:rsidR="00A163E6" w:rsidRDefault="00A163E6" w:rsidP="00521583">
      <w:pPr>
        <w:pStyle w:val="ListParagraph"/>
        <w:numPr>
          <w:ilvl w:val="0"/>
          <w:numId w:val="1"/>
        </w:numPr>
        <w:rPr>
          <w:sz w:val="24"/>
          <w:szCs w:val="24"/>
        </w:rPr>
      </w:pPr>
      <w:r>
        <w:rPr>
          <w:sz w:val="24"/>
          <w:szCs w:val="24"/>
        </w:rPr>
        <w:t>Data Backup Plan: Identify</w:t>
      </w:r>
      <w:r w:rsidR="00103640">
        <w:rPr>
          <w:sz w:val="24"/>
          <w:szCs w:val="24"/>
        </w:rPr>
        <w:t xml:space="preserve"> and detail critical</w:t>
      </w:r>
      <w:r>
        <w:rPr>
          <w:sz w:val="24"/>
          <w:szCs w:val="24"/>
        </w:rPr>
        <w:t xml:space="preserve"> systems, data assets, and where they are stored</w:t>
      </w:r>
      <w:r w:rsidR="00103640">
        <w:rPr>
          <w:sz w:val="24"/>
          <w:szCs w:val="24"/>
        </w:rPr>
        <w:t>. Develop backup strategy for systems and data assets. Develop process for creation, maintenance, and retrieval of backups.</w:t>
      </w:r>
      <w:r w:rsidR="00D44DFF">
        <w:rPr>
          <w:sz w:val="24"/>
          <w:szCs w:val="24"/>
        </w:rPr>
        <w:t xml:space="preserve"> Set requirements for periodically testing the integrity and availability of backups.</w:t>
      </w:r>
    </w:p>
    <w:p w14:paraId="11DF366E" w14:textId="5FE2F703" w:rsidR="00D44DFF" w:rsidRDefault="00D44DFF" w:rsidP="00521583">
      <w:pPr>
        <w:pStyle w:val="ListParagraph"/>
        <w:numPr>
          <w:ilvl w:val="0"/>
          <w:numId w:val="1"/>
        </w:numPr>
        <w:rPr>
          <w:sz w:val="24"/>
          <w:szCs w:val="24"/>
        </w:rPr>
      </w:pPr>
      <w:r>
        <w:rPr>
          <w:sz w:val="24"/>
          <w:szCs w:val="24"/>
        </w:rPr>
        <w:t>Succession Plan: Determine and detail the flow of responsibility for staff duties in the absence of normal staff.</w:t>
      </w:r>
    </w:p>
    <w:p w14:paraId="212B0C47" w14:textId="5523AEC2" w:rsidR="00D44DFF" w:rsidRDefault="00CD63A7" w:rsidP="00521583">
      <w:pPr>
        <w:pStyle w:val="ListParagraph"/>
        <w:numPr>
          <w:ilvl w:val="0"/>
          <w:numId w:val="1"/>
        </w:numPr>
        <w:rPr>
          <w:sz w:val="24"/>
          <w:szCs w:val="24"/>
        </w:rPr>
      </w:pPr>
      <w:r>
        <w:rPr>
          <w:sz w:val="24"/>
          <w:szCs w:val="24"/>
        </w:rPr>
        <w:t>Equipment Replacement Plan: Document a list of business-critical equipment. Detail factors such as where to purchase from, who uses it, and serial number</w:t>
      </w:r>
      <w:r w:rsidR="00390EFB">
        <w:rPr>
          <w:sz w:val="24"/>
          <w:szCs w:val="24"/>
        </w:rPr>
        <w:t>/part number</w:t>
      </w:r>
      <w:r>
        <w:rPr>
          <w:sz w:val="24"/>
          <w:szCs w:val="24"/>
        </w:rPr>
        <w:t xml:space="preserve"> if necessary.</w:t>
      </w:r>
    </w:p>
    <w:p w14:paraId="54F4308D" w14:textId="7AD80BD3" w:rsidR="00C0332F" w:rsidRDefault="00C0332F" w:rsidP="00521583">
      <w:pPr>
        <w:pStyle w:val="ListParagraph"/>
        <w:numPr>
          <w:ilvl w:val="0"/>
          <w:numId w:val="1"/>
        </w:numPr>
        <w:rPr>
          <w:sz w:val="24"/>
          <w:szCs w:val="24"/>
        </w:rPr>
      </w:pPr>
      <w:r>
        <w:rPr>
          <w:sz w:val="24"/>
          <w:szCs w:val="24"/>
        </w:rPr>
        <w:t>Public Relations Management: Establish person in charge of providing information to media regarding the incident/disaster.</w:t>
      </w:r>
    </w:p>
    <w:p w14:paraId="35F1C3B9" w14:textId="53512BB0" w:rsidR="00100F0D" w:rsidRPr="007A7386" w:rsidRDefault="0068571B" w:rsidP="007A7386">
      <w:pPr>
        <w:pStyle w:val="ListParagraph"/>
        <w:numPr>
          <w:ilvl w:val="0"/>
          <w:numId w:val="1"/>
        </w:numPr>
        <w:rPr>
          <w:sz w:val="24"/>
          <w:szCs w:val="24"/>
        </w:rPr>
      </w:pPr>
      <w:r>
        <w:rPr>
          <w:sz w:val="24"/>
          <w:szCs w:val="24"/>
        </w:rPr>
        <w:t>Emergency Mode Plan: Develop emergency procedures in the case following an incident that jeopardizes the business and/or human life. Develop alternative site fallbacks for essential business operations. Establish plan for exiting emergency mode and returning to normal business operations. Develop training program to train staff on emergency mode operations and procedures.</w:t>
      </w:r>
    </w:p>
    <w:p w14:paraId="52366DBD" w14:textId="0D1CD3E4" w:rsidR="00100F0D" w:rsidRPr="00BB4AC2" w:rsidRDefault="00100F0D" w:rsidP="00100F0D">
      <w:pPr>
        <w:jc w:val="center"/>
        <w:rPr>
          <w:sz w:val="24"/>
          <w:szCs w:val="24"/>
        </w:rPr>
      </w:pPr>
    </w:p>
    <w:p w14:paraId="7334250A" w14:textId="7A576722" w:rsidR="00100F0D" w:rsidRDefault="00100F0D" w:rsidP="00D76E00">
      <w:pPr>
        <w:jc w:val="center"/>
        <w:rPr>
          <w:b/>
          <w:bCs/>
          <w:sz w:val="28"/>
          <w:szCs w:val="28"/>
        </w:rPr>
      </w:pPr>
      <w:r>
        <w:rPr>
          <w:b/>
          <w:bCs/>
          <w:sz w:val="28"/>
          <w:szCs w:val="28"/>
        </w:rPr>
        <w:t>Related Policies</w:t>
      </w:r>
    </w:p>
    <w:p w14:paraId="2D693325" w14:textId="655EF380" w:rsidR="00F433C0" w:rsidRPr="0064116B" w:rsidRDefault="007C05C1" w:rsidP="0064116B">
      <w:pPr>
        <w:jc w:val="center"/>
        <w:rPr>
          <w:sz w:val="28"/>
          <w:szCs w:val="28"/>
        </w:rPr>
      </w:pPr>
      <w:r w:rsidRPr="0064116B">
        <w:rPr>
          <w:sz w:val="28"/>
          <w:szCs w:val="28"/>
        </w:rPr>
        <w:t>None</w:t>
      </w:r>
    </w:p>
    <w:p w14:paraId="521E76FD" w14:textId="77777777" w:rsidR="007C05C1" w:rsidRPr="00D76E00" w:rsidRDefault="007C05C1" w:rsidP="00F433C0">
      <w:pPr>
        <w:rPr>
          <w:b/>
          <w:bCs/>
          <w:sz w:val="28"/>
          <w:szCs w:val="28"/>
        </w:rPr>
      </w:pPr>
    </w:p>
    <w:p w14:paraId="2170D764" w14:textId="6BE2FEC2" w:rsidR="00100F0D" w:rsidRDefault="00100F0D" w:rsidP="00100F0D">
      <w:pPr>
        <w:jc w:val="center"/>
        <w:rPr>
          <w:b/>
          <w:bCs/>
          <w:sz w:val="28"/>
          <w:szCs w:val="28"/>
        </w:rPr>
      </w:pPr>
      <w:r>
        <w:rPr>
          <w:b/>
          <w:bCs/>
          <w:sz w:val="28"/>
          <w:szCs w:val="28"/>
        </w:rPr>
        <w:t>Definitions and Terms</w:t>
      </w:r>
    </w:p>
    <w:p w14:paraId="7B861AF7" w14:textId="15AEFFCF" w:rsidR="00F433C0" w:rsidRDefault="007A7386" w:rsidP="00772047">
      <w:pPr>
        <w:pStyle w:val="ListParagraph"/>
        <w:numPr>
          <w:ilvl w:val="0"/>
          <w:numId w:val="2"/>
        </w:numPr>
        <w:rPr>
          <w:sz w:val="24"/>
          <w:szCs w:val="24"/>
        </w:rPr>
      </w:pPr>
      <w:r>
        <w:rPr>
          <w:sz w:val="24"/>
          <w:szCs w:val="24"/>
        </w:rPr>
        <w:t>Disaster</w:t>
      </w:r>
      <w:r w:rsidR="00C0280A">
        <w:rPr>
          <w:sz w:val="24"/>
          <w:szCs w:val="24"/>
        </w:rPr>
        <w:t>/Incident</w:t>
      </w:r>
      <w:r>
        <w:rPr>
          <w:sz w:val="24"/>
          <w:szCs w:val="24"/>
        </w:rPr>
        <w:t xml:space="preserve"> – A sudden event, either accidental or a natural, that causes significant downtime or damage to business operations, systems, or assets.</w:t>
      </w:r>
    </w:p>
    <w:p w14:paraId="025CE63D" w14:textId="77481D24" w:rsidR="004A34F7" w:rsidRPr="007C05C1" w:rsidRDefault="00772047" w:rsidP="007C05C1">
      <w:pPr>
        <w:pStyle w:val="ListParagraph"/>
        <w:numPr>
          <w:ilvl w:val="0"/>
          <w:numId w:val="2"/>
        </w:numPr>
        <w:rPr>
          <w:sz w:val="24"/>
          <w:szCs w:val="24"/>
        </w:rPr>
      </w:pPr>
      <w:r>
        <w:rPr>
          <w:sz w:val="24"/>
          <w:szCs w:val="24"/>
        </w:rPr>
        <w:t>Business Critical – Necessary for the core functions of the business to continue running.</w:t>
      </w:r>
    </w:p>
    <w:p w14:paraId="4B055242" w14:textId="77777777" w:rsidR="00F433C0" w:rsidRPr="00BB4AC2" w:rsidRDefault="00F433C0" w:rsidP="00100F0D">
      <w:pPr>
        <w:jc w:val="center"/>
        <w:rPr>
          <w:sz w:val="24"/>
          <w:szCs w:val="24"/>
        </w:rPr>
      </w:pPr>
    </w:p>
    <w:p w14:paraId="6900B566" w14:textId="24B84FE5" w:rsidR="00100F0D" w:rsidRDefault="00100F0D" w:rsidP="00100F0D">
      <w:pPr>
        <w:jc w:val="center"/>
        <w:rPr>
          <w:b/>
          <w:bCs/>
          <w:sz w:val="28"/>
          <w:szCs w:val="28"/>
        </w:rPr>
      </w:pPr>
      <w:r>
        <w:rPr>
          <w:b/>
          <w:bCs/>
          <w:sz w:val="28"/>
          <w:szCs w:val="28"/>
        </w:rPr>
        <w:lastRenderedPageBreak/>
        <w:t>Revision History</w:t>
      </w:r>
    </w:p>
    <w:tbl>
      <w:tblPr>
        <w:tblStyle w:val="TableGrid"/>
        <w:tblW w:w="9445" w:type="dxa"/>
        <w:tblLook w:val="04A0" w:firstRow="1" w:lastRow="0" w:firstColumn="1" w:lastColumn="0" w:noHBand="0" w:noVBand="1"/>
      </w:tblPr>
      <w:tblGrid>
        <w:gridCol w:w="1800"/>
        <w:gridCol w:w="2340"/>
        <w:gridCol w:w="5305"/>
      </w:tblGrid>
      <w:tr w:rsidR="00F54055" w14:paraId="438D1F0A" w14:textId="77777777" w:rsidTr="00F54055">
        <w:tc>
          <w:tcPr>
            <w:tcW w:w="1800" w:type="dxa"/>
          </w:tcPr>
          <w:p w14:paraId="5830FA9B" w14:textId="6C71E02A" w:rsidR="00F54055" w:rsidRPr="007353CE" w:rsidRDefault="00F54055" w:rsidP="00636C86">
            <w:pPr>
              <w:rPr>
                <w:b/>
                <w:bCs/>
                <w:sz w:val="24"/>
                <w:szCs w:val="24"/>
              </w:rPr>
            </w:pPr>
            <w:r>
              <w:rPr>
                <w:b/>
                <w:bCs/>
                <w:sz w:val="24"/>
                <w:szCs w:val="24"/>
              </w:rPr>
              <w:t>Date</w:t>
            </w:r>
          </w:p>
        </w:tc>
        <w:tc>
          <w:tcPr>
            <w:tcW w:w="2340" w:type="dxa"/>
          </w:tcPr>
          <w:p w14:paraId="3745B8AF" w14:textId="013E5258" w:rsidR="00F54055" w:rsidRDefault="00F54055" w:rsidP="00636C86">
            <w:pPr>
              <w:rPr>
                <w:b/>
                <w:bCs/>
                <w:sz w:val="24"/>
                <w:szCs w:val="24"/>
              </w:rPr>
            </w:pPr>
            <w:r>
              <w:rPr>
                <w:b/>
                <w:bCs/>
                <w:sz w:val="24"/>
                <w:szCs w:val="24"/>
              </w:rPr>
              <w:t>Responsible</w:t>
            </w:r>
          </w:p>
        </w:tc>
        <w:tc>
          <w:tcPr>
            <w:tcW w:w="5305" w:type="dxa"/>
          </w:tcPr>
          <w:p w14:paraId="6A0B035E" w14:textId="24EBC4D5" w:rsidR="00F54055" w:rsidRPr="007353CE" w:rsidRDefault="00F54055" w:rsidP="00636C86">
            <w:pPr>
              <w:rPr>
                <w:b/>
                <w:bCs/>
                <w:sz w:val="24"/>
                <w:szCs w:val="24"/>
              </w:rPr>
            </w:pPr>
            <w:r>
              <w:rPr>
                <w:b/>
                <w:bCs/>
                <w:sz w:val="24"/>
                <w:szCs w:val="24"/>
              </w:rPr>
              <w:t>Comments</w:t>
            </w:r>
          </w:p>
        </w:tc>
      </w:tr>
      <w:tr w:rsidR="00F54055" w14:paraId="6A14DBC5" w14:textId="77777777" w:rsidTr="00F54055">
        <w:tc>
          <w:tcPr>
            <w:tcW w:w="1800" w:type="dxa"/>
          </w:tcPr>
          <w:p w14:paraId="6BC5996B" w14:textId="77777777" w:rsidR="00F54055" w:rsidRDefault="00F54055" w:rsidP="00636C86">
            <w:pPr>
              <w:rPr>
                <w:sz w:val="24"/>
                <w:szCs w:val="24"/>
              </w:rPr>
            </w:pPr>
          </w:p>
        </w:tc>
        <w:tc>
          <w:tcPr>
            <w:tcW w:w="2340" w:type="dxa"/>
          </w:tcPr>
          <w:p w14:paraId="6AF29BF9" w14:textId="77777777" w:rsidR="00F54055" w:rsidRDefault="00F54055" w:rsidP="00636C86">
            <w:pPr>
              <w:rPr>
                <w:sz w:val="24"/>
                <w:szCs w:val="24"/>
              </w:rPr>
            </w:pPr>
          </w:p>
        </w:tc>
        <w:tc>
          <w:tcPr>
            <w:tcW w:w="5305" w:type="dxa"/>
          </w:tcPr>
          <w:p w14:paraId="169B97A2" w14:textId="08CAE652" w:rsidR="00F54055" w:rsidRDefault="00F54055" w:rsidP="00636C86">
            <w:pPr>
              <w:rPr>
                <w:sz w:val="24"/>
                <w:szCs w:val="24"/>
              </w:rPr>
            </w:pPr>
          </w:p>
        </w:tc>
      </w:tr>
      <w:tr w:rsidR="00F54055" w14:paraId="0BB39E03" w14:textId="77777777" w:rsidTr="00F54055">
        <w:tc>
          <w:tcPr>
            <w:tcW w:w="1800" w:type="dxa"/>
          </w:tcPr>
          <w:p w14:paraId="5B02A26C" w14:textId="77777777" w:rsidR="00F54055" w:rsidRDefault="00F54055" w:rsidP="00636C86">
            <w:pPr>
              <w:rPr>
                <w:sz w:val="24"/>
                <w:szCs w:val="24"/>
              </w:rPr>
            </w:pPr>
          </w:p>
        </w:tc>
        <w:tc>
          <w:tcPr>
            <w:tcW w:w="2340" w:type="dxa"/>
          </w:tcPr>
          <w:p w14:paraId="2A2756F5" w14:textId="77777777" w:rsidR="00F54055" w:rsidRDefault="00F54055" w:rsidP="00636C86">
            <w:pPr>
              <w:rPr>
                <w:sz w:val="24"/>
                <w:szCs w:val="24"/>
              </w:rPr>
            </w:pPr>
          </w:p>
        </w:tc>
        <w:tc>
          <w:tcPr>
            <w:tcW w:w="5305" w:type="dxa"/>
          </w:tcPr>
          <w:p w14:paraId="0F1DF7AF" w14:textId="78568488" w:rsidR="00F54055" w:rsidRDefault="00F54055" w:rsidP="00636C86">
            <w:pPr>
              <w:rPr>
                <w:sz w:val="24"/>
                <w:szCs w:val="24"/>
              </w:rPr>
            </w:pPr>
          </w:p>
        </w:tc>
      </w:tr>
    </w:tbl>
    <w:p w14:paraId="4DDDC767" w14:textId="77777777" w:rsidR="00636C86" w:rsidRPr="00636C86" w:rsidRDefault="00636C86" w:rsidP="00636C86">
      <w:pPr>
        <w:rPr>
          <w:sz w:val="24"/>
          <w:szCs w:val="24"/>
        </w:rPr>
      </w:pPr>
    </w:p>
    <w:sectPr w:rsidR="00636C86" w:rsidRPr="0063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5F75"/>
    <w:multiLevelType w:val="hybridMultilevel"/>
    <w:tmpl w:val="98E4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75B5F"/>
    <w:multiLevelType w:val="hybridMultilevel"/>
    <w:tmpl w:val="0A06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5D1"/>
    <w:rsid w:val="000814E6"/>
    <w:rsid w:val="00100F0D"/>
    <w:rsid w:val="00103640"/>
    <w:rsid w:val="001126AD"/>
    <w:rsid w:val="001A0B6D"/>
    <w:rsid w:val="002956D9"/>
    <w:rsid w:val="002E6A22"/>
    <w:rsid w:val="0037375B"/>
    <w:rsid w:val="00390EFB"/>
    <w:rsid w:val="003B4D35"/>
    <w:rsid w:val="00472F4E"/>
    <w:rsid w:val="004A34F7"/>
    <w:rsid w:val="005165D1"/>
    <w:rsid w:val="00521583"/>
    <w:rsid w:val="005D1247"/>
    <w:rsid w:val="005E2194"/>
    <w:rsid w:val="00617595"/>
    <w:rsid w:val="0063478E"/>
    <w:rsid w:val="00636C86"/>
    <w:rsid w:val="0064116B"/>
    <w:rsid w:val="006453D3"/>
    <w:rsid w:val="0068571B"/>
    <w:rsid w:val="006C346B"/>
    <w:rsid w:val="006D0B6B"/>
    <w:rsid w:val="00731E1E"/>
    <w:rsid w:val="007353CE"/>
    <w:rsid w:val="00772047"/>
    <w:rsid w:val="007A7386"/>
    <w:rsid w:val="007B24DD"/>
    <w:rsid w:val="007C05C1"/>
    <w:rsid w:val="007C6DEB"/>
    <w:rsid w:val="007E3617"/>
    <w:rsid w:val="00992FD9"/>
    <w:rsid w:val="00A163E6"/>
    <w:rsid w:val="00A40460"/>
    <w:rsid w:val="00B13A40"/>
    <w:rsid w:val="00B432CA"/>
    <w:rsid w:val="00B8031B"/>
    <w:rsid w:val="00BB4AC2"/>
    <w:rsid w:val="00BE6EB9"/>
    <w:rsid w:val="00C0280A"/>
    <w:rsid w:val="00C0332F"/>
    <w:rsid w:val="00CD63A7"/>
    <w:rsid w:val="00D44DFF"/>
    <w:rsid w:val="00D6592F"/>
    <w:rsid w:val="00D76E00"/>
    <w:rsid w:val="00DA1A9C"/>
    <w:rsid w:val="00DA342B"/>
    <w:rsid w:val="00E0470B"/>
    <w:rsid w:val="00F433C0"/>
    <w:rsid w:val="00F54055"/>
    <w:rsid w:val="00F6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1D11"/>
  <w15:chartTrackingRefBased/>
  <w15:docId w15:val="{8D56AC8F-958B-4BB0-9A66-F2A38A1F0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583"/>
    <w:pPr>
      <w:ind w:left="720"/>
      <w:contextualSpacing/>
    </w:pPr>
  </w:style>
  <w:style w:type="table" w:styleId="TableGrid">
    <w:name w:val="Table Grid"/>
    <w:basedOn w:val="TableNormal"/>
    <w:uiPriority w:val="39"/>
    <w:rsid w:val="00636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607</Words>
  <Characters>3173</Characters>
  <Application>Microsoft Office Word</Application>
  <DocSecurity>0</DocSecurity>
  <Lines>70</Lines>
  <Paragraphs>24</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Geldi Omeri</dc:creator>
  <cp:keywords/>
  <dc:description/>
  <cp:lastModifiedBy>Geldi Omeri</cp:lastModifiedBy>
  <cp:revision>51</cp:revision>
  <dcterms:created xsi:type="dcterms:W3CDTF">2020-02-18T23:21:00Z</dcterms:created>
  <dcterms:modified xsi:type="dcterms:W3CDTF">2020-02-19T02:15:00Z</dcterms:modified>
</cp:coreProperties>
</file>