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12722414"/>
      <w:r>
        <w:rPr>
          <w:rFonts w:hint="eastAsia"/>
          <w:lang w:val="en-US" w:eastAsia="zh-CN"/>
        </w:rPr>
        <w:t>7</w:t>
      </w:r>
      <w:r>
        <w:rPr>
          <w:rFonts w:hint="eastAsia"/>
        </w:rPr>
        <w:t>电信收费问题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已知：输入内容为通话时长（T）、未按时缴纳话费次数（N）。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其中，通话时长预计范围为：0&lt;=T&lt;=44640  0&lt;=N&lt;=12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7.1</w:t>
      </w:r>
      <w:r>
        <w:rPr>
          <w:rFonts w:hint="eastAsia"/>
        </w:rPr>
        <w:t>边界值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根据题目可知：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T的边界值为：0 60 120 180 300 44640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N的边界值为：0 1 2 3 5 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因此对T N划分以下边界值：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N：-1 0 1 2 3 4 5 6 7 11 12 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T：-1 0 1 59 60 61 119 120 121 179 180 181 299 300 301 44639 44640 44641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将以上边界值与正常测试用例组合，得到以下组合：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2073"/>
        <w:gridCol w:w="2073"/>
        <w:gridCol w:w="2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20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073" w:type="dxa"/>
          </w:tcPr>
          <w:p>
            <w:r>
              <w:rPr>
                <w:rFonts w:hint="eastAsia"/>
              </w:rPr>
              <w:t>T</w:t>
            </w:r>
          </w:p>
        </w:tc>
        <w:tc>
          <w:tcPr>
            <w:tcW w:w="2073" w:type="dxa"/>
          </w:tcPr>
          <w:p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  <w:lang w:eastAsia="zh-CN"/>
              </w:rPr>
              <w:t>B</w:t>
            </w:r>
            <w:r>
              <w:rPr>
                <w:rFonts w:hint="eastAsia"/>
              </w:rPr>
              <w:t>1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07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T值输入错误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  <w:lang w:eastAsia="zh-CN"/>
              </w:rPr>
              <w:t>B</w:t>
            </w:r>
            <w:r>
              <w:t>2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话费为25.15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  <w:lang w:eastAsia="zh-CN"/>
              </w:rPr>
              <w:t>B</w:t>
            </w:r>
            <w:r>
              <w:t>3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59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话费为33.76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  <w:lang w:eastAsia="zh-CN"/>
              </w:rPr>
              <w:t>B</w:t>
            </w:r>
            <w:r>
              <w:t>4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话费为33.91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  <w:lang w:eastAsia="zh-CN"/>
              </w:rPr>
              <w:t>B</w:t>
            </w:r>
            <w:r>
              <w:t>5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61</w:t>
            </w:r>
          </w:p>
        </w:tc>
        <w:tc>
          <w:tcPr>
            <w:tcW w:w="2073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话费为34.01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  <w:lang w:eastAsia="zh-CN"/>
              </w:rPr>
              <w:t>B</w:t>
            </w:r>
            <w:r>
              <w:t>6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119</w:t>
            </w:r>
          </w:p>
        </w:tc>
        <w:tc>
          <w:tcPr>
            <w:tcW w:w="2073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话费为42.58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  <w:lang w:eastAsia="zh-CN"/>
              </w:rPr>
              <w:t>B</w:t>
            </w:r>
            <w:r>
              <w:t>7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120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话费为42.73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  <w:lang w:eastAsia="zh-CN"/>
              </w:rPr>
              <w:t>B</w:t>
            </w:r>
            <w:r>
              <w:t>8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121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话费为42.79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  <w:lang w:eastAsia="zh-CN"/>
              </w:rPr>
              <w:t>B</w:t>
            </w:r>
            <w:r>
              <w:t>9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179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话费为51.31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  <w:lang w:eastAsia="zh-CN"/>
              </w:rPr>
              <w:t>B</w:t>
            </w:r>
            <w:r>
              <w:t>10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2073" w:type="dxa"/>
            <w:vAlign w:val="top"/>
          </w:tcPr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话费为51.46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t>1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181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话费为51.47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t>1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299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话费为68.73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t>1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2073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话费为68.88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t>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301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话费为68.80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t>1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44639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话费为6720.85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t>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44640</w:t>
            </w:r>
          </w:p>
        </w:tc>
        <w:tc>
          <w:tcPr>
            <w:tcW w:w="2073" w:type="dxa"/>
            <w:vAlign w:val="top"/>
          </w:tcPr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话费为6721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t>1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44640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话费为6721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B18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44641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T值输入错误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B19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T值输入错误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B20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N值输入错误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B21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N值输入错误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7.2等价类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将通话时长T分为以下等价类：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有效等价类：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T1：{0&lt;T&lt;=60}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T2：{60&lt;T&lt;=120}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T3：{120&lt;T&lt;=180}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T4：{180&lt;T&lt;=300}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T5：{300&lt;T&lt;=44640}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无效等价类：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T6：{T&lt;=0}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T7：{T&gt;44640}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将未按时缴纳话费次数N分为以下等价类：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有效等价类：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N1:{0,1}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N2:{2}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N3:{3}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N4:{4,5}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N5:{6}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N6:{7,8,9,10,11,12}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无效等价类：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N7:{N&lt;0}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N8:{N&gt;12}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根据以上等价类划分，设计以下测试用例：</w:t>
      </w:r>
    </w:p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2073"/>
        <w:gridCol w:w="2073"/>
        <w:gridCol w:w="2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20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073" w:type="dxa"/>
          </w:tcPr>
          <w:p>
            <w:r>
              <w:rPr>
                <w:rFonts w:hint="eastAsia"/>
              </w:rPr>
              <w:t>T</w:t>
            </w:r>
          </w:p>
        </w:tc>
        <w:tc>
          <w:tcPr>
            <w:tcW w:w="2073" w:type="dxa"/>
          </w:tcPr>
          <w:p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4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弱一般测试用例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Align w:val="top"/>
          </w:tcPr>
          <w:p>
            <w:r>
              <w:rPr>
                <w:rFonts w:hint="eastAsia"/>
              </w:rPr>
              <w:t>R1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话费为33.91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Align w:val="top"/>
          </w:tcPr>
          <w:p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120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话费为42.73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Align w:val="top"/>
          </w:tcPr>
          <w:p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2073" w:type="dxa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话费为51.46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Align w:val="top"/>
          </w:tcPr>
          <w:p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2073" w:type="dxa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话费为68.88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Align w:val="top"/>
          </w:tcPr>
          <w:p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2073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话费为83.2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R6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2073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话费为85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4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额外弱健壮测试用例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R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T值输入错误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R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44650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T值输入错误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R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2073" w:type="dxa"/>
          </w:tcPr>
          <w:p>
            <w:r>
              <w:rPr>
                <w:rFonts w:hint="eastAsia"/>
                <w:lang w:val="en-US" w:eastAsia="zh-CN"/>
              </w:rPr>
              <w:t>N值输入错误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R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2073" w:type="dxa"/>
          </w:tcPr>
          <w:p>
            <w:r>
              <w:rPr>
                <w:rFonts w:hint="eastAsia"/>
                <w:lang w:val="en-US" w:eastAsia="zh-CN"/>
              </w:rPr>
              <w:t>N值输入错误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4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部分额外强一般测试用例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R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120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话费为42.73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R12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话费为51.46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R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话费为68.88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R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话费为83.2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4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部分额外强健壮测试用例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R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T、N值输入错误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R16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44650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T、N值输入错误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R</w:t>
            </w: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2073" w:type="dxa"/>
            <w:vAlign w:val="top"/>
          </w:tcPr>
          <w:p>
            <w:r>
              <w:rPr>
                <w:rFonts w:hint="eastAsia"/>
                <w:lang w:val="en-US" w:eastAsia="zh-CN"/>
              </w:rPr>
              <w:t>T值输入错误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R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2073" w:type="dxa"/>
            <w:vAlign w:val="top"/>
          </w:tcPr>
          <w:p>
            <w:r>
              <w:rPr>
                <w:rFonts w:hint="eastAsia"/>
                <w:lang w:val="en-US" w:eastAsia="zh-CN"/>
              </w:rPr>
              <w:t>N值输入错误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7.3决策表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根据最后折扣结果，将动作桩分为以下：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A1：折扣1.0%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A2：折扣1.5%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A3：折扣2.0%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A4：折扣2.5%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A5：折扣3.0%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A6：无折扣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根据等价类划分条件桩，并与动作桩构成如下决策表：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"/>
        <w:gridCol w:w="642"/>
        <w:gridCol w:w="977"/>
        <w:gridCol w:w="809"/>
        <w:gridCol w:w="823"/>
        <w:gridCol w:w="683"/>
        <w:gridCol w:w="802"/>
        <w:gridCol w:w="804"/>
        <w:gridCol w:w="843"/>
        <w:gridCol w:w="803"/>
        <w:gridCol w:w="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  <w:vAlign w:val="top"/>
          </w:tcPr>
          <w:p>
            <w:pPr>
              <w:rPr>
                <w:rFonts w:hint="eastAsia" w:eastAsiaTheme="minorEastAsia"/>
                <w:sz w:val="20"/>
                <w:szCs w:val="22"/>
                <w:lang w:val="en-US" w:eastAsia="zh-CN"/>
              </w:rPr>
            </w:pPr>
          </w:p>
        </w:tc>
        <w:tc>
          <w:tcPr>
            <w:tcW w:w="642" w:type="dxa"/>
            <w:vAlign w:val="top"/>
          </w:tcPr>
          <w:p>
            <w:pPr>
              <w:rPr>
                <w:rFonts w:hint="default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77" w:type="dxa"/>
            <w:vAlign w:val="top"/>
          </w:tcPr>
          <w:p>
            <w:pPr>
              <w:rPr>
                <w:rFonts w:hint="default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2</w:t>
            </w:r>
          </w:p>
        </w:tc>
        <w:tc>
          <w:tcPr>
            <w:tcW w:w="80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0"/>
                <w:szCs w:val="22"/>
                <w:lang w:val="en-US" w:eastAsia="zh-CN" w:bidi="ar-SA"/>
              </w:rPr>
              <w:t>3</w:t>
            </w:r>
          </w:p>
        </w:tc>
        <w:tc>
          <w:tcPr>
            <w:tcW w:w="823" w:type="dxa"/>
            <w:vAlign w:val="top"/>
          </w:tcPr>
          <w:p>
            <w:pPr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4</w:t>
            </w:r>
          </w:p>
        </w:tc>
        <w:tc>
          <w:tcPr>
            <w:tcW w:w="683" w:type="dxa"/>
            <w:vAlign w:val="top"/>
          </w:tcPr>
          <w:p>
            <w:pPr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5</w:t>
            </w:r>
          </w:p>
        </w:tc>
        <w:tc>
          <w:tcPr>
            <w:tcW w:w="802" w:type="dxa"/>
            <w:vAlign w:val="top"/>
          </w:tcPr>
          <w:p>
            <w:pPr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6</w:t>
            </w:r>
          </w:p>
        </w:tc>
        <w:tc>
          <w:tcPr>
            <w:tcW w:w="804" w:type="dxa"/>
            <w:vAlign w:val="top"/>
          </w:tcPr>
          <w:p>
            <w:pPr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7</w:t>
            </w:r>
          </w:p>
        </w:tc>
        <w:tc>
          <w:tcPr>
            <w:tcW w:w="843" w:type="dxa"/>
            <w:vAlign w:val="top"/>
          </w:tcPr>
          <w:p>
            <w:pPr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8</w:t>
            </w:r>
          </w:p>
        </w:tc>
        <w:tc>
          <w:tcPr>
            <w:tcW w:w="803" w:type="dxa"/>
            <w:vAlign w:val="top"/>
          </w:tcPr>
          <w:p>
            <w:pPr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9</w:t>
            </w:r>
          </w:p>
        </w:tc>
        <w:tc>
          <w:tcPr>
            <w:tcW w:w="828" w:type="dxa"/>
            <w:vAlign w:val="top"/>
          </w:tcPr>
          <w:p>
            <w:pPr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  <w:vAlign w:val="top"/>
          </w:tcPr>
          <w:p>
            <w:pPr>
              <w:rPr>
                <w:rFonts w:hint="default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T</w:t>
            </w:r>
          </w:p>
        </w:tc>
        <w:tc>
          <w:tcPr>
            <w:tcW w:w="642" w:type="dxa"/>
            <w:vAlign w:val="top"/>
          </w:tcPr>
          <w:p>
            <w:pPr>
              <w:rPr>
                <w:rFonts w:hint="default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T1</w:t>
            </w:r>
          </w:p>
        </w:tc>
        <w:tc>
          <w:tcPr>
            <w:tcW w:w="977" w:type="dxa"/>
            <w:vAlign w:val="top"/>
          </w:tcPr>
          <w:p>
            <w:pPr>
              <w:rPr>
                <w:rFonts w:hint="default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T1</w:t>
            </w:r>
          </w:p>
        </w:tc>
        <w:tc>
          <w:tcPr>
            <w:tcW w:w="80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T2</w:t>
            </w:r>
          </w:p>
        </w:tc>
        <w:tc>
          <w:tcPr>
            <w:tcW w:w="823" w:type="dxa"/>
            <w:vAlign w:val="top"/>
          </w:tcPr>
          <w:p>
            <w:pPr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T2</w:t>
            </w:r>
          </w:p>
        </w:tc>
        <w:tc>
          <w:tcPr>
            <w:tcW w:w="683" w:type="dxa"/>
            <w:vAlign w:val="top"/>
          </w:tcPr>
          <w:p>
            <w:pPr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T3</w:t>
            </w:r>
          </w:p>
        </w:tc>
        <w:tc>
          <w:tcPr>
            <w:tcW w:w="802" w:type="dxa"/>
            <w:vAlign w:val="top"/>
          </w:tcPr>
          <w:p>
            <w:pPr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T3</w:t>
            </w:r>
          </w:p>
        </w:tc>
        <w:tc>
          <w:tcPr>
            <w:tcW w:w="804" w:type="dxa"/>
            <w:vAlign w:val="top"/>
          </w:tcPr>
          <w:p>
            <w:pPr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T4</w:t>
            </w:r>
          </w:p>
        </w:tc>
        <w:tc>
          <w:tcPr>
            <w:tcW w:w="843" w:type="dxa"/>
            <w:vAlign w:val="top"/>
          </w:tcPr>
          <w:p>
            <w:pPr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T4</w:t>
            </w:r>
          </w:p>
        </w:tc>
        <w:tc>
          <w:tcPr>
            <w:tcW w:w="803" w:type="dxa"/>
            <w:vAlign w:val="top"/>
          </w:tcPr>
          <w:p>
            <w:pPr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T5</w:t>
            </w:r>
          </w:p>
        </w:tc>
        <w:tc>
          <w:tcPr>
            <w:tcW w:w="828" w:type="dxa"/>
            <w:vAlign w:val="top"/>
          </w:tcPr>
          <w:p>
            <w:pPr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T5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  <w:vAlign w:val="top"/>
          </w:tcPr>
          <w:p>
            <w:pPr>
              <w:rPr>
                <w:rFonts w:hint="eastAsia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N</w:t>
            </w:r>
          </w:p>
        </w:tc>
        <w:tc>
          <w:tcPr>
            <w:tcW w:w="642" w:type="dxa"/>
            <w:vAlign w:val="top"/>
          </w:tcPr>
          <w:p>
            <w:pPr>
              <w:rPr>
                <w:rFonts w:hint="default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N1</w:t>
            </w:r>
          </w:p>
        </w:tc>
        <w:tc>
          <w:tcPr>
            <w:tcW w:w="977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N2,N3,</w:t>
            </w:r>
          </w:p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N4,N5,</w:t>
            </w:r>
          </w:p>
          <w:p>
            <w:pPr>
              <w:rPr>
                <w:rFonts w:hint="default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N6</w:t>
            </w:r>
          </w:p>
        </w:tc>
        <w:tc>
          <w:tcPr>
            <w:tcW w:w="809" w:type="dxa"/>
            <w:vAlign w:val="top"/>
          </w:tcPr>
          <w:p>
            <w:pPr>
              <w:rPr>
                <w:rFonts w:hint="default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N1,N2</w:t>
            </w:r>
          </w:p>
        </w:tc>
        <w:tc>
          <w:tcPr>
            <w:tcW w:w="823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N3,N4,</w:t>
            </w:r>
          </w:p>
          <w:p>
            <w:pPr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N5,N6</w:t>
            </w:r>
          </w:p>
        </w:tc>
        <w:tc>
          <w:tcPr>
            <w:tcW w:w="68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N1,N2,N3</w:t>
            </w:r>
          </w:p>
        </w:tc>
        <w:tc>
          <w:tcPr>
            <w:tcW w:w="802" w:type="dxa"/>
            <w:vAlign w:val="top"/>
          </w:tcPr>
          <w:p>
            <w:pPr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N4,N5,N6</w:t>
            </w:r>
          </w:p>
        </w:tc>
        <w:tc>
          <w:tcPr>
            <w:tcW w:w="804" w:type="dxa"/>
            <w:vAlign w:val="top"/>
          </w:tcPr>
          <w:p>
            <w:pPr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N1,N2,N3,N4</w:t>
            </w:r>
          </w:p>
        </w:tc>
        <w:tc>
          <w:tcPr>
            <w:tcW w:w="843" w:type="dxa"/>
            <w:vAlign w:val="top"/>
          </w:tcPr>
          <w:p>
            <w:pPr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N5,N6</w:t>
            </w:r>
          </w:p>
        </w:tc>
        <w:tc>
          <w:tcPr>
            <w:tcW w:w="803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N1,N2,N3,N4,</w:t>
            </w:r>
          </w:p>
          <w:p>
            <w:pPr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N5</w:t>
            </w:r>
          </w:p>
        </w:tc>
        <w:tc>
          <w:tcPr>
            <w:tcW w:w="828" w:type="dxa"/>
            <w:vAlign w:val="top"/>
          </w:tcPr>
          <w:p>
            <w:pPr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N6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  <w:vAlign w:val="top"/>
          </w:tcPr>
          <w:p>
            <w:pPr>
              <w:rPr>
                <w:rFonts w:hint="default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eastAsia="zh-CN"/>
              </w:rPr>
              <w:t>A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642" w:type="dxa"/>
            <w:vAlign w:val="top"/>
          </w:tcPr>
          <w:p>
            <w:pPr>
              <w:rPr>
                <w:rFonts w:hint="default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√</w:t>
            </w:r>
          </w:p>
        </w:tc>
        <w:tc>
          <w:tcPr>
            <w:tcW w:w="977" w:type="dxa"/>
            <w:vAlign w:val="top"/>
          </w:tcPr>
          <w:p>
            <w:pPr>
              <w:rPr>
                <w:rFonts w:hint="default" w:eastAsiaTheme="minorEastAsia"/>
                <w:sz w:val="20"/>
                <w:szCs w:val="22"/>
                <w:lang w:val="en-US" w:eastAsia="zh-CN"/>
              </w:rPr>
            </w:pPr>
          </w:p>
        </w:tc>
        <w:tc>
          <w:tcPr>
            <w:tcW w:w="809" w:type="dxa"/>
            <w:vAlign w:val="top"/>
          </w:tcPr>
          <w:p>
            <w:pPr>
              <w:rPr>
                <w:sz w:val="20"/>
                <w:szCs w:val="22"/>
              </w:rPr>
            </w:pPr>
          </w:p>
        </w:tc>
        <w:tc>
          <w:tcPr>
            <w:tcW w:w="823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</w:p>
        </w:tc>
        <w:tc>
          <w:tcPr>
            <w:tcW w:w="683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</w:p>
        </w:tc>
        <w:tc>
          <w:tcPr>
            <w:tcW w:w="802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</w:p>
        </w:tc>
        <w:tc>
          <w:tcPr>
            <w:tcW w:w="804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</w:p>
        </w:tc>
        <w:tc>
          <w:tcPr>
            <w:tcW w:w="843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</w:p>
        </w:tc>
        <w:tc>
          <w:tcPr>
            <w:tcW w:w="803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</w:p>
        </w:tc>
        <w:tc>
          <w:tcPr>
            <w:tcW w:w="828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  <w:vAlign w:val="top"/>
          </w:tcPr>
          <w:p>
            <w:pPr>
              <w:rPr>
                <w:rFonts w:hint="default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eastAsia="zh-CN"/>
              </w:rPr>
              <w:t>A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2</w:t>
            </w:r>
          </w:p>
        </w:tc>
        <w:tc>
          <w:tcPr>
            <w:tcW w:w="642" w:type="dxa"/>
            <w:vAlign w:val="top"/>
          </w:tcPr>
          <w:p>
            <w:pPr>
              <w:rPr>
                <w:rFonts w:hint="default" w:eastAsiaTheme="minorEastAsia"/>
                <w:sz w:val="20"/>
                <w:szCs w:val="22"/>
                <w:lang w:val="en-US" w:eastAsia="zh-CN"/>
              </w:rPr>
            </w:pPr>
          </w:p>
        </w:tc>
        <w:tc>
          <w:tcPr>
            <w:tcW w:w="977" w:type="dxa"/>
            <w:vAlign w:val="top"/>
          </w:tcPr>
          <w:p>
            <w:pPr>
              <w:rPr>
                <w:rFonts w:hint="default" w:eastAsiaTheme="minorEastAsia"/>
                <w:sz w:val="20"/>
                <w:szCs w:val="22"/>
                <w:lang w:val="en-US" w:eastAsia="zh-CN"/>
              </w:rPr>
            </w:pPr>
          </w:p>
        </w:tc>
        <w:tc>
          <w:tcPr>
            <w:tcW w:w="80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√</w:t>
            </w:r>
          </w:p>
        </w:tc>
        <w:tc>
          <w:tcPr>
            <w:tcW w:w="823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</w:p>
        </w:tc>
        <w:tc>
          <w:tcPr>
            <w:tcW w:w="683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</w:p>
        </w:tc>
        <w:tc>
          <w:tcPr>
            <w:tcW w:w="802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</w:p>
        </w:tc>
        <w:tc>
          <w:tcPr>
            <w:tcW w:w="804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</w:p>
        </w:tc>
        <w:tc>
          <w:tcPr>
            <w:tcW w:w="843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</w:p>
        </w:tc>
        <w:tc>
          <w:tcPr>
            <w:tcW w:w="803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</w:p>
        </w:tc>
        <w:tc>
          <w:tcPr>
            <w:tcW w:w="828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  <w:vAlign w:val="top"/>
          </w:tcPr>
          <w:p>
            <w:pPr>
              <w:rPr>
                <w:rFonts w:hint="default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eastAsia="zh-CN"/>
              </w:rPr>
              <w:t>A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3</w:t>
            </w:r>
          </w:p>
        </w:tc>
        <w:tc>
          <w:tcPr>
            <w:tcW w:w="642" w:type="dxa"/>
            <w:vAlign w:val="top"/>
          </w:tcPr>
          <w:p>
            <w:pPr>
              <w:rPr>
                <w:rFonts w:hint="default" w:eastAsiaTheme="minorEastAsia"/>
                <w:sz w:val="20"/>
                <w:szCs w:val="22"/>
                <w:lang w:val="en-US" w:eastAsia="zh-CN"/>
              </w:rPr>
            </w:pPr>
          </w:p>
        </w:tc>
        <w:tc>
          <w:tcPr>
            <w:tcW w:w="977" w:type="dxa"/>
            <w:vAlign w:val="top"/>
          </w:tcPr>
          <w:p>
            <w:pPr>
              <w:rPr>
                <w:rFonts w:hint="default" w:eastAsiaTheme="minorEastAsia"/>
                <w:sz w:val="20"/>
                <w:szCs w:val="22"/>
                <w:lang w:val="en-US" w:eastAsia="zh-CN"/>
              </w:rPr>
            </w:pPr>
          </w:p>
        </w:tc>
        <w:tc>
          <w:tcPr>
            <w:tcW w:w="80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0"/>
                <w:szCs w:val="22"/>
                <w:lang w:val="en-US" w:eastAsia="zh-CN" w:bidi="ar-SA"/>
              </w:rPr>
            </w:pPr>
          </w:p>
        </w:tc>
        <w:tc>
          <w:tcPr>
            <w:tcW w:w="823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</w:p>
        </w:tc>
        <w:tc>
          <w:tcPr>
            <w:tcW w:w="683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√</w:t>
            </w:r>
          </w:p>
        </w:tc>
        <w:tc>
          <w:tcPr>
            <w:tcW w:w="802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</w:p>
        </w:tc>
        <w:tc>
          <w:tcPr>
            <w:tcW w:w="804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</w:p>
        </w:tc>
        <w:tc>
          <w:tcPr>
            <w:tcW w:w="843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</w:p>
        </w:tc>
        <w:tc>
          <w:tcPr>
            <w:tcW w:w="803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</w:p>
        </w:tc>
        <w:tc>
          <w:tcPr>
            <w:tcW w:w="828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  <w:vAlign w:val="top"/>
          </w:tcPr>
          <w:p>
            <w:pPr>
              <w:rPr>
                <w:rFonts w:hint="default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eastAsia="zh-CN"/>
              </w:rPr>
              <w:t>A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4</w:t>
            </w:r>
          </w:p>
        </w:tc>
        <w:tc>
          <w:tcPr>
            <w:tcW w:w="642" w:type="dxa"/>
            <w:vAlign w:val="top"/>
          </w:tcPr>
          <w:p>
            <w:pPr>
              <w:rPr>
                <w:rFonts w:hint="default" w:eastAsiaTheme="minorEastAsia"/>
                <w:sz w:val="20"/>
                <w:szCs w:val="22"/>
                <w:lang w:val="en-US" w:eastAsia="zh-CN"/>
              </w:rPr>
            </w:pPr>
          </w:p>
        </w:tc>
        <w:tc>
          <w:tcPr>
            <w:tcW w:w="977" w:type="dxa"/>
            <w:vAlign w:val="top"/>
          </w:tcPr>
          <w:p>
            <w:pPr>
              <w:rPr>
                <w:rFonts w:hint="default" w:eastAsiaTheme="minorEastAsia"/>
                <w:sz w:val="20"/>
                <w:szCs w:val="22"/>
                <w:lang w:val="en-US" w:eastAsia="zh-CN"/>
              </w:rPr>
            </w:pPr>
          </w:p>
        </w:tc>
        <w:tc>
          <w:tcPr>
            <w:tcW w:w="809" w:type="dxa"/>
            <w:vAlign w:val="top"/>
          </w:tcPr>
          <w:p>
            <w:pPr>
              <w:rPr>
                <w:sz w:val="20"/>
                <w:szCs w:val="22"/>
              </w:rPr>
            </w:pPr>
          </w:p>
        </w:tc>
        <w:tc>
          <w:tcPr>
            <w:tcW w:w="823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</w:p>
        </w:tc>
        <w:tc>
          <w:tcPr>
            <w:tcW w:w="683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</w:p>
        </w:tc>
        <w:tc>
          <w:tcPr>
            <w:tcW w:w="802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</w:p>
        </w:tc>
        <w:tc>
          <w:tcPr>
            <w:tcW w:w="804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√</w:t>
            </w:r>
          </w:p>
        </w:tc>
        <w:tc>
          <w:tcPr>
            <w:tcW w:w="843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</w:p>
        </w:tc>
        <w:tc>
          <w:tcPr>
            <w:tcW w:w="803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</w:p>
        </w:tc>
        <w:tc>
          <w:tcPr>
            <w:tcW w:w="828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  <w:vAlign w:val="top"/>
          </w:tcPr>
          <w:p>
            <w:pPr>
              <w:rPr>
                <w:rFonts w:hint="default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eastAsia="zh-CN"/>
              </w:rPr>
              <w:t>A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5</w:t>
            </w:r>
          </w:p>
        </w:tc>
        <w:tc>
          <w:tcPr>
            <w:tcW w:w="642" w:type="dxa"/>
            <w:vAlign w:val="top"/>
          </w:tcPr>
          <w:p>
            <w:pPr>
              <w:rPr>
                <w:rFonts w:hint="default" w:eastAsiaTheme="minorEastAsia"/>
                <w:sz w:val="20"/>
                <w:szCs w:val="22"/>
                <w:lang w:val="en-US" w:eastAsia="zh-CN"/>
              </w:rPr>
            </w:pPr>
          </w:p>
        </w:tc>
        <w:tc>
          <w:tcPr>
            <w:tcW w:w="977" w:type="dxa"/>
            <w:vAlign w:val="top"/>
          </w:tcPr>
          <w:p>
            <w:pPr>
              <w:rPr>
                <w:rFonts w:hint="default" w:eastAsiaTheme="minorEastAsia"/>
                <w:sz w:val="20"/>
                <w:szCs w:val="22"/>
                <w:lang w:val="en-US" w:eastAsia="zh-CN"/>
              </w:rPr>
            </w:pPr>
          </w:p>
        </w:tc>
        <w:tc>
          <w:tcPr>
            <w:tcW w:w="809" w:type="dxa"/>
            <w:vAlign w:val="top"/>
          </w:tcPr>
          <w:p>
            <w:pPr>
              <w:rPr>
                <w:sz w:val="20"/>
                <w:szCs w:val="22"/>
              </w:rPr>
            </w:pPr>
          </w:p>
        </w:tc>
        <w:tc>
          <w:tcPr>
            <w:tcW w:w="823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</w:p>
        </w:tc>
        <w:tc>
          <w:tcPr>
            <w:tcW w:w="683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</w:p>
        </w:tc>
        <w:tc>
          <w:tcPr>
            <w:tcW w:w="802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</w:p>
        </w:tc>
        <w:tc>
          <w:tcPr>
            <w:tcW w:w="804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</w:p>
        </w:tc>
        <w:tc>
          <w:tcPr>
            <w:tcW w:w="843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</w:p>
        </w:tc>
        <w:tc>
          <w:tcPr>
            <w:tcW w:w="803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√</w:t>
            </w:r>
          </w:p>
        </w:tc>
        <w:tc>
          <w:tcPr>
            <w:tcW w:w="828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  <w:vAlign w:val="top"/>
          </w:tcPr>
          <w:p>
            <w:pPr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eastAsia="zh-CN"/>
              </w:rPr>
              <w:t>A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6</w:t>
            </w:r>
          </w:p>
        </w:tc>
        <w:tc>
          <w:tcPr>
            <w:tcW w:w="642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</w:p>
        </w:tc>
        <w:tc>
          <w:tcPr>
            <w:tcW w:w="977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√</w:t>
            </w:r>
          </w:p>
        </w:tc>
        <w:tc>
          <w:tcPr>
            <w:tcW w:w="809" w:type="dxa"/>
            <w:vAlign w:val="top"/>
          </w:tcPr>
          <w:p>
            <w:pPr>
              <w:rPr>
                <w:sz w:val="20"/>
                <w:szCs w:val="22"/>
              </w:rPr>
            </w:pPr>
          </w:p>
        </w:tc>
        <w:tc>
          <w:tcPr>
            <w:tcW w:w="823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√</w:t>
            </w:r>
          </w:p>
        </w:tc>
        <w:tc>
          <w:tcPr>
            <w:tcW w:w="683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</w:p>
        </w:tc>
        <w:tc>
          <w:tcPr>
            <w:tcW w:w="802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√</w:t>
            </w:r>
          </w:p>
        </w:tc>
        <w:tc>
          <w:tcPr>
            <w:tcW w:w="804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</w:p>
        </w:tc>
        <w:tc>
          <w:tcPr>
            <w:tcW w:w="843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√</w:t>
            </w:r>
          </w:p>
        </w:tc>
        <w:tc>
          <w:tcPr>
            <w:tcW w:w="803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</w:p>
        </w:tc>
        <w:tc>
          <w:tcPr>
            <w:tcW w:w="828" w:type="dxa"/>
            <w:vAlign w:val="top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√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根据如上决策表，构造以下测试用例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2073"/>
        <w:gridCol w:w="2073"/>
        <w:gridCol w:w="2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20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073" w:type="dxa"/>
          </w:tcPr>
          <w:p>
            <w:r>
              <w:rPr>
                <w:rFonts w:hint="eastAsia"/>
              </w:rPr>
              <w:t>T</w:t>
            </w:r>
          </w:p>
        </w:tc>
        <w:tc>
          <w:tcPr>
            <w:tcW w:w="2073" w:type="dxa"/>
          </w:tcPr>
          <w:p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1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207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话费为33.91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  <w:lang w:eastAsia="zh-CN"/>
              </w:rPr>
              <w:t>S</w:t>
            </w:r>
            <w:r>
              <w:t>2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话费为34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  <w:lang w:eastAsia="zh-CN"/>
              </w:rPr>
              <w:t>S</w:t>
            </w:r>
            <w:r>
              <w:t>3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120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话费为42.73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  <w:lang w:eastAsia="zh-CN"/>
              </w:rPr>
              <w:t>S</w:t>
            </w:r>
            <w:r>
              <w:t>4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120</w:t>
            </w:r>
          </w:p>
        </w:tc>
        <w:tc>
          <w:tcPr>
            <w:tcW w:w="2073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话费为43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  <w:lang w:eastAsia="zh-CN"/>
              </w:rPr>
              <w:t>S</w:t>
            </w:r>
            <w:r>
              <w:t>5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2073" w:type="dxa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话费为51.46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  <w:lang w:eastAsia="zh-CN"/>
              </w:rPr>
              <w:t>S</w:t>
            </w:r>
            <w:r>
              <w:t>6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2073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话费为52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2071" w:type="dxa"/>
          </w:tcPr>
          <w:p>
            <w:r>
              <w:rPr>
                <w:rFonts w:hint="eastAsia"/>
                <w:lang w:eastAsia="zh-CN"/>
              </w:rPr>
              <w:t>S</w:t>
            </w:r>
            <w:r>
              <w:t>7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2073" w:type="dxa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话费为68.88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  <w:lang w:eastAsia="zh-CN"/>
              </w:rPr>
              <w:t>S</w:t>
            </w:r>
            <w:r>
              <w:t>8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2073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话费为70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  <w:lang w:eastAsia="zh-CN"/>
              </w:rPr>
              <w:t>S</w:t>
            </w:r>
            <w:r>
              <w:t>9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2073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话费为98.5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r>
              <w:rPr>
                <w:rFonts w:hint="eastAsia"/>
                <w:lang w:eastAsia="zh-CN"/>
              </w:rPr>
              <w:t>S</w:t>
            </w:r>
            <w:r>
              <w:t>10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0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2073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话费为100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41F12"/>
    <w:rsid w:val="04561361"/>
    <w:rsid w:val="0BEA43E4"/>
    <w:rsid w:val="18502F73"/>
    <w:rsid w:val="1B6247F4"/>
    <w:rsid w:val="2DA80DA6"/>
    <w:rsid w:val="3A347411"/>
    <w:rsid w:val="3E5D30A0"/>
    <w:rsid w:val="4C495476"/>
    <w:rsid w:val="670B18A4"/>
    <w:rsid w:val="7E9A4589"/>
    <w:rsid w:val="7EE40367"/>
    <w:rsid w:val="7FAF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2020-05-29T11:42:00Z</dcterms:created>
  <dc:creator>84665</dc:creator>
  <cp:lastModifiedBy>灰度倒走</cp:lastModifiedBy>
  <dcterms:modified xsi:type="dcterms:W3CDTF">2020-06-29T13:04:26Z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