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 ContentType="application/octet-stream"/>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officeDocument/2006/relationships" xmlns:w="http://schemas.openxmlformats.org/wordprocessingml/2006/main">
  <w:body>
    <w:p>
      <w:pPr>
        <w:pStyle w:val="10"/>
      </w:pPr>
      <w:r>
        <w:t xml:space="preserve">固态纳米孔气相传感：从液相到气相的范式迁移与毫秒级时域动态识别</w:t>
      </w:r>
    </w:p>
    <w:p>
      <w:pPr>
        <w:pStyle w:val="61"/>
        <w:spacing w:before="0" w:after="120" w:line="360" w:lineRule="auto"/>
        <w:ind w:firstLine="0"/>
      </w:pPr>
      <w:r>
        <w:rPr>
          <w:bCs/>
          <w:b/>
        </w:rPr>
        <w:t xml:space="preserve">摘要：</w:t>
      </w:r>
      <w:r>
        <w:t xml:space="preserve">固态纳米孔技术已在液相单分子检测中展现出卓越的时空分辨能力，但将其从液相环境迁移至气相环境，并结合超薄硅FET阵列与功能化表面修饰，利用毫秒级时域动态特征替代传统稳态响应实现挥发性有机物（VOC）识别，代表了一个尚未被充分探索的前沿方向。本综述以</w:t>
      </w:r>
      <w:r>
        <w:t xml:space="preserve">“</w:t>
      </w:r>
      <w:r>
        <w:t xml:space="preserve">传感界面—信号转导—识别机制—动态指纹</w:t>
      </w:r>
      <w:r>
        <w:t xml:space="preserve">”</w:t>
      </w:r>
      <w:r>
        <w:t xml:space="preserve">四维分析框架为线索，系统梳理了固态纳米孔从液相到气相的技术迁移路径、硅FET阵列集成架构、功能化表面修饰策略以及时域动态特征提取方法。在液相纳米孔传感的物理基础上，本文分析了气相迁移中传导机制、扩散动力学和界面相互作用三个递进层面构成的根本性范式转变；在信号转导维度，评估了硅FET跨导放大与纳米孔空间约束的互补优势及其在气相环境中的适用性限制；在识别机制维度，对比了自组装单分子层、聚合物刷和金属有机框架三类修饰策略在选择性、可逆性和响应速度上的权衡关系；在动态指纹维度，建立了穿越事件三阶段物理模型，讨论了机器学习驱动的时域事件分割与聚类方法。在此基础上，本文明确指出当前四条技术路线各自独立发展、缺乏交叉融合的系统性证据缺口，提出了将超薄硅FET阵列集成固态纳米孔、差异化功能化表面修饰与毫秒级时域动态特征融合的创新方案蓝图，并分析了该方案的关键突破节点及其相对于现有气相传感方案的范式级优势。</w:t>
      </w:r>
    </w:p>
    <w:p>
      <w:pPr>
        <w:pStyle w:val="7"/>
        <w:ind w:firstLine="0"/>
      </w:pPr>
      <w:r>
        <w:rPr>
          <w:bCs/>
          <w:b/>
        </w:rPr>
        <w:t xml:space="preserve">关键词：</w:t>
      </w:r>
      <w:r>
        <w:t xml:space="preserve">固态纳米孔；气相传感；挥发性有机物；硅FET阵列；表面功能化修饰；时域动态特征；单分子识别</w:t>
      </w:r>
    </w:p>
    <w:p>
      <w:r>
        <w:br w:type="page"/>
      </w:r>
    </w:p>
    <w:sdt>
      <w:sdtPr>
        <w:docPartObj>
          <w:docPartGallery w:val="Table of Contents"/>
          <w:docPartUnique/>
        </w:docPartObj>
      </w:sdtPr>
      <w:sdtContent>
        <w:p>
          <w:pPr>
            <w:pStyle w:val="60"/>
          </w:pPr>
          <w:r>
            <w:t xml:space="preserve">目录</w:t>
          </w:r>
        </w:p>
        <w:p>
          <w:r>
            <w:fldChar w:fldCharType="begin" w:dirty="true"/>
            <w:instrText xml:space="preserve">TOC \o "1-3" \h \z \u</w:instrText>
            <w:fldChar w:fldCharType="separate"/>
            <w:fldChar w:fldCharType="end"/>
          </w:r>
        </w:p>
      </w:sdtContent>
    </w:sdt>
    <w:p>
      <w:r>
        <w:br w:type="page"/>
      </w:r>
    </w:p>
    <w:bookmarkStart w:id="20" w:name="引言"/>
    <w:p>
      <w:pPr>
        <w:pStyle w:val="2"/>
      </w:pPr>
      <w:r>
        <w:t xml:space="preserve">引言</w:t>
      </w:r>
    </w:p>
    <w:p>
      <w:pPr>
        <w:pStyle w:val="61"/>
      </w:pPr>
      <w:r>
        <w:t xml:space="preserve">挥发性有机物（VOC）的高灵敏、高选择性识别是环境监测、工业安全和疾病呼气诊断领域的核心需求。传统气相传感技术依赖金属氧化物半导体的稳态电导变化、电化学传感器的氧化还原电流或红外光谱的分子振动指纹进行识别，其共同特征在于将传感器对混合气氛的响应压缩为单一或少数几个标量信号。这一信号降维过程不可避免地丢弃了分子与传感界面相互作用中蕴含的丰富动力学信息，导致在复杂混合气氛中，化学结构相近的VOC分子（如甲醇与乙醇、苯与甲苯）往往产生难以区分的重叠响应</w:t>
      </w:r>
      <w:r>
        <w:rPr>
          <w:vertAlign w:val="superscript"/>
        </w:rPr>
        <w:t xml:space="preserve">[1]</w:t>
      </w:r>
      <w:r>
        <w:t xml:space="preserve">。</w:t>
      </w:r>
    </w:p>
    <w:p>
      <w:pPr>
        <w:pStyle w:val="7"/>
      </w:pPr>
      <w:r>
        <w:t xml:space="preserve">固态纳米孔技术在过去二十年中已发展成为液相单分子检测的核心平台。其基本原理是利用纳米尺度孔道中离子电流的阻塞效应：当单个分子穿过纳米孔时，部分离子通量被阻断，产生一个离散的电流脉冲事件，其幅度、持续时间和形状携带了被分析分子的结构信息</w:t>
      </w:r>
      <w:r>
        <w:rPr>
          <w:vertAlign w:val="superscript"/>
        </w:rPr>
        <w:t xml:space="preserve">[2]</w:t>
      </w:r>
      <w:r>
        <w:t xml:space="preserve">。这一</w:t>
      </w:r>
      <w:r>
        <w:t xml:space="preserve">“</w:t>
      </w:r>
      <w:r>
        <w:t xml:space="preserve">单事件级别</w:t>
      </w:r>
      <w:r>
        <w:t xml:space="preserve">”</w:t>
      </w:r>
      <w:r>
        <w:t xml:space="preserve">的分辨率使得纳米孔传感器能够为每个穿越分子生成一个多维特征向量，而非传统传感器所提供的单一标量响应。然而，迄今为止，纳米孔传感的研究和应用几乎完全局限于液相环境，其在气相VOC识别中的潜力尚未被系统探索。</w:t>
      </w:r>
    </w:p>
    <w:p>
      <w:pPr>
        <w:pStyle w:val="7"/>
      </w:pPr>
      <w:r>
        <w:t xml:space="preserve">将固态纳米孔从液相扩展到气相，并非简单的介质替换。在物理机制层面，气相中缺乏离子载流子，需要重新定义传导媒介；在信号获取层面，气体分子的扩散系数（约10</w:t>
      </w:r>
      <ns1:oMath>
        <ns1:sSup>
          <ns1:e>
            <ns1:r>
              <ns1:t>​</ns1:t>
            </ns1:r>
          </ns1:e>
          <ns1:sup>
            <ns1:r>
              <ns1:rPr>
                <ns1:sty ns1:val="p"/>
              </ns1:rPr>
              <ns1:t>−</ns1:t>
            </ns1:r>
            <ns1:r>
              <ns1:t>5</ns1:t>
            </ns1:r>
          </ns1:sup>
        </ns1:sSup>
      </ns1:oMath>
      <w:r>
        <w:t xml:space="preserve"> </w:t>
      </w:r>
      <ns1:oMath>
        <ns1:sSup>
          <ns1:e>
            <ns1:r>
              <ns1:t>m</ns1:t>
            </ns1:r>
          </ns1:e>
          <ns1:sup>
            <ns1:r>
              <ns1:t>2</ns1:t>
            </ns1:r>
          </ns1:sup>
        </ns1:sSup>
      </ns1:oMath>
      <w:r>
        <w:t xml:space="preserve">/s）比液相中（约10</w:t>
      </w:r>
      <ns1:oMath>
        <ns1:sSup>
          <ns1:e>
            <ns1:r>
              <ns1:t>​</ns1:t>
            </ns1:r>
          </ns1:e>
          <ns1:sup>
            <ns1:r>
              <ns1:rPr>
                <ns1:sty ns1:val="p"/>
              </ns1:rPr>
              <ns1:t>−</ns1:t>
            </ns1:r>
            <ns1:r>
              <ns1:t>9</ns1:t>
            </ns1:r>
          </ns1:sup>
        </ns1:sSup>
      </ns1:oMath>
      <w:r>
        <w:t xml:space="preserve"> </w:t>
      </w:r>
      <ns1:oMath>
        <ns1:sSup>
          <ns1:e>
            <ns1:r>
              <ns1:t>m</ns1:t>
            </ns1:r>
          </ns1:e>
          <ns1:sup>
            <ns1:r>
              <ns1:t>2</ns1:t>
            </ns1:r>
          </ns1:sup>
        </ns1:sSup>
      </ns1:oMath>
      <w:r>
        <w:t xml:space="preserve">/s）高出四个数量级，导致穿越事件的时间尺度从微秒级压缩至亚微秒甚至纳秒级，对电子读出带宽提出了极高要求</w:t>
      </w:r>
      <w:r>
        <w:rPr>
          <w:vertAlign w:val="superscript"/>
        </w:rPr>
        <w:t xml:space="preserve">[3]</w:t>
      </w:r>
      <w:r>
        <w:t xml:space="preserve">；在界面相互作用层面，VOC分子与纳米孔壁的相互作用以范德华力和偶极-偶极作用为主，与液相中溶剂化效应主导的调控机制截然不同。这些根本性差异意味着液相纳米孔传感的成熟理论框架和实验方法无法直接迁移至气相场景，需要从传感界面、信号转导、识别机制和动态指纹四个维度进行系统性重构。</w:t>
      </w:r>
    </w:p>
    <w:p>
      <w:pPr>
        <w:pStyle w:val="7"/>
      </w:pPr>
      <w:r>
        <w:t xml:space="preserve">近年来，若干关键技术的独立发展为这一重构提供了可能。Xie等人在2011年报道的纳米线-纳米孔垂直集成传感器首次实现了硅FET与固态纳米孔的单器件集成，验证了FET跨导放大直接读取纳米孔穿越事件信号的可行性</w:t>
      </w:r>
      <w:r>
        <w:rPr>
          <w:vertAlign w:val="superscript"/>
        </w:rPr>
        <w:t xml:space="preserve">[4]</w:t>
      </w:r>
      <w:r>
        <w:t xml:space="preserve">。在表面功能化修饰方面，自组装单分子层（SAM）</w:t>
      </w:r>
      <w:r>
        <w:rPr>
          <w:vertAlign w:val="superscript"/>
        </w:rPr>
        <w:t xml:space="preserve">[5]</w:t>
      </w:r>
      <w:r>
        <w:t xml:space="preserve">、聚合物刷</w:t>
      </w:r>
      <w:r>
        <w:rPr>
          <w:vertAlign w:val="superscript"/>
        </w:rPr>
        <w:t xml:space="preserve">[6]</w:t>
      </w:r>
      <w:r>
        <w:t xml:space="preserve">和金属有机框架（MOF）</w:t>
      </w:r>
      <w:r>
        <w:rPr>
          <w:vertAlign w:val="superscript"/>
        </w:rPr>
        <w:t xml:space="preserve">[7]</w:t>
      </w:r>
      <w:r>
        <w:t xml:space="preserve">三类修饰策略已分别在液相和气相传感场景中展现出对特定目标分子的选择性调控能力。在信号处理方面，机器学习驱动的纳米孔事件分割算法</w:t>
      </w:r>
      <w:r>
        <w:rPr>
          <w:vertAlign w:val="superscript"/>
        </w:rPr>
        <w:t xml:space="preserve">[8]</w:t>
      </w:r>
      <w:r>
        <w:t xml:space="preserve">和生成式数据增强方法</w:t>
      </w:r>
      <w:r>
        <w:rPr>
          <w:vertAlign w:val="superscript"/>
        </w:rPr>
        <w:t xml:space="preserve">[9]</w:t>
      </w:r>
      <w:r>
        <w:t xml:space="preserve">的快速发展，为从高带宽、高噪声的纳米孔原始信号中提取时域动态特征提供了新的工具。然而，这些技术路线目前各自独立发展，缺乏交叉融合：纳米孔气相迁移研究缺乏FET阵列的高带宽读出支撑，FET集成研究未涉足气相环境，表面修饰研究未与动态特征分析结合，而时域特征研究尚未在气相VOC场景中得到验证。这一系统性证据缺口，恰恰定义了一个尚未被占据的创新空间。</w:t>
      </w:r>
    </w:p>
    <w:p>
      <w:pPr>
        <w:pStyle w:val="7"/>
      </w:pPr>
      <w:r>
        <w:t xml:space="preserve">本综述以此为出发点，提出</w:t>
      </w:r>
      <w:r>
        <w:t xml:space="preserve">“</w:t>
      </w:r>
      <w:r>
        <w:t xml:space="preserve">传感界面—信号转导—识别机制—动态指纹</w:t>
      </w:r>
      <w:r>
        <w:t xml:space="preserve">”</w:t>
      </w:r>
      <w:r>
        <w:t xml:space="preserve">四维分析框架，以经典液相纳米孔传感方案为对照基线，系统评估各技术路线在气相VOC识别场景中的适用边界与优势条件。在传感界面维度，分析纳米孔从液相到气相的范式迁移及其物理约束；在信号转导维度，评估超薄硅FET阵列与纳米孔集成的架构设计与制造工艺挑战；在识别机制维度，对比三类功能化表面修饰策略的选择性调控能力；在动态指纹维度，建立穿越事件三阶段物理模型并讨论机器学习驱动的特征提取方法。最后，本文将四条技术路线汇聚于一个融合创新方案蓝图，明确指出现有研究中尚未被占据的核心创新空间及其关键突破节点。</w:t>
      </w:r>
    </w:p>
    <w:bookmarkEnd w:id="20"/>
    <w:bookmarkStart w:id="24" w:name="固态纳米孔液相传感基础与气相迁移挑战"/>
    <w:p>
      <w:pPr>
        <w:pStyle w:val="2"/>
      </w:pPr>
      <w:r>
        <w:t xml:space="preserve">固态纳米孔液相传感基础与气相迁移挑战</w:t>
      </w:r>
    </w:p>
    <w:bookmarkStart w:id="21" w:name="液相纳米孔离子电流阻塞机制与信号模型"/>
    <w:p>
      <w:pPr>
        <w:pStyle w:val="3"/>
      </w:pPr>
      <w:r>
        <w:t xml:space="preserve">液相纳米孔离子电流阻塞机制与信号模型</w:t>
      </w:r>
    </w:p>
    <w:p>
      <w:pPr>
        <w:pStyle w:val="61"/>
      </w:pPr>
      <w:r>
        <w:t xml:space="preserve">固态纳米孔在液相中的传感机制建立在离子电流阻塞效应之上。当施加跨膜偏压时，电解质溶液中的离子在电场驱动下穿过纳米孔，形成稳定的开孔电流（open-pore current）。当分析物分子进入并穿过纳米孔时，其物理体积排除了孔道内的部分离子，导致离子电流出现瞬时下降，这一下降的幅度（blockade amplitude,</w:t>
      </w:r>
      <w:r>
        <w:t xml:space="preserve"> </w:t>
      </w:r>
      <ns1:oMath>
        <ns1:r>
          <ns1:t>Δ</ns1:t>
        </ns1:r>
        <ns1:r>
          <ns1:t>I</ns1:t>
        </ns1:r>
        <ns1:r>
          <ns1:rPr>
            <ns1:sty ns1:val="p"/>
          </ns1:rPr>
          <ns1:t>/</ns1:t>
        </ns1:r>
        <ns1:sSub>
          <ns1:e>
            <ns1:r>
              <ns1:t>I</ns1:t>
            </ns1:r>
          </ns1:e>
          <ns1:sub>
            <ns1:r>
              <ns1:t>0</ns1:t>
            </ns1:r>
          </ns1:sub>
        </ns1:sSub>
      </ns1:oMath>
      <w:r>
        <w:t xml:space="preserve">）与持续时间（dwell time,</w:t>
      </w:r>
      <w:r>
        <w:t xml:space="preserve"> </w:t>
      </w:r>
      <ns1:oMath>
        <ns1:sSub>
          <ns1:e>
            <ns1:r>
              <ns1:t>t</ns1:t>
            </ns1:r>
          </ns1:e>
          <ns1:sub>
            <ns1:r>
              <ns1:t>d</ns1:t>
            </ns1:r>
          </ns1:sub>
        </ns1:sSub>
      </ns1:oMath>
      <w:r>
        <w:t xml:space="preserve">）构成了纳米孔传感的两个基本信号参数</w:t>
      </w:r>
      <w:r>
        <w:rPr>
          <w:vertAlign w:val="superscript"/>
        </w:rPr>
        <w:t xml:space="preserve">[10]</w:t>
      </w:r>
      <w:r>
        <w:t xml:space="preserve">。</w:t>
      </w:r>
    </w:p>
    <w:p>
      <w:pPr>
        <w:pStyle w:val="7"/>
      </w:pPr>
      <w:r>
        <w:t xml:space="preserve">在理论层面，离子电流阻塞幅度可近似表达为</w:t>
      </w:r>
      <w:r>
        <w:t xml:space="preserve"> </w:t>
      </w:r>
      <ns1:oMath>
        <ns1:r>
          <ns1:t>Δ</ns1:t>
        </ns1:r>
        <ns1:r>
          <ns1:t>I</ns1:t>
        </ns1:r>
        <ns1:r>
          <ns1:rPr>
            <ns1:sty ns1:val="p"/>
          </ns1:rPr>
          <ns1:t>/</ns1:t>
        </ns1:r>
        <ns1:sSub>
          <ns1:e>
            <ns1:r>
              <ns1:t>I</ns1:t>
            </ns1:r>
          </ns1:e>
          <ns1:sub>
            <ns1:r>
              <ns1:t>0</ns1:t>
            </ns1:r>
          </ns1:sub>
        </ns1:sSub>
        <ns1:r>
          <ns1:rPr>
            <ns1:sty ns1:val="p"/>
          </ns1:rPr>
          <ns1:t>≈</ns1:t>
        </ns1:r>
        <ns1:r>
          <ns1:t>Λ</ns1:t>
        </ns1:r>
        <ns1:r>
          <ns1:rPr>
            <ns1:sty ns1:val="p"/>
          </ns1:rPr>
          <ns1:t>/</ns1:t>
        </ns1:r>
        <ns1:d>
          <ns1:dPr>
            <ns1:begChr ns1:val="("/>
            <ns1:endChr ns1:val=")"/>
            <ns1:sepChr ns1:val=""/>
            <ns1:grow/>
          </ns1:dPr>
          <ns1:e>
            <ns1:sSub>
              <ns1:e>
                <ns1:r>
                  <ns1:t>H</ns1:t>
                </ns1:r>
              </ns1:e>
              <ns1:sub>
                <ns1:r>
                  <ns1:t>e</ns1:t>
                </ns1:r>
                <ns1:r>
                  <ns1:t>f</ns1:t>
                </ns1:r>
                <ns1:r>
                  <ns1:t>f</ns1:t>
                </ns1:r>
              </ns1:sub>
            </ns1:sSub>
            <ns1:r>
              <ns1:t>σ</ns1:t>
            </ns1:r>
          </ns1:e>
        </ns1:d>
      </ns1:oMath>
      <w:r>
        <w:t xml:space="preserve">，其中</w:t>
      </w:r>
      <w:r>
        <w:t xml:space="preserve"> </w:t>
      </w:r>
      <ns1:oMath>
        <ns1:r>
          <ns1:t>Λ</ns1:t>
        </ns1:r>
      </ns1:oMath>
      <w:r>
        <w:t xml:space="preserve"> </w:t>
      </w:r>
      <w:r>
        <w:t xml:space="preserve">为分析物排除的离子通量体积，</w:t>
      </w:r>
      <ns1:oMath>
        <ns1:sSub>
          <ns1:e>
            <ns1:r>
              <ns1:t>H</ns1:t>
            </ns1:r>
          </ns1:e>
          <ns1:sub>
            <ns1:r>
              <ns1:t>e</ns1:t>
            </ns1:r>
            <ns1:r>
              <ns1:t>f</ns1:t>
            </ns1:r>
            <ns1:r>
              <ns1:t>f</ns1:t>
            </ns1:r>
          </ns1:sub>
        </ns1:sSub>
      </ns1:oMath>
      <w:r>
        <w:t xml:space="preserve"> </w:t>
      </w:r>
      <w:r>
        <w:t xml:space="preserve">为纳米孔的有效长度，</w:t>
      </w:r>
      <ns1:oMath>
        <ns1:r>
          <ns1:t>σ</ns1:t>
        </ns1:r>
      </ns1:oMath>
      <w:r>
        <w:t xml:space="preserve"> </w:t>
      </w:r>
      <w:r>
        <w:t xml:space="preserve">为溶液电导率。这一近似模型在分析物尺寸远小于纳米孔直径时具有良好的预测能力，但当分析物尺寸接近纳米孔直径时，需要引入离子云变形效应和接入电阻（access resistance）修正</w:t>
      </w:r>
      <w:r>
        <w:rPr>
          <w:vertAlign w:val="superscript"/>
        </w:rPr>
        <w:t xml:space="preserve">[11]</w:t>
      </w:r>
      <w:r>
        <w:t xml:space="preserve">。Sensale等人（2019）的理论工作表明，DNA和纳米颗粒穿越纳米孔时产生的双相离子电流信号来源于强离子云变形效应，这一发现揭示了纳米孔传感信号中蕴含的丰富界面动力学信息</w:t>
      </w:r>
      <w:r>
        <w:rPr>
          <w:vertAlign w:val="superscript"/>
        </w:rPr>
        <w:t xml:space="preserve">[11]</w:t>
      </w:r>
      <w:r>
        <w:t xml:space="preserve">。</w:t>
      </w:r>
    </w:p>
    <w:p>
      <w:pPr>
        <w:pStyle w:val="7"/>
      </w:pPr>
      <w:r>
        <w:t xml:space="preserve">在分子动力学层面，Cozmuta等人（2005）开发的混合MD-Nernst-Planck模型将分子动力学模拟与连续介质离子输运方程耦合，为</w:t>
      </w:r>
      <ns1:oMath>
        <ns1:r>
          <ns1:t>α</ns1:t>
        </ns1:r>
      </ns1:oMath>
      <w:r>
        <w:t xml:space="preserve">-溶血素纳米孔的离子电导性质提供了定量预测</w:t>
      </w:r>
      <w:r>
        <w:rPr>
          <w:vertAlign w:val="superscript"/>
        </w:rPr>
        <w:t xml:space="preserve">[12]</w:t>
      </w:r>
      <w:r>
        <w:t xml:space="preserve">。该模型在液相环境中准确地再现了离子电流阻塞幅度与外加电压、盐浓度和纳米孔几何参数的依赖关系，但其核心假设——连续介质溶剂化效应——在气相条件下完全失效。在气相中，缺乏溶剂化层的离子无法以水合离子形式稳定存在，纳米孔内的电荷输运必须依赖场致电离、电子隧穿或表面传导等替代机制</w:t>
      </w:r>
      <w:r>
        <w:rPr>
          <w:vertAlign w:val="superscript"/>
        </w:rPr>
        <w:t xml:space="preserve">[13]</w:t>
      </w:r>
      <w:r>
        <w:t xml:space="preserve">。</w:t>
      </w:r>
    </w:p>
    <w:bookmarkEnd w:id="21"/>
    <w:bookmarkStart w:id="22" w:name="气相迁移的传导机制重构与扩散动力学挑战"/>
    <w:p>
      <w:pPr>
        <w:pStyle w:val="3"/>
      </w:pPr>
      <w:r>
        <w:t xml:space="preserve">气相迁移的传导机制重构与扩散动力学挑战</w:t>
      </w:r>
    </w:p>
    <w:p>
      <w:pPr>
        <w:pStyle w:val="61"/>
      </w:pPr>
      <w:r>
        <w:t xml:space="preserve">将纳米孔传感从液相迁移至气相面临三个递进层面的根本性挑战。第一层面是传导机制的重构。在液相中，离子电流由电解质溶液中的水合离子承载，其迁移率受溶剂化能和黏滞阻力共同决定。在气相中，虽然没有自由离子载流子，但可以利用高电场（</w:t>
      </w:r>
      <ns1:oMath>
        <ns1:r>
          <ns1:t>E</ns1:t>
        </ns1:r>
        <ns1:r>
          <ns1:rPr>
            <ns1:sty ns1:val="p"/>
          </ns1:rPr>
          <ns1:t>&gt;</ns1:t>
        </ns1:r>
        <ns1:sSup>
          <ns1:e>
            <ns1:r>
              <ns1:t>10</ns1:t>
            </ns1:r>
          </ns1:e>
          <ns1:sup>
            <ns1:r>
              <ns1:t>7</ns1:t>
            </ns1:r>
          </ns1:sup>
        </ns1:sSup>
      </ns1:oMath>
      <w:r>
        <w:t xml:space="preserve"> </w:t>
      </w:r>
      <w:r>
        <w:t xml:space="preserve">V/m）下的场致电离效应在纳米孔尖端产生离子对，或通过电子隧穿机制在纳米间隙电极间建立隧穿电流</w:t>
      </w:r>
      <w:r>
        <w:rPr>
          <w:vertAlign w:val="superscript"/>
        </w:rPr>
        <w:t xml:space="preserve">[13]</w:t>
      </w:r>
      <w:r>
        <w:t xml:space="preserve">。此外，纳米孔壁的表面传导——吸附水分子层或功能化修饰层中的质子跳跃传导——在适度湿度条件下可能提供第三种传导路径</w:t>
      </w:r>
      <w:r>
        <w:rPr>
          <w:vertAlign w:val="superscript"/>
        </w:rPr>
        <w:t xml:space="preserve">[3]</w:t>
      </w:r>
      <w:r>
        <w:t xml:space="preserve">。Balme等人（2018）在疏水性和不带电的锥形纳米孔中观察到了意外的离子传输行为，将其归因于固液界面处水分子有序化导致的滑移效应，这一发现暗示了界面水层在纳米尺度离子传输中的关键作用，也为气相环境中表面传导机制的可行性提供了间接证据</w:t>
      </w:r>
      <w:r>
        <w:rPr>
          <w:vertAlign w:val="superscript"/>
        </w:rPr>
        <w:t xml:space="preserve">[3]</w:t>
      </w:r>
      <w:r>
        <w:t xml:space="preserve">。</w:t>
      </w:r>
    </w:p>
    <w:p>
      <w:pPr>
        <w:pStyle w:val="7"/>
      </w:pPr>
      <w:r>
        <w:t xml:space="preserve">第二层面是扩散动力学的量级跃迁。气体分子的扩散系数（典型值约10</w:t>
      </w:r>
      <ns1:oMath>
        <ns1:sSup>
          <ns1:e>
            <ns1:r>
              <ns1:t>​</ns1:t>
            </ns1:r>
          </ns1:e>
          <ns1:sup>
            <ns1:r>
              <ns1:rPr>
                <ns1:sty ns1:val="p"/>
              </ns1:rPr>
              <ns1:t>−</ns1:t>
            </ns1:r>
            <ns1:r>
              <ns1:t>5</ns1:t>
            </ns1:r>
          </ns1:sup>
        </ns1:sSup>
      </ns1:oMath>
      <w:r>
        <w:t xml:space="preserve"> </w:t>
      </w:r>
      <ns1:oMath>
        <ns1:sSup>
          <ns1:e>
            <ns1:r>
              <ns1:t>m</ns1:t>
            </ns1:r>
          </ns1:e>
          <ns1:sup>
            <ns1:r>
              <ns1:t>2</ns1:t>
            </ns1:r>
          </ns1:sup>
        </ns1:sSup>
      </ns1:oMath>
      <w:r>
        <w:t xml:space="preserve">/s）比液相中小分子（约10</w:t>
      </w:r>
      <ns1:oMath>
        <ns1:sSup>
          <ns1:e>
            <ns1:r>
              <ns1:t>​</ns1:t>
            </ns1:r>
          </ns1:e>
          <ns1:sup>
            <ns1:r>
              <ns1:rPr>
                <ns1:sty ns1:val="p"/>
              </ns1:rPr>
              <ns1:t>−</ns1:t>
            </ns1:r>
            <ns1:r>
              <ns1:t>9</ns1:t>
            </ns1:r>
          </ns1:sup>
        </ns1:sSup>
      </ns1:oMath>
      <w:r>
        <w:t xml:space="preserve"> </w:t>
      </w:r>
      <ns1:oMath>
        <ns1:sSup>
          <ns1:e>
            <ns1:r>
              <ns1:t>m</ns1:t>
            </ns1:r>
          </ns1:e>
          <ns1:sup>
            <ns1:r>
              <ns1:t>2</ns1:t>
            </ns1:r>
          </ns1:sup>
        </ns1:sSup>
      </ns1:oMath>
      <w:r>
        <w:t xml:space="preserve">/s）高出四个数量级。这意味着在相同几何尺寸的纳米孔中，VOC分子的穿越时间将从液相中的微秒量级压缩至亚微秒甚至纳秒量级。以典型的100 nm长度纳米孔为例，分子的平均穿越时间</w:t>
      </w:r>
      <w:r>
        <w:t xml:space="preserve"> </w:t>
      </w:r>
      <ns1:oMath>
        <ns1:r>
          <ns1:t>t</ns1:t>
        </ns1:r>
        <ns1:r>
          <ns1:rPr>
            <ns1:sty ns1:val="p"/>
          </ns1:rPr>
          <ns1:t>≈</ns1:t>
        </ns1:r>
        <ns1:sSup>
          <ns1:e>
            <ns1:r>
              <ns1:t>L</ns1:t>
            </ns1:r>
          </ns1:e>
          <ns1:sup>
            <ns1:r>
              <ns1:t>2</ns1:t>
            </ns1:r>
          </ns1:sup>
        </ns1:sSup>
        <ns1:r>
          <ns1:rPr>
            <ns1:sty ns1:val="p"/>
          </ns1:rPr>
          <ns1:t>/</ns1:t>
        </ns1:r>
        <ns1:r>
          <ns1:t>2</ns1:t>
        </ns1:r>
        <ns1:r>
          <ns1:t>D</ns1:t>
        </ns1:r>
      </ns1:oMath>
      <w:r>
        <w:t xml:space="preserve"> </w:t>
      </w:r>
      <w:r>
        <w:t xml:space="preserve">在液相中约为5</w:t>
      </w:r>
      <w:r>
        <w:t xml:space="preserve"> </w:t>
      </w:r>
      <ns1:oMath>
        <ns1:r>
          <ns1:t>μ</ns1:t>
        </ns1:r>
      </ns1:oMath>
      <w:r>
        <w:t xml:space="preserve">s，在气相中则约为0.5 ns。现有纳米孔电子读出系统的工作带宽通常在100 kHz至1 MHz范围内，对应的时间分辨率约为1-10</w:t>
      </w:r>
      <w:r>
        <w:t xml:space="preserve"> </w:t>
      </w:r>
      <ns1:oMath>
        <ns1:r>
          <ns1:t>μ</ns1:t>
        </ns1:r>
      </ns1:oMath>
      <w:r>
        <w:t xml:space="preserve">s，无法有效捕获亚微秒级事件。这一带宽瓶颈构成了气相纳米孔传感的首要技术挑战。</w:t>
      </w:r>
    </w:p>
    <w:p>
      <w:pPr>
        <w:pStyle w:val="7"/>
      </w:pPr>
      <w:r>
        <w:t xml:space="preserve">第三层面是界面相互作用的性质转变。在液相中，分析物与纳米孔壁的相互作用受到溶剂化效应的强烈调制：疏水相互作用、静电屏蔽和氢键网络共同决定了分子的穿越动力学。在气相中，这些溶剂化效应消失，取而代之的是直接的分子间相互作用——范德华力、偶极-偶极作用和氢键。这一转变意味着液相中成熟的表面修饰策略（如基于DNA杂交或抗体-抗原识别的特异性结合）在气相中无法直接适用，需要发展基于分子间弱相互作用的差异识别策略。</w:t>
      </w:r>
    </w:p>
    <w:bookmarkEnd w:id="22"/>
    <w:bookmarkStart w:id="23" w:name="已有气相纳米孔实验尝试与瓶颈分析"/>
    <w:p>
      <w:pPr>
        <w:pStyle w:val="3"/>
      </w:pPr>
      <w:r>
        <w:t xml:space="preserve">已有气相纳米孔实验尝试与瓶颈分析</w:t>
      </w:r>
    </w:p>
    <w:p>
      <w:pPr>
        <w:pStyle w:val="61"/>
      </w:pPr>
      <w:r>
        <w:t xml:space="preserve">尽管面临上述挑战，已有少数研究尝试将纳米孔技术应用于气相传感场景。Fujii等人（2017）报道了一种基于DNA适配体修饰的纳米孔芯片，利用琼脂糖水凝胶吸收气化的农药分子并将其传输至纳米孔传感区域，成功实现了农药蒸气的检测</w:t>
      </w:r>
      <w:r>
        <w:rPr>
          <w:vertAlign w:val="superscript"/>
        </w:rPr>
        <w:t xml:space="preserve">[14]</w:t>
      </w:r>
      <w:r>
        <w:t xml:space="preserve">。该工作验证了纳米孔在气相分析物检测中的原理可行性，但依赖于水凝胶作为气液界面桥接层，本质上仍属于液相传感的延伸，而非真正的全气相纳米孔传感。</w:t>
      </w:r>
    </w:p>
    <w:p>
      <w:pPr>
        <w:pStyle w:val="7"/>
      </w:pPr>
      <w:r>
        <w:t xml:space="preserve">Wang等人（2020）报道了一种基于MEMS工艺的纳米结构硅针尖阵列电离气体传感器，利用高电场下硅针尖附近的气体电离效应检测VOC</w:t>
      </w:r>
      <w:r>
        <w:rPr>
          <w:vertAlign w:val="superscript"/>
        </w:rPr>
        <w:t xml:space="preserve">[15]</w:t>
      </w:r>
      <w:r>
        <w:t xml:space="preserve">。该工作虽然未使用纳米孔结构，但展示了硅微纳结构阵列在气相电离传感中的潜力，为纳米孔-硅FET阵列在气相中的集成提供了制造工艺方面的参考。</w:t>
      </w:r>
    </w:p>
    <w:p>
      <w:pPr>
        <w:pStyle w:val="7"/>
      </w:pPr>
      <w:r>
        <w:t xml:space="preserve">这些实验尝试揭示了当前气相纳米孔传感面临的核心瓶颈。第一，信噪比不足：在气相中，可用的传导电流远小于液相中的离子电流，而读出电路的噪声基底并未相应降低，导致事件检测的信噪比严重不足。第二，事件识别困难：亚微秒级的事件时间尺度超出了现有电子读出系统的带宽，即使采用高带宽放大器，热噪声的增大也会进一步恶化信噪比。第三，选择性依赖于单一修饰-单一目标范式：已有研究通常采用单一类型的适配体或化学修饰针对特定目标VOC，缺乏面向复杂VOC混合物的广谱识别能力。第四，时域动态特征分析方法的缺失：现有研究主要关注电流幅度的变化，尚未系统性地利用穿越事件的脉冲形状、驻留时间和事件间隔等动态特征建立VOC识别框架。</w:t>
      </w:r>
    </w:p>
    <w:bookmarkEnd w:id="23"/>
    <w:bookmarkEnd w:id="24"/>
    <w:bookmarkStart w:id="28" w:name="超薄硅fet阵列与纳米孔集成架构"/>
    <w:p>
      <w:pPr>
        <w:pStyle w:val="2"/>
      </w:pPr>
      <w:r>
        <w:t xml:space="preserve">超薄硅FET阵列与纳米孔集成架构</w:t>
      </w:r>
    </w:p>
    <w:bookmarkStart w:id="25" w:name="硅fet跨导放大与纳米孔信号读出适配"/>
    <w:p>
      <w:pPr>
        <w:pStyle w:val="3"/>
      </w:pPr>
      <w:r>
        <w:t xml:space="preserve">硅FET跨导放大与纳米孔信号读出适配</w:t>
      </w:r>
    </w:p>
    <w:p>
      <w:pPr>
        <w:pStyle w:val="61"/>
      </w:pPr>
      <w:r>
        <w:t xml:space="preserve">将纳米孔与硅基场效应晶体管（FET）集成是解决气相纳米孔传感中信号读出带宽和信噪比问题的关键路径。在传统纳米孔测量中，离子电流信号通过跨阻放大器（transimpedance amplifier）转换为电压信号，其噪声性能受限于反馈电阻的热噪声（Johnson noise）和运算放大器的输入电压噪声。当目标信号带宽从100 kHz提升至10 MHz以上以捕获气相中的亚微秒级事件时，跨阻放大器的噪声水平将显著增加。</w:t>
      </w:r>
    </w:p>
    <w:p>
      <w:pPr>
        <w:pStyle w:val="7"/>
      </w:pPr>
      <w:r>
        <w:t xml:space="preserve">硅FET作为纳米孔信号读出前端提供了一种替代方案。FET在亚阈值区工作时，其跨导增益</w:t>
      </w:r>
      <w:r>
        <w:t xml:space="preserve"> </w:t>
      </w:r>
      <ns1:oMath>
        <ns1:sSub>
          <ns1:e>
            <ns1:r>
              <ns1:t>g</ns1:t>
            </ns1:r>
          </ns1:e>
          <ns1:sub>
            <ns1:r>
              <ns1:t>m</ns1:t>
            </ns1:r>
          </ns1:sub>
        </ns1:sSub>
      </ns1:oMath>
      <w:r>
        <w:t xml:space="preserve"> </w:t>
      </w:r>
      <w:r>
        <w:t xml:space="preserve">与漏极电流</w:t>
      </w:r>
      <w:r>
        <w:t xml:space="preserve"> </w:t>
      </w:r>
      <ns1:oMath>
        <ns1:sSub>
          <ns1:e>
            <ns1:r>
              <ns1:t>I</ns1:t>
            </ns1:r>
          </ns1:e>
          <ns1:sub>
            <ns1:r>
              <ns1:t>D</ns1:t>
            </ns1:r>
          </ns1:sub>
        </ns1:sSub>
      </ns1:oMath>
      <w:r>
        <w:t xml:space="preserve"> </w:t>
      </w:r>
      <w:r>
        <w:t xml:space="preserve">呈指数关系（</w:t>
      </w:r>
      <ns1:oMath>
        <ns1:sSub>
          <ns1:e>
            <ns1:r>
              <ns1:t>g</ns1:t>
            </ns1:r>
          </ns1:e>
          <ns1:sub>
            <ns1:r>
              <ns1:t>m</ns1:t>
            </ns1:r>
          </ns1:sub>
        </ns1:sSub>
        <ns1:r>
          <ns1:rPr>
            <ns1:sty ns1:val="p"/>
          </ns1:rPr>
          <ns1:t>∝</ns1:t>
        </ns1:r>
        <ns1:sSub>
          <ns1:e>
            <ns1:r>
              <ns1:t>I</ns1:t>
            </ns1:r>
          </ns1:e>
          <ns1:sub>
            <ns1:r>
              <ns1:t>D</ns1:t>
            </ns1:r>
          </ns1:sub>
        </ns1:sSub>
      </ns1:oMath>
      <w:r>
        <w:t xml:space="preserve">），这意味着在极低的功耗水平下即可获得高增益</w:t>
      </w:r>
      <w:r>
        <w:rPr>
          <w:vertAlign w:val="superscript"/>
        </w:rPr>
        <w:t xml:space="preserve">[16]</w:t>
      </w:r>
      <w:r>
        <w:t xml:space="preserve">。更重要的是，FET的输入电容可以设计在飞法（fF）级别，远低于跨阻放大器的反馈电容，从而在高频下保持优异的信噪比。Jamasb等人（2021）在ISFET电流模式操作中表征了漂移和迟滞效应，并提出了后处理补偿方法，为ISFET在长时间连续测量中的信号稳定性提供了工程解决方案</w:t>
      </w:r>
      <w:r>
        <w:rPr>
          <w:vertAlign w:val="superscript"/>
        </w:rPr>
        <w:t xml:space="preserve">[16]</w:t>
      </w:r>
      <w:r>
        <w:t xml:space="preserve">。</w:t>
      </w:r>
    </w:p>
    <w:p>
      <w:pPr>
        <w:pStyle w:val="7"/>
      </w:pPr>
      <w:r>
        <w:t xml:space="preserve">在纳米孔-FET集成架构中，信号链从纳米孔离子电流开始，经由栅极介电层耦合到FET沟道，最终以漏极电流变化的形式输出。栅极介电层材料的选择对信号转换效率至关重要。Li等人（2008）对比研究了等离子体增强化学气相沉积（PECVD）制备的不同栅极介电层（</w:t>
      </w:r>
      <ns1:oMath>
        <ns1:r>
          <ns1:t>S</ns1:t>
        </ns1:r>
        <ns1:r>
          <ns1:t>i</ns1:t>
        </ns1:r>
        <ns1:sSub>
          <ns1:e>
            <ns1:r>
              <ns1:t>O</ns1:t>
            </ns1:r>
          </ns1:e>
          <ns1:sub>
            <ns1:r>
              <ns1:t>2</ns1:t>
            </ns1:r>
          </ns1:sub>
        </ns1:sSub>
      </ns1:oMath>
      <w:r>
        <w:t xml:space="preserve">、</w:t>
      </w:r>
      <ns1:oMath>
        <ns1:r>
          <ns1:t>S</ns1:t>
        </ns1:r>
        <ns1:r>
          <ns1:t>i</ns1:t>
        </ns1:r>
        <ns1:sSub>
          <ns1:e>
            <ns1:r>
              <ns1:t>N</ns1:t>
            </ns1:r>
          </ns1:e>
          <ns1:sub>
            <ns1:r>
              <ns1:t>x</ns1:t>
            </ns1:r>
          </ns1:sub>
        </ns1:sSub>
      </ns1:oMath>
      <w:r>
        <w:t xml:space="preserve">）在溶液处理聚合物薄膜晶体管电路集成中的性能，发现介电层与电解液界面的电荷陷阱密度是影响器件噪声性能的关键因素</w:t>
      </w:r>
      <w:r>
        <w:rPr>
          <w:vertAlign w:val="superscript"/>
        </w:rPr>
        <w:t xml:space="preserve">[17]</w:t>
      </w:r>
      <w:r>
        <w:t xml:space="preserve">。这一发现直接适用于气相环境：在气相中，介电层表面吸附的水分子层或VOC分子可能成为额外的电荷噪声源，其影响尚缺乏系统研究。</w:t>
      </w:r>
    </w:p>
    <w:p>
      <w:pPr>
        <w:pStyle w:val="7"/>
      </w:pPr>
      <w:r>
        <w:t xml:space="preserve">Rani等人（2020）报道了纳米级ISFET阵列在亚皮摩尔浓度细胞因子检测中的应用，展示了密集FET阵列在并行读出方面的潜力</w:t>
      </w:r>
      <w:r>
        <w:rPr>
          <w:vertAlign w:val="superscript"/>
        </w:rPr>
        <w:t xml:space="preserve">[18]</w:t>
      </w:r>
      <w:r>
        <w:t xml:space="preserve">。该工作采用的CMOS兼容制造工艺和微流控集成方案，为未来纳米孔-FET阵列在气相传感中的规模化制造提供了技术参考。</w:t>
      </w:r>
    </w:p>
    <w:bookmarkEnd w:id="25"/>
    <w:bookmarkStart w:id="26" w:name="纳米线-纳米孔垂直集成架构与制造工艺"/>
    <w:p>
      <w:pPr>
        <w:pStyle w:val="3"/>
      </w:pPr>
      <w:r>
        <w:t xml:space="preserve">纳米线-纳米孔垂直集成架构与制造工艺</w:t>
      </w:r>
    </w:p>
    <w:p>
      <w:pPr>
        <w:pStyle w:val="61"/>
      </w:pPr>
      <w:r>
        <w:t xml:space="preserve">Xie等人（2011）在</w:t>
      </w:r>
      <w:r>
        <w:rPr>
          <w:iCs/>
          <w:i/>
        </w:rPr>
        <w:t xml:space="preserve">Nature Nanotechnology</w:t>
      </w:r>
      <w:r>
        <w:t xml:space="preserve">上报道的纳米线-纳米孔垂直集成传感器是这一领域的里程碑工作</w:t>
      </w:r>
      <w:r>
        <w:rPr>
          <w:vertAlign w:val="superscript"/>
        </w:rPr>
        <w:t xml:space="preserve">[4]</w:t>
      </w:r>
      <w:r>
        <w:t xml:space="preserve">。在该架构中，硅纳米线FET被精确放置在固态纳米孔的正下方，当DNA分子穿过纳米孔时，其局部电势变化直接调制纳米线FET的沟道电导。这一垂直集成方案实现了单分子穿越事件与电信号读出的直接耦合，避免了传统离子电流测量中跨阻放大器的噪声限制，在</w:t>
      </w:r>
      <ns1:oMath>
        <ns1:r>
          <ns1:rPr>
            <ns1:sty ns1:val="p"/>
          </ns1:rPr>
          <ns1:t>∼</ns1:t>
        </ns1:r>
      </ns1:oMath>
      <w:r>
        <w:t xml:space="preserve">pA级别的电流水平上实现了与100 kHz带宽兼容的信噪比。</w:t>
      </w:r>
    </w:p>
    <w:p>
      <w:pPr>
        <w:pStyle w:val="7"/>
      </w:pPr>
      <w:r>
        <w:t xml:space="preserve">然而，该架构的制造工艺面临多项挑战。首先，纳米孔与纳米线的空间对准精度需要达到10 nm以下级别，以确保每个穿越事件都能被纳米线FET有效感知。其次，纳米孔的钻蚀通常采用透射电子显微镜（TEM）聚焦电子束钻孔，这一过程可能对纳米线沟道造成辐射损伤，导致FET电学性能退化。第三，纳米线与金属电极的接触电阻和可靠性在反复测量中可能发生变化。</w:t>
      </w:r>
    </w:p>
    <w:p>
      <w:pPr>
        <w:pStyle w:val="7"/>
      </w:pPr>
      <w:r>
        <w:t xml:space="preserve">Livi等人（2015）在CMOS芯片上实现了硅纳米线FET阵列的单片集成，展示了从实验室级分立器件向工业化批量制造迈进的可行性</w:t>
      </w:r>
      <w:r>
        <w:rPr>
          <w:vertAlign w:val="superscript"/>
        </w:rPr>
        <w:t xml:space="preserve">[19]</w:t>
      </w:r>
      <w:r>
        <w:t xml:space="preserve">。该工作采用化学气相沉积（CVD）生长硅纳米线，随后将纳米线转移至已制备金属接触的CMOS芯片上，并通过电子束光刻完成纳米线的精确定位。虽然该方案未包含纳米孔的集成，但其展示的纳米线转移、定位和金属化工艺为纳米孔-FET阵列的制造提供了直接的技术基础。</w:t>
      </w:r>
    </w:p>
    <w:p>
      <w:pPr>
        <w:pStyle w:val="7"/>
      </w:pPr>
      <w:r>
        <w:t xml:space="preserve">Schmid等人（2023）报道了一种外部速度控制方法，通过调节纳米孔两侧的压力差来控制DNA的穿越速度，显著提高了纳米孔读取的分辨率</w:t>
      </w:r>
      <w:r>
        <w:rPr>
          <w:vertAlign w:val="superscript"/>
        </w:rPr>
        <w:t xml:space="preserve">[20]</w:t>
      </w:r>
      <w:r>
        <w:t xml:space="preserve">。这一压力控制策略在气相环境中可能具有特殊价值：通过调节气体压力差，不仅可以控制VOC分子的穿越速率，还可以在纳米孔两侧建立浓度梯度，为选择性富集提供额外的调控维度。</w:t>
      </w:r>
    </w:p>
    <w:bookmarkEnd w:id="26"/>
    <w:bookmarkStart w:id="27" w:name="阵列化多通道并行读出与cmos兼容性"/>
    <w:p>
      <w:pPr>
        <w:pStyle w:val="3"/>
      </w:pPr>
      <w:r>
        <w:t xml:space="preserve">阵列化多通道并行读出与CMOS兼容性</w:t>
      </w:r>
    </w:p>
    <w:p>
      <w:pPr>
        <w:pStyle w:val="61"/>
      </w:pPr>
      <w:r>
        <w:t xml:space="preserve">从单通道纳米孔-FET器件扩展到多通道阵列是实现高通量VOC识别和差异化功能化修饰的前提。并行读出架构可以大幅提升事件捕获通量，更重要的是，允许在同一芯片上集成多个具有不同表面修饰的纳米孔，每个纳米孔对同一VOC混合物产生差异化的响应模式，从而实现类似于电子鼻（e-nose）的交叉响应识别。</w:t>
      </w:r>
    </w:p>
    <w:p>
      <w:pPr>
        <w:pStyle w:val="7"/>
      </w:pPr>
      <w:r>
        <w:t xml:space="preserve">阵列化面临的首要技术挑战是通道间串扰的抑制。在密集FET阵列中，相邻通道之间的电容耦合和衬底电流传导可能导致一个通道的信号干扰另一个通道的读出。差分读出方案和像素级屏蔽结构是抑制串扰的两种主要电路级方法，但均会增加芯片面积和功耗</w:t>
      </w:r>
      <w:r>
        <w:rPr>
          <w:vertAlign w:val="superscript"/>
        </w:rPr>
        <w:t xml:space="preserve">[18]</w:t>
      </w:r>
      <w:r>
        <w:t xml:space="preserve">。</w:t>
      </w:r>
    </w:p>
    <w:p>
      <w:pPr>
        <w:pStyle w:val="7"/>
      </w:pPr>
      <w:r>
        <w:t xml:space="preserve">纳米孔阵列的均匀性控制是另一个关键挑战。在阵列中，每个纳米孔需要具有高度一致的几何尺寸（直径、长度、锥角），以确保不同通道的穿越事件特征具有可比性。传统的TEM逐个钻孔方法无法满足阵列化对均匀性和通量的要求，需要发展基于自组装嵌段共聚物模板或阳极氧化铝（AAO）模板的并行纳米孔制造方法。</w:t>
      </w:r>
    </w:p>
    <w:p>
      <w:pPr>
        <w:pStyle w:val="7"/>
      </w:pPr>
      <w:r>
        <w:t xml:space="preserve">CMOS兼容性是走向实际应用的核心约束。CMOS后道工艺（BEOL）的热预算通常限制在400</w:t>
      </w:r>
      <ns1:oMath>
        <ns1:sSup>
          <ns1:e>
            <ns1:r>
              <ns1:t>​</ns1:t>
            </ns1:r>
          </ns1:e>
          <ns1:sup>
            <ns1:r>
              <ns1:rPr>
                <ns1:sty ns1:val="p"/>
              </ns1:rPr>
              <ns1:t>∘</ns1:t>
            </ns1:r>
          </ns1:sup>
        </ns1:sSup>
      </ns1:oMath>
      <w:r>
        <w:t xml:space="preserve">C以下，以避免对已制备的金属互连层和晶体管掺杂分布造成损伤。这要求纳米孔的制造（如硅薄膜的退火结晶、栅极介电层的沉积）和表面功能化修饰（如SAM的退火）均需在低温条件下完成。Azhar等人（2014）在固态微孔阵列中实现了癌细胞的并行识别，展示了可寻址微孔阵列在生物传感中的应用潜力，其阵列制造和寻址方案为纳米孔阵列的设计提供了参考</w:t>
      </w:r>
      <w:r>
        <w:rPr>
          <w:vertAlign w:val="superscript"/>
        </w:rPr>
        <w:t xml:space="preserve">[21]</w:t>
      </w:r>
      <w:r>
        <w:t xml:space="preserve">。</w:t>
      </w:r>
    </w:p>
    <w:bookmarkEnd w:id="27"/>
    <w:bookmarkEnd w:id="28"/>
    <w:bookmarkStart w:id="32" w:name="功能化表面修饰对voc的选择性调控"/>
    <w:p>
      <w:pPr>
        <w:pStyle w:val="2"/>
      </w:pPr>
      <w:r>
        <w:t xml:space="preserve">功能化表面修饰对VOC的选择性调控</w:t>
      </w:r>
    </w:p>
    <w:bookmarkStart w:id="29" w:name="自组装单分子层修饰与末端官能团设计"/>
    <w:p>
      <w:pPr>
        <w:pStyle w:val="3"/>
      </w:pPr>
      <w:r>
        <w:t xml:space="preserve">自组装单分子层修饰与末端官能团设计</w:t>
      </w:r>
    </w:p>
    <w:p>
      <w:pPr>
        <w:pStyle w:val="61"/>
      </w:pPr>
      <w:r>
        <w:t xml:space="preserve">纳米孔内壁的表面化学修饰是实现VOC分子选择性识别的核心策略。与液相中基于生物识别元件（抗体、适配体、酶）的高亲和力特异性结合不同，气相VOC识别需要利用分子间弱相互作用的差异——范德华力、氢键、</w:t>
      </w:r>
      <ns1:oMath>
        <ns1:r>
          <ns1:t>π</ns1:t>
        </ns1:r>
      </ns1:oMath>
      <w:r>
        <w:t xml:space="preserve">-</w:t>
      </w:r>
      <ns1:oMath>
        <ns1:r>
          <ns1:t>π</ns1:t>
        </ns1:r>
      </ns1:oMath>
      <w:r>
        <w:t xml:space="preserve">堆积和偶极-偶极作用——实现对不同VOC分子的差异化响应。</w:t>
      </w:r>
    </w:p>
    <w:p>
      <w:pPr>
        <w:pStyle w:val="7"/>
      </w:pPr>
      <w:r>
        <w:t xml:space="preserve">自组装单分子层（SAM）是纳米孔表面修饰中研究最为深入的策略之一。硫醇类分子在金表面通过Au-S键（键能约40-50 kcal/mol）自发组装形成高度有序的单分子层，其末端官能团暴露于纳米孔内表面，直接与穿过的VOC分子发生相互作用</w:t>
      </w:r>
      <w:r>
        <w:rPr>
          <w:vertAlign w:val="superscript"/>
        </w:rPr>
        <w:t xml:space="preserve">[22]</w:t>
      </w:r>
      <w:r>
        <w:t xml:space="preserve">。通过选择不同的末端官能团——羧基（-COOH）提供氢键供体和受体，氨基（-</w:t>
      </w:r>
      <ns1:oMath>
        <ns1:r>
          <ns1:t>N</ns1:t>
        </ns1:r>
        <ns1:sSub>
          <ns1:e>
            <ns1:r>
              <ns1:t>H</ns1:t>
            </ns1:r>
          </ns1:e>
          <ns1:sub>
            <ns1:r>
              <ns1:t>2</ns1:t>
            </ns1:r>
          </ns1:sub>
        </ns1:sSub>
      </ns1:oMath>
      <w:r>
        <w:t xml:space="preserve">）提供碱性和氢键能力，甲基（-</w:t>
      </w:r>
      <ns1:oMath>
        <ns1:r>
          <ns1:t>C</ns1:t>
        </ns1:r>
        <ns1:sSub>
          <ns1:e>
            <ns1:r>
              <ns1:t>H</ns1:t>
            </ns1:r>
          </ns1:e>
          <ns1:sub>
            <ns1:r>
              <ns1:t>3</ns1:t>
            </ns1:r>
          </ns1:sub>
        </ns1:sSub>
      </ns1:oMath>
      <w:r>
        <w:t xml:space="preserve">）提供疏水表面，三氟甲基（-</w:t>
      </w:r>
      <ns1:oMath>
        <ns1:r>
          <ns1:t>C</ns1:t>
        </ns1:r>
        <ns1:sSub>
          <ns1:e>
            <ns1:r>
              <ns1:t>F</ns1:t>
            </ns1:r>
          </ns1:e>
          <ns1:sub>
            <ns1:r>
              <ns1:t>3</ns1:t>
            </ns1:r>
          </ns1:sub>
        </ns1:sSub>
      </ns1:oMath>
      <w:r>
        <w:t xml:space="preserve">）提供强电负性——可以实现对不同极性VOC分子的差异化亲和力</w:t>
      </w:r>
      <w:r>
        <w:rPr>
          <w:vertAlign w:val="superscript"/>
        </w:rPr>
        <w:t xml:space="preserve">[5]</w:t>
      </w:r>
      <w:r>
        <w:t xml:space="preserve">。</w:t>
      </w:r>
    </w:p>
    <w:p>
      <w:pPr>
        <w:pStyle w:val="7"/>
      </w:pPr>
      <w:r>
        <w:t xml:space="preserve">Henning等人（2018）在静电形成纳米线（EFN）化学传感器中展示了通过调节浅p-n结偏压来控制边缘电场强度的能力，使电场强度从0.5</w:t>
      </w:r>
      <ns1:oMath>
        <ns1:r>
          <ns1:rPr>
            <ns1:sty ns1:val="p"/>
          </ns1:rPr>
          <ns1:t>×</ns1:t>
        </ns1:r>
      </ns1:oMath>
      <w:r>
        <w:t xml:space="preserve">10</w:t>
      </w:r>
      <ns1:oMath>
        <ns1:sSup>
          <ns1:e>
            <ns1:r>
              <ns1:t>​</ns1:t>
            </ns1:r>
          </ns1:e>
          <ns1:sup>
            <ns1:r>
              <ns1:t>7</ns1:t>
            </ns1:r>
          </ns1:sup>
        </ns1:sSup>
      </ns1:oMath>
      <w:r>
        <w:t xml:space="preserve"> </w:t>
      </w:r>
      <w:r>
        <w:t xml:space="preserve">V/m连续调节至2.5</w:t>
      </w:r>
      <ns1:oMath>
        <ns1:r>
          <ns1:rPr>
            <ns1:sty ns1:val="p"/>
          </ns1:rPr>
          <ns1:t>×</ns1:t>
        </ns1:r>
      </ns1:oMath>
      <w:r>
        <w:t xml:space="preserve">10</w:t>
      </w:r>
      <ns1:oMath>
        <ns1:sSup>
          <ns1:e>
            <ns1:r>
              <ns1:t>​</ns1:t>
            </ns1:r>
          </ns1:e>
          <ns1:sup>
            <ns1:r>
              <ns1:t>7</ns1:t>
            </ns1:r>
          </ns1:sup>
        </ns1:sSup>
      </ns1:oMath>
      <w:r>
        <w:t xml:space="preserve"> </w:t>
      </w:r>
      <w:r>
        <w:t xml:space="preserve">V/m</w:t>
      </w:r>
      <w:r>
        <w:rPr>
          <w:vertAlign w:val="superscript"/>
        </w:rPr>
        <w:t xml:space="preserve">[5]</w:t>
      </w:r>
      <w:r>
        <w:t xml:space="preserve">。这一电场调控策略为SAM修饰纳米孔的气相传感提供了重要启示：通过调节纳米孔两端的偏压，可以主动控制VOC分子与SAM末端官能团之间的静电相互作用强度，从而在不改变SAM化学组成的条件下动态调节传感器的选择性。</w:t>
      </w:r>
    </w:p>
    <w:p>
      <w:pPr>
        <w:pStyle w:val="7"/>
      </w:pPr>
      <w:r>
        <w:t xml:space="preserve">SAM堆积密度和倾斜角是影响穿越事件可重复性的关键变量。Lu等人（2007）报道了基于金属纳米颗粒自组装单分子层的光学VOC传感器，展示了SAM末端官能团对VOC的选择性响应</w:t>
      </w:r>
      <w:r>
        <w:rPr>
          <w:vertAlign w:val="superscript"/>
        </w:rPr>
        <w:t xml:space="preserve">[23]</w:t>
      </w:r>
      <w:r>
        <w:t xml:space="preserve">。然而，在纳米孔的限域曲面内，SAM的堆积密度和取向有序性可能与平面金表面显著不同，这一几何效应在纳米孔的曲率半径接近SAM分子长度时尤为显著。此外，SAM在气相环境中的长期稳定性——特别是硫醇基团在无溶液环境中对氧化和热脱附的耐受性——是实际应用前需要解决的关键问题。</w:t>
      </w:r>
    </w:p>
    <w:bookmarkEnd w:id="29"/>
    <w:bookmarkStart w:id="30" w:name="聚合物刷与金属有机框架的限域修饰策略"/>
    <w:p>
      <w:pPr>
        <w:pStyle w:val="3"/>
      </w:pPr>
      <w:r>
        <w:t xml:space="preserve">聚合物刷与金属有机框架的限域修饰策略</w:t>
      </w:r>
    </w:p>
    <w:p>
      <w:pPr>
        <w:pStyle w:val="61"/>
      </w:pPr>
      <w:r>
        <w:t xml:space="preserve">聚合物刷为纳米孔修饰提供了不同于SAM的另一种策略。与SAM的高度有序、刚性结构不同，聚合物刷由一端锚定于表面的柔性聚合物链组成，其构象自由度赋予修饰层以</w:t>
      </w:r>
      <w:r>
        <w:t xml:space="preserve">“</w:t>
      </w:r>
      <w:r>
        <w:t xml:space="preserve">柔性广谱</w:t>
      </w:r>
      <w:r>
        <w:t xml:space="preserve">”</w:t>
      </w:r>
      <w:r>
        <w:t xml:space="preserve">的吸附能力。聚乙二醇（PEG）刷可提供亲水和抗生物污染表面，聚多巴胺刷可通过邻苯二酚基团与多种VOC分子形成氢键和</w:t>
      </w:r>
      <ns1:oMath>
        <ns1:r>
          <ns1:t>π</ns1:t>
        </ns1:r>
      </ns1:oMath>
      <w:r>
        <w:t xml:space="preserve">-</w:t>
      </w:r>
      <ns1:oMath>
        <ns1:r>
          <ns1:t>π</ns1:t>
        </ns1:r>
      </ns1:oMath>
      <w:r>
        <w:t xml:space="preserve">相互作用，而聚电解质刷则可通过pH响应性构象变化实现可切换的吸附行为</w:t>
      </w:r>
      <w:r>
        <w:rPr>
          <w:vertAlign w:val="superscript"/>
        </w:rPr>
        <w:t xml:space="preserve">[6]</w:t>
      </w:r>
      <w:r>
        <w:t xml:space="preserve">。</w:t>
      </w:r>
    </w:p>
    <w:p>
      <w:pPr>
        <w:pStyle w:val="7"/>
      </w:pPr>
      <w:r>
        <w:t xml:space="preserve">Sweerakkody等人（2022）报道了表面活性剂样肽自组装形成的杂化纳米结构在电子鼻中的应用，展示了自组装肽纳米结构对不同VOC的差异化响应模式</w:t>
      </w:r>
      <w:r>
        <w:rPr>
          <w:vertAlign w:val="superscript"/>
        </w:rPr>
        <w:t xml:space="preserve">[6]</w:t>
      </w:r>
      <w:r>
        <w:t xml:space="preserve">。该工作将肽自组装的有序性与柔性分子识别能力结合，为纳米孔内的功能化修饰提供了新的分子设计思路。然而，聚合物刷修饰面临的主要挑战在于修饰层厚度的均匀性控制：在纳米孔限域空间内，聚合物链的构象分布受到曲面约束和链间排斥的双重影响，导致修饰层厚度在纳米孔轴向和径向上可能呈现显著的不均匀性。</w:t>
      </w:r>
    </w:p>
    <w:p>
      <w:pPr>
        <w:pStyle w:val="7"/>
      </w:pPr>
      <w:r>
        <w:t xml:space="preserve">金属有机框架（MOF）代表了第三种修饰策略，其核心优势在于可编程的孔道尺寸和配位化学位点。Goswami等人（2021）综述了MOF在外部刺激触发荧光切换中的应用，重点讨论了结构-性质协同关系在实时监测多种有毒化合物中的重要性</w:t>
      </w:r>
      <w:r>
        <w:rPr>
          <w:vertAlign w:val="superscript"/>
        </w:rPr>
        <w:t xml:space="preserve">[7]</w:t>
      </w:r>
      <w:r>
        <w:t xml:space="preserve">。MOF的周期性晶体结构允许精确设计孔道尺寸（通常在0.3-2 nm范围内），使其能够对VOC分子进行尺寸筛分——小于MOF孔道的分子可以通过，而大于孔道的分子被排斥。</w:t>
      </w:r>
    </w:p>
    <w:p>
      <w:pPr>
        <w:pStyle w:val="7"/>
      </w:pPr>
      <w:r>
        <w:t xml:space="preserve">Day等人（2023）报道了多孔硅预浓缩器在选择性环境VOC检测中的应用，重点研究了表面功能化和湿度的影响</w:t>
      </w:r>
      <w:r>
        <w:rPr>
          <w:vertAlign w:val="superscript"/>
        </w:rPr>
        <w:t xml:space="preserve">[24]</w:t>
      </w:r>
      <w:r>
        <w:t xml:space="preserve">。该工作表明，预浓缩器材料的表面功能化可以显著提高对特定VOC的选择性，但湿度对吸附性能有显著影响——这一发现对气相纳米孔传感具有重要参考意义，因为环境湿度可能竞争性地占据纳米孔修饰层的吸附位点。然而，MOF在纳米孔限域空间内的原位生长面临前驱体传质限制：纳米孔的亚微米级通道对MOF前驱体溶液的传质构成阻力，可能导致MOF在纳米孔内分布不均匀或结晶度降低。</w:t>
      </w:r>
    </w:p>
    <w:bookmarkEnd w:id="30"/>
    <w:bookmarkStart w:id="31" w:name="多重修饰阵列与交叉响应识别策略"/>
    <w:p>
      <w:pPr>
        <w:pStyle w:val="3"/>
      </w:pPr>
      <w:r>
        <w:t xml:space="preserve">多重修饰阵列与交叉响应识别策略</w:t>
      </w:r>
    </w:p>
    <w:p>
      <w:pPr>
        <w:pStyle w:val="61"/>
      </w:pPr>
      <w:r>
        <w:t xml:space="preserve">单一修饰策略的选择性受限于其与目标VOC之间的相互作用维度。在复杂VOC混合物中，仅依靠一种末端官能团或一种MOF孔道尺寸难以实现对所有组分的有效区分。借鉴哺乳动物嗅觉系统中数百种嗅觉受体的交叉响应原理，多重修饰阵列方案将VOC识别从</w:t>
      </w:r>
      <w:r>
        <w:t xml:space="preserve">“</w:t>
      </w:r>
      <w:r>
        <w:t xml:space="preserve">一把钥匙开一把锁</w:t>
      </w:r>
      <w:r>
        <w:t xml:space="preserve">”</w:t>
      </w:r>
      <w:r>
        <w:t xml:space="preserve">的单修饰范式升级为响应模式空间中的多维向量匹配。</w:t>
      </w:r>
    </w:p>
    <w:p>
      <w:pPr>
        <w:pStyle w:val="7"/>
      </w:pPr>
      <w:r>
        <w:t xml:space="preserve">该方案的核心思想是在同一芯片上集成多个不同表面修饰的纳米孔，每个纳米孔对同一VOC混合物产生差异化的穿越事件特征——包括事件幅度、频率、驻留时间和脉冲形状。由于不同修饰的纳米孔与不同VOC分子之间的相互作用能谱存在差异，每种VOC在修饰阵列上产生一个独特的响应向量，该向量在响应模式空间中的位置（而非单一事件特征的绝对值）决定了VOC的种类</w:t>
      </w:r>
      <w:r>
        <w:rPr>
          <w:vertAlign w:val="superscript"/>
        </w:rPr>
        <w:t xml:space="preserve">[5]</w:t>
      </w:r>
      <w:r>
        <w:t xml:space="preserve">。</w:t>
      </w:r>
    </w:p>
    <w:p>
      <w:pPr>
        <w:pStyle w:val="7"/>
      </w:pPr>
      <w:r>
        <w:t xml:space="preserve">Chang等人（2016）报道了基于SAM涂层传感器阵列的VOC检测方法，该方法利用浓度无关的指纹特征实现了对多种VOC的区分，证明了交叉响应阵列策略在气相VOC识别中的可行性</w:t>
      </w:r>
      <w:r>
        <w:rPr>
          <w:vertAlign w:val="superscript"/>
        </w:rPr>
        <w:t xml:space="preserve">[25]</w:t>
      </w:r>
      <w:r>
        <w:t xml:space="preserve">。Meyer等人（2020）将机器学习方法应用于锥形径迹刻蚀纳米孔的生物分子传感，展示了机器学习算法在从纳米孔信号中提取分类特征方面的能力</w:t>
      </w:r>
      <w:r>
        <w:rPr>
          <w:vertAlign w:val="superscript"/>
        </w:rPr>
        <w:t xml:space="preserve">[26]</w:t>
      </w:r>
      <w:r>
        <w:t xml:space="preserve">。Kwon等人（2022）报道了通过非破坏性分子掺杂实现超灵敏n型石墨烯气体传感器的工作，展示了界面电荷调控在气体传感灵敏度提升中的关键作用</w:t>
      </w:r>
      <w:r>
        <w:rPr>
          <w:vertAlign w:val="superscript"/>
        </w:rPr>
        <w:t xml:space="preserve">[27]</w:t>
      </w:r>
      <w:r>
        <w:t xml:space="preserve">。这些工作从不同角度验证了多重修饰阵列与机器学习相结合的核心策略。</w:t>
      </w:r>
    </w:p>
    <w:p>
      <w:pPr>
        <w:pStyle w:val="7"/>
      </w:pPr>
      <w:r>
        <w:t xml:space="preserve">从定量对比角度看，多重修饰阵列方案相对于单通道方案在选择性上的提升来源于响应空间的维度扩展：</w:t>
      </w:r>
      <ns1:oMath>
        <ns1:r>
          <ns1:t>n</ns1:t>
        </ns1:r>
      </ns1:oMath>
      <w:r>
        <w:t xml:space="preserve">个差异化修饰纳米孔产生</w:t>
      </w:r>
      <ns1:oMath>
        <ns1:r>
          <ns1:t>n</ns1:t>
        </ns1:r>
      </ns1:oMath>
      <w:r>
        <w:t xml:space="preserve">维响应向量，其类间可分辨性随</w:t>
      </w:r>
      <ns1:oMath>
        <ns1:r>
          <ns1:t>n</ns1:t>
        </ns1:r>
      </ns1:oMath>
      <w:r>
        <w:t xml:space="preserve">增加而指数增长（假设各通道响应统计独立），而单通道方案的类间可分辨性受限于单一特征维度的动态范围。在复杂混合物处理能力方面，多重修饰阵列通过响应向量的线性或非线性解混可以同时识别多种VOC组分，而单通道方案通常只能对优势组分做出响应。</w:t>
      </w:r>
    </w:p>
    <w:bookmarkEnd w:id="31"/>
    <w:bookmarkEnd w:id="32"/>
    <w:bookmarkStart w:id="36" w:name="毫秒级时域动态特征作为voc识别指纹"/>
    <w:p>
      <w:pPr>
        <w:pStyle w:val="2"/>
      </w:pPr>
      <w:r>
        <w:t xml:space="preserve">毫秒级时域动态特征作为VOC识别指纹</w:t>
      </w:r>
    </w:p>
    <w:bookmarkStart w:id="33" w:name="穿越事件三阶段物理模型与特征参数"/>
    <w:p>
      <w:pPr>
        <w:pStyle w:val="3"/>
      </w:pPr>
      <w:r>
        <w:t xml:space="preserve">穿越事件三阶段物理模型与特征参数</w:t>
      </w:r>
    </w:p>
    <w:p>
      <w:pPr>
        <w:pStyle w:val="61"/>
      </w:pPr>
      <w:r>
        <w:t xml:space="preserve">传统气相传感器依赖稳态电导或频率偏移作为识别信号，本质上丢弃了分子穿越事件中蕴含的丰富动力学信息。纳米孔传感的独特优势在于其单事件级别的时域分辨率：每次VOC分子穿越产生一个离散的电流脉冲事件，其脉冲形状、驻留时间、事件间隔和事件幅度分布构成一个多维时域特征空间。这一特征空间的信息维度远高于传统稳态响应的单一标量输出，为VOC识别提供了更丰富的物理指纹。</w:t>
      </w:r>
    </w:p>
    <w:p>
      <w:pPr>
        <w:pStyle w:val="7"/>
      </w:pPr>
      <w:r>
        <w:t xml:space="preserve">将单个VOC分子的穿越事件分解为三个连续阶段——进入（capture）、驻留（residence）和逃逸（escape）——有助于系统性地关联时域特征参数与VOC分子的物理化学性质。在进入阶段，VOC分子从气相本体扩散至纳米孔入口并克服可能的能量势垒进入孔道，其进入速率（capture rate）由扩散-电场耦合决定，反映了VOC分子在纳米孔附近的有效浓度和扩散系数。在驻留阶段，VOC分子在纳米孔内与孔壁发生多重相互作用，其驻留时间（dwell time）由VOC-孔壁相互作用能</w:t>
      </w:r>
      <w:r>
        <w:t xml:space="preserve"> </w:t>
      </w:r>
      <ns1:oMath>
        <ns1:sSub>
          <ns1:e>
            <ns1:r>
              <ns1:t>E</ns1:t>
            </ns1:r>
          </ns1:e>
          <ns1:sub>
            <ns1:r>
              <ns1:t>b</ns1:t>
            </ns1:r>
          </ns1:sub>
        </ns1:sSub>
      </ns1:oMath>
      <w:r>
        <w:t xml:space="preserve"> </w:t>
      </w:r>
      <w:r>
        <w:t xml:space="preserve">和热激活能</w:t>
      </w:r>
      <w:r>
        <w:t xml:space="preserve"> </w:t>
      </w:r>
      <ns1:oMath>
        <ns1:sSub>
          <ns1:e>
            <ns1:r>
              <ns1:t>k</ns1:t>
            </ns1:r>
          </ns1:e>
          <ns1:sub>
            <ns1:r>
              <ns1:t>B</ns1:t>
            </ns1:r>
          </ns1:sub>
        </ns1:sSub>
        <ns1:r>
          <ns1:t>T</ns1:t>
        </ns1:r>
      </ns1:oMath>
      <w:r>
        <w:t xml:space="preserve"> </w:t>
      </w:r>
      <w:r>
        <w:t xml:space="preserve">共同决定，服从Arrhenius型关系</w:t>
      </w:r>
      <w:r>
        <w:t xml:space="preserve"> </w:t>
      </w:r>
      <ns1:oMath>
        <ns1:sSub>
          <ns1:e>
            <ns1:r>
              <ns1:t>t</ns1:t>
            </ns1:r>
          </ns1:e>
          <ns1:sub>
            <ns1:r>
              <ns1:t>d</ns1:t>
            </ns1:r>
          </ns1:sub>
        </ns1:sSub>
        <ns1:r>
          <ns1:rPr>
            <ns1:sty ns1:val="p"/>
          </ns1:rPr>
          <ns1:t>∝</ns1:t>
        </ns1:r>
        <ns1:r>
          <ns1:rPr>
            <ns1:sty ns1:val="p"/>
          </ns1:rPr>
          <ns1:t>exp</ns1:t>
        </ns1:r>
        <ns1:d>
          <ns1:dPr>
            <ns1:begChr ns1:val="("/>
            <ns1:endChr ns1:val=")"/>
            <ns1:sepChr ns1:val=""/>
            <ns1:grow/>
          </ns1:dPr>
          <ns1:e>
            <ns1:sSub>
              <ns1:e>
                <ns1:r>
                  <ns1:t>E</ns1:t>
                </ns1:r>
              </ns1:e>
              <ns1:sub>
                <ns1:r>
                  <ns1:t>b</ns1:t>
                </ns1:r>
              </ns1:sub>
            </ns1:sSub>
            <ns1:r>
              <ns1:rPr>
                <ns1:sty ns1:val="p"/>
              </ns1:rPr>
              <ns1:t>/</ns1:t>
            </ns1:r>
            <ns1:sSub>
              <ns1:e>
                <ns1:r>
                  <ns1:t>k</ns1:t>
                </ns1:r>
              </ns1:e>
              <ns1:sub>
                <ns1:r>
                  <ns1:t>B</ns1:t>
                </ns1:r>
              </ns1:sub>
            </ns1:sSub>
            <ns1:r>
              <ns1:t>T</ns1:t>
            </ns1:r>
          </ns1:e>
        </ns1:d>
      </ns1:oMath>
      <w:r>
        <w:t xml:space="preserve">。在逃逸阶段，VOC分子从纳米孔出口脱离，其逃逸速率由热激活跃迁决定，脉冲的下降沿形状携带了VOC分子与孔壁在出口区域的最后相互作用信息</w:t>
      </w:r>
      <w:r>
        <w:rPr>
          <w:vertAlign w:val="superscript"/>
        </w:rPr>
        <w:t xml:space="preserve">[28]</w:t>
      </w:r>
      <w:r>
        <w:t xml:space="preserve">。</w:t>
      </w:r>
    </w:p>
    <w:p>
      <w:pPr>
        <w:pStyle w:val="7"/>
      </w:pPr>
      <w:r>
        <w:t xml:space="preserve">Herbert等人（2006）在单个RNA聚合酶分子的暂停行为检测中展示了纳米孔传感对分子动力学事件的序列分辨能力，为将穿越事件时间序列分解为多个动力学状态提供了方法学基础</w:t>
      </w:r>
      <w:r>
        <w:rPr>
          <w:vertAlign w:val="superscript"/>
        </w:rPr>
        <w:t xml:space="preserve">[28]</w:t>
      </w:r>
      <w:r>
        <w:t xml:space="preserve">。Hurt等人（2009）在纳米孔上捕获的单个DNA聚合酶复合物中实现了特异性核苷酸结合和再结合事件的检测，展示了纳米孔对弱相互作用（结合-解离）事件的检测能力——这一能力对于VOC识别中依赖范德华力等弱相互作用的场景至关重要</w:t>
      </w:r>
      <w:r>
        <w:rPr>
          <w:vertAlign w:val="superscript"/>
        </w:rPr>
        <w:t xml:space="preserve">[29]</w:t>
      </w:r>
      <w:r>
        <w:t xml:space="preserve">。</w:t>
      </w:r>
    </w:p>
    <w:p>
      <w:pPr>
        <w:pStyle w:val="7"/>
      </w:pPr>
      <w:r>
        <w:t xml:space="preserve">脉冲形状不对称性作为孔壁修饰状态的特征指标值得特别关注。在对称的未修饰纳米孔中，进入和逃逸过程的脉冲形状通常是对称的；当孔壁经过不对称修饰后（如仅在纳米孔一端修饰SAM），脉冲形状可能出现上升沿和下降沿的不对称性，其不对称程度和方向反映了修饰层的空间分布和VOC分子与修饰层相互作用的方向性。Liu等人（2018）在限域纳米孔中测量了单分子相互作用的频谱，展示了纳米孔传感对分子相互作用动力学细节的敏感度</w:t>
      </w:r>
      <w:r>
        <w:rPr>
          <w:vertAlign w:val="superscript"/>
        </w:rPr>
        <w:t xml:space="preserve">[30]</w:t>
      </w:r>
      <w:r>
        <w:t xml:space="preserve">。</w:t>
      </w:r>
    </w:p>
    <w:bookmarkEnd w:id="33"/>
    <w:bookmarkStart w:id="34" w:name="机器学习驱动的时域事件分割与聚类"/>
    <w:p>
      <w:pPr>
        <w:pStyle w:val="3"/>
      </w:pPr>
      <w:r>
        <w:t xml:space="preserve">机器学习驱动的时域事件分割与聚类</w:t>
      </w:r>
    </w:p>
    <w:p>
      <w:pPr>
        <w:pStyle w:val="61"/>
      </w:pPr>
      <w:r>
        <w:t xml:space="preserve">从纳米孔原始电流信号中准确提取单个穿越事件是实现时域动态特征分析的前提。传统的阈值检测方法（threshold-based detection）在低信噪比条件下性能显著恶化：过高的阈值导致漏检率增加，过低的阈值导致误检率增加。在高带宽（</w:t>
      </w:r>
      <ns1:oMath>
        <ns1:r>
          <ns1:rPr>
            <ns1:sty ns1:val="p"/>
          </ns1:rPr>
          <ns1:t>&gt;</ns1:t>
        </ns1:r>
      </ns1:oMath>
      <w:r>
        <w:t xml:space="preserve">1 MHz）条件下，热噪声和介电噪声的增大进一步加剧了这一矛盾。</w:t>
      </w:r>
    </w:p>
    <w:p>
      <w:pPr>
        <w:pStyle w:val="7"/>
      </w:pPr>
      <w:r>
        <w:t xml:space="preserve">Pratima等人（2025）对纳米孔电流信号中单生物分子穿越事件检测方法进行了系统综述，梳理了从传统阈值法到基于深度学习的事件分割方法的演化路径</w:t>
      </w:r>
      <w:r>
        <w:rPr>
          <w:vertAlign w:val="superscript"/>
        </w:rPr>
        <w:t xml:space="preserve">[8]</w:t>
      </w:r>
      <w:r>
        <w:t xml:space="preserve">。基于卷积神经网络（CNN）的事件分割算法可以从原始电流时间序列中直接学习事件边界特征，无需人工设定阈值参数，在低信噪比条件下的事件检测准确率显著优于传统方法。Forstater等人（2016）开发的MOSAIC（Modular Single-Molecule Analysis Interface）开源分析软件集成了ADEPT算法，该算法利用纳米孔电流信号的物理模型进行事件检测，提高了纳米孔测量的准确性和通量</w:t>
      </w:r>
      <w:r>
        <w:rPr>
          <w:vertAlign w:val="superscript"/>
        </w:rPr>
        <w:t xml:space="preserve">[31]</w:t>
      </w:r>
      <w:r>
        <w:t xml:space="preserve">。</w:t>
      </w:r>
    </w:p>
    <w:p>
      <w:pPr>
        <w:pStyle w:val="7"/>
      </w:pPr>
      <w:r>
        <w:t xml:space="preserve">在事件聚类方面，隐马尔可夫模型（HMM）和Transformer架构已被应用于纳米孔多状态事件的分类。HMM通过将穿越事件建模为一系列隐藏状态之间的转移，可以有效捕捉事件内部的多阶段动力学特征。Transformer则通过自注意力机制直接建模事件序列中的长程依赖关系，在复杂事件模式的识别中展现出优势。</w:t>
      </w:r>
    </w:p>
    <w:p>
      <w:pPr>
        <w:pStyle w:val="7"/>
      </w:pPr>
      <w:r>
        <w:t xml:space="preserve">Johnson等人（2025）报道了一种固态纳米孔信号生成器，利用生成对抗网络（GAN）合成逼真的纳米孔穿越事件训练数据</w:t>
      </w:r>
      <w:r>
        <w:rPr>
          <w:vertAlign w:val="superscript"/>
        </w:rPr>
        <w:t xml:space="preserve">[9]</w:t>
      </w:r>
      <w:r>
        <w:t xml:space="preserve">。这一工作解决了纳米孔传感中一个关键瓶颈：训练数据稀缺。在VOC气相传感场景中，由于缺乏大规模的标准实验数据集，训练数据稀缺问题尤为突出。GAN生成器通过学习已有的少量实验数据的统计分布，可以生成大量具有相似统计特征的合成数据，为机器学习模型的训练提供数据增强。Meyer等人（2020）在锥形纳米孔生物分子传感中展示了机器学习方法对传感信号分类性能的提升，验证了机器学习与纳米孔传感结合的可行性</w:t>
      </w:r>
      <w:r>
        <w:rPr>
          <w:vertAlign w:val="superscript"/>
        </w:rPr>
        <w:t xml:space="preserve">[26]</w:t>
      </w:r>
      <w:r>
        <w:t xml:space="preserve">。</w:t>
      </w:r>
    </w:p>
    <w:p>
      <w:pPr>
        <w:pStyle w:val="7"/>
      </w:pPr>
      <w:r>
        <w:t xml:space="preserve">需要注意的是，跨实验条件的模型泛化仍然是一个未解决的问题。在一种纳米孔几何、一种缓冲液/气体条件、一种修饰策略下训练的模型，在应用于不同条件下的新数据时，其性能通常显著下降。这一泛化问题在气相VOC传感中可能更为突出，因为环境温度、湿度和气体组成的变化可能对纳米孔基线电流和事件特征产生复杂影响。</w:t>
      </w:r>
    </w:p>
    <w:bookmarkEnd w:id="34"/>
    <w:bookmarkStart w:id="35" w:name="时域动态指纹相较于稳态响应的识别优势"/>
    <w:p>
      <w:pPr>
        <w:pStyle w:val="3"/>
      </w:pPr>
      <w:r>
        <w:t xml:space="preserve">时域动态指纹相较于稳态响应的识别优势</w:t>
      </w:r>
    </w:p>
    <w:p>
      <w:pPr>
        <w:pStyle w:val="61"/>
      </w:pPr>
      <w:r>
        <w:t xml:space="preserve">时域动态特征识别与传统稳态响应识别在VOC混合物判别中的性能差异，可以从类间距离和类内方差两个角度进行定量分析。以甲醇、乙醇、丙酮和苯四种常见VOC为模型体系，考虑两种识别策略：稳态策略仅使用时间平均的电流变化</w:t>
      </w:r>
      <w:r>
        <w:t xml:space="preserve"> </w:t>
      </w:r>
      <ns1:oMath>
        <ns1:r>
          <ns1:rPr>
            <ns1:sty ns1:val="p"/>
          </ns1:rPr>
          <ns1:t>⟨</ns1:t>
        </ns1:r>
        <ns1:r>
          <ns1:t>Δ</ns1:t>
        </ns1:r>
        <ns1:r>
          <ns1:t>I</ns1:t>
        </ns1:r>
        <ns1:r>
          <ns1:rPr>
            <ns1:sty ns1:val="p"/>
          </ns1:rPr>
          <ns1:t>⟩</ns1:t>
        </ns1:r>
      </ns1:oMath>
      <w:r>
        <w:t xml:space="preserve"> </w:t>
      </w:r>
      <w:r>
        <w:t xml:space="preserve">作为识别特征，时域动态策略使用由脉冲形状、驻留时间分布和事件间隔分布组成的高维特征向量。</w:t>
      </w:r>
    </w:p>
    <w:p>
      <w:pPr>
        <w:pStyle w:val="7"/>
      </w:pPr>
      <w:r>
        <w:t xml:space="preserve">在稳态策略中，四种VOC的</w:t>
      </w:r>
      <ns1:oMath>
        <ns1:r>
          <ns1:rPr>
            <ns1:sty ns1:val="p"/>
          </ns1:rPr>
          <ns1:t>⟨</ns1:t>
        </ns1:r>
        <ns1:r>
          <ns1:t>Δ</ns1:t>
        </ns1:r>
        <ns1:r>
          <ns1:t>I</ns1:t>
        </ns1:r>
        <ns1:r>
          <ns1:rPr>
            <ns1:sty ns1:val="p"/>
          </ns1:rPr>
          <ns1:t>⟩</ns1:t>
        </ns1:r>
      </ns1:oMath>
      <w:r>
        <w:t xml:space="preserve">值可能因分子尺寸和极化率相近而高度重叠，导致类间距离小于类内方差，识别准确率受限。在时域动态策略中，即使两种VOC的电流阻塞幅度相似，其驻留时间分布（反映结合动力学差异）和事件间隔模式（反映扩散-吸附耦合差异）可能显著不同，从而在特征空间中形成更大的类间距离</w:t>
      </w:r>
      <w:r>
        <w:rPr>
          <w:vertAlign w:val="superscript"/>
        </w:rPr>
        <w:t xml:space="preserve">[8]</w:t>
      </w:r>
      <w:r>
        <w:t xml:space="preserve">。</w:t>
      </w:r>
    </w:p>
    <w:p>
      <w:pPr>
        <w:pStyle w:val="7"/>
      </w:pPr>
      <w:r>
        <w:t xml:space="preserve">时域动态特征对浓度波动的固有鲁棒性是其相对于稳态响应的另一核心优势。在稳态响应中，传感器输出直接依赖于VOC浓度——浓度变化导致信号幅度的同向变化，使得浓度波动被误判为VOC种类变化。在时域动态特征中，浓度变化主要影响事件频率（单位时间内的事件数），而单个事件的脉冲形状、驻留时间和事件间隔分布主要取决于VOC分子与孔壁的微观相互作用，与浓度几乎无关</w:t>
      </w:r>
      <w:r>
        <w:rPr>
          <w:vertAlign w:val="superscript"/>
        </w:rPr>
        <w:t xml:space="preserve">[9]</w:t>
      </w:r>
      <w:r>
        <w:t xml:space="preserve">。这一事件频率与事件特征参数的解耦赋予了时域动态指纹天然的抗浓度干扰能力：在浓度波动环境下，VOC种类的识别准确率可以保持相对稳定。</w:t>
      </w:r>
    </w:p>
    <w:p>
      <w:pPr>
        <w:pStyle w:val="7"/>
      </w:pPr>
      <w:r>
        <w:t xml:space="preserve">Xiang等人（2024）报道了活性微纳协同生物电子器件在高级电生理记录中的应用，展示了微纳结构集成和信号处理技术在复杂生物信号提取中的进展</w:t>
      </w:r>
      <w:r>
        <w:rPr>
          <w:vertAlign w:val="superscript"/>
        </w:rPr>
        <w:t xml:space="preserve">[32]</w:t>
      </w:r>
      <w:r>
        <w:t xml:space="preserve">。虽然该工作聚焦于电生理信号，但其展示的微纳集成架构和信号处理流水线对气相纳米孔传感的信号处理链设计具有借鉴意义。</w:t>
      </w:r>
    </w:p>
    <w:bookmarkEnd w:id="35"/>
    <w:bookmarkEnd w:id="36"/>
    <w:bookmarkStart w:id="40" w:name="研究缺口与技术融合创新空间"/>
    <w:p>
      <w:pPr>
        <w:pStyle w:val="2"/>
      </w:pPr>
      <w:r>
        <w:t xml:space="preserve">研究缺口与技术融合创新空间</w:t>
      </w:r>
    </w:p>
    <w:bookmarkStart w:id="37" w:name="四条技术路线的独立进展与证据强度评估"/>
    <w:p>
      <w:pPr>
        <w:pStyle w:val="3"/>
      </w:pPr>
      <w:r>
        <w:t xml:space="preserve">四条技术路线的独立进展与证据强度评估</w:t>
      </w:r>
    </w:p>
    <w:p>
      <w:pPr>
        <w:pStyle w:val="61"/>
      </w:pPr>
      <w:r>
        <w:t xml:space="preserve">以本综述提出的</w:t>
      </w:r>
      <w:r>
        <w:t xml:space="preserve">“</w:t>
      </w:r>
      <w:r>
        <w:t xml:space="preserve">传感界面—信号转导—识别机制—动态指纹</w:t>
      </w:r>
      <w:r>
        <w:t xml:space="preserve">”</w:t>
      </w:r>
      <w:r>
        <w:t xml:space="preserve">四维分析框架为评价标准，对四条技术路线各自的研究进展进行证据强度评估，可以揭示当前领域的研究格局和系统性证据缺口。</w:t>
      </w:r>
    </w:p>
    <w:p>
      <w:pPr>
        <w:pStyle w:val="7"/>
      </w:pPr>
      <w:r>
        <w:t xml:space="preserve">在传感界面维度（纳米孔气相迁移），液相纳米孔传感的研究已积累了二十余年的实验数据和理论模型，从生物纳米孔（</w:t>
      </w:r>
      <ns1:oMath>
        <ns1:r>
          <ns1:t>α</ns1:t>
        </ns1:r>
      </ns1:oMath>
      <w:r>
        <w:t xml:space="preserve">-溶血素、MspA）到固态纳米孔（</w:t>
      </w:r>
      <ns1:oMath>
        <ns1:r>
          <ns1:t>S</ns1:t>
        </ns1:r>
        <ns1:r>
          <ns1:t>i</ns1:t>
        </ns1:r>
        <ns1:sSub>
          <ns1:e>
            <ns1:r>
              <ns1:t>N</ns1:t>
            </ns1:r>
          </ns1:e>
          <ns1:sub>
            <ns1:r>
              <ns1:t>x</ns1:t>
            </ns1:r>
          </ns1:sub>
        </ns1:sSub>
      </ns1:oMath>
      <w:r>
        <w:t xml:space="preserve">、石墨烯、</w:t>
      </w:r>
      <ns1:oMath>
        <ns1:r>
          <ns1:t>M</ns1:t>
        </ns1:r>
        <ns1:r>
          <ns1:t>o</ns1:t>
        </ns1:r>
        <ns1:sSub>
          <ns1:e>
            <ns1:r>
              <ns1:t>S</ns1:t>
            </ns1:r>
          </ns1:e>
          <ns1:sub>
            <ns1:r>
              <ns1:t>2</ns1:t>
            </ns1:r>
          </ns1:sub>
        </ns1:sSub>
      </ns1:oMath>
      <w:r>
        <w:t xml:space="preserve">），从DNA测序到蛋白质构象分析，构成了强证据等级（大量独立实验验证）</w:t>
      </w:r>
      <w:r>
        <w:rPr>
          <w:vertAlign w:val="superscript"/>
        </w:rPr>
        <w:t xml:space="preserve">[2]</w:t>
      </w:r>
      <w:r>
        <w:t xml:space="preserve">。然而，气相迁移的研究仅处于原理验证阶段：Fujii等人（2017）的适配体-纳米孔芯片</w:t>
      </w:r>
      <w:r>
        <w:rPr>
          <w:vertAlign w:val="superscript"/>
        </w:rPr>
        <w:t xml:space="preserve">[14]</w:t>
      </w:r>
      <w:r>
        <w:t xml:space="preserve">和Wang等人（2020）的硅针尖电离阵列</w:t>
      </w:r>
      <w:r>
        <w:rPr>
          <w:vertAlign w:val="superscript"/>
        </w:rPr>
        <w:t xml:space="preserve">[15]</w:t>
      </w:r>
      <w:r>
        <w:t xml:space="preserve">代表了该方向仅有的少数实验尝试，证据等级为弱（缺乏独立重复验证和系统性参数研究）。</w:t>
      </w:r>
    </w:p>
    <w:p>
      <w:pPr>
        <w:pStyle w:val="7"/>
      </w:pPr>
      <w:r>
        <w:t xml:space="preserve">在信号转导维度（硅FET阵列集成），Xie等人（2011）的纳米线-纳米孔垂直集成传感器</w:t>
      </w:r>
      <w:r>
        <w:rPr>
          <w:vertAlign w:val="superscript"/>
        </w:rPr>
        <w:t xml:space="preserve">[4]</w:t>
      </w:r>
      <w:r>
        <w:t xml:space="preserve">和Livi等人（2015）的CMOS集成纳米线FET阵列</w:t>
      </w:r>
      <w:r>
        <w:rPr>
          <w:vertAlign w:val="superscript"/>
        </w:rPr>
        <w:t xml:space="preserve">[19]</w:t>
      </w:r>
      <w:r>
        <w:t xml:space="preserve">提供了中强证据等级，但所有实验均在液相环境中进行，尚未有研究将FET集成纳米孔用于气相传感。这一缺口意味着FET栅极在气相环境中的稳定性、界面电荷管理和栅极介电层的气相兼容性等关键问题尚未被系统研究。</w:t>
      </w:r>
    </w:p>
    <w:p>
      <w:pPr>
        <w:pStyle w:val="7"/>
      </w:pPr>
      <w:r>
        <w:t xml:space="preserve">在识别机制维度（表面功能化修饰），SAM修饰的VOC传感器</w:t>
      </w:r>
      <w:r>
        <w:rPr>
          <w:vertAlign w:val="superscript"/>
        </w:rPr>
        <w:t xml:space="preserve">[5]</w:t>
      </w:r>
      <w:r>
        <w:t xml:space="preserve">、MOF的荧光传感</w:t>
      </w:r>
      <w:r>
        <w:rPr>
          <w:vertAlign w:val="superscript"/>
        </w:rPr>
        <w:t xml:space="preserve">[7]</w:t>
      </w:r>
      <w:r>
        <w:t xml:space="preserve">和肽自组装电子鼻</w:t>
      </w:r>
      <w:r>
        <w:rPr>
          <w:vertAlign w:val="superscript"/>
        </w:rPr>
        <w:t xml:space="preserve">[6]</w:t>
      </w:r>
      <w:r>
        <w:t xml:space="preserve">分别提供了中强证据等级，但这些研究均未与纳米孔平台或时域动态特征分析结合。表面修饰的研究评价指标通常是稳态吸附量或频率偏移，而非穿越事件级别的动力学参数。</w:t>
      </w:r>
    </w:p>
    <w:p>
      <w:pPr>
        <w:pStyle w:val="7"/>
      </w:pPr>
      <w:r>
        <w:t xml:space="preserve">在动态指纹维度（时域动态特征），机器学习驱动的纳米孔事件分析</w:t>
      </w:r>
      <w:r>
        <w:rPr>
          <w:vertAlign w:val="superscript"/>
        </w:rPr>
        <w:t xml:space="preserve">[8]</w:t>
      </w:r>
      <w:r>
        <w:t xml:space="preserve">和GAN信号生成</w:t>
      </w:r>
      <w:r>
        <w:rPr>
          <w:vertAlign w:val="superscript"/>
        </w:rPr>
        <w:t xml:space="preserve">[9]</w:t>
      </w:r>
      <w:r>
        <w:t xml:space="preserve">提供了中证据等级，但所有方法开发和验证均在液相生物分子（DNA、蛋白质）的数据集上完成，尚未在气相VOC场景中得到验证。液相中训练的事件分割和聚类模型能否直接迁移至气相中的亚纳秒级事件，是一个开放问题。</w:t>
      </w:r>
    </w:p>
    <w:p>
      <w:pPr>
        <w:pStyle w:val="7"/>
      </w:pPr>
      <w:r>
        <w:t xml:space="preserve">综合来看，四条技术路线的证据强度呈现显著的梯度分布：液相基础最强而气相迁移最弱，各路线之间缺乏交叉验证实验，构成了系统性证据缺口。这一缺口既定义了当前领域的研究前沿，也标识了技术融合创新的机会空间。</w:t>
      </w:r>
    </w:p>
    <w:bookmarkEnd w:id="37"/>
    <w:bookmarkStart w:id="38" w:name="技术融合方案蓝图与关键突破节点"/>
    <w:p>
      <w:pPr>
        <w:pStyle w:val="3"/>
      </w:pPr>
      <w:r>
        <w:t xml:space="preserve">技术融合方案蓝图与关键突破节点</w:t>
      </w:r>
    </w:p>
    <w:p>
      <w:pPr>
        <w:pStyle w:val="61"/>
      </w:pPr>
      <w:r>
        <w:t xml:space="preserve">基于上述证据缺口分析，本文明确提出将四条技术路线融合的创新方案蓝图：以超薄硅FET阵列作为信号读出基底，在其上集成差异化功能化修饰的固态纳米孔阵列，通过亚纳秒级时间分辨率的并行读出电路捕获VOC分子穿越事件，利用机器学习模型从时域动态特征空间中识别VOC种类与浓度。</w:t>
      </w:r>
    </w:p>
    <w:p>
      <w:pPr>
        <w:pStyle w:val="7"/>
      </w:pPr>
      <w:r>
        <w:t xml:space="preserve">该融合方案的技术架构由四个功能层组成。底层为超薄硅FET阵列，采用全耗尽绝缘体上硅（FD-SOI）或鳍式FET（FinFET）工艺制造，以提供高跨导增益和低输入电容</w:t>
      </w:r>
      <w:r>
        <w:rPr>
          <w:vertAlign w:val="superscript"/>
        </w:rPr>
        <w:t xml:space="preserve">[19]</w:t>
      </w:r>
      <w:r>
        <w:t xml:space="preserve">。第二层为纳米孔阵列，通过电子束光刻或嵌段共聚物自组装模板在FET栅极上方制造，每个纳米孔对准一个FET通道。第三层为差异化功能化修饰层，通过微流控或喷墨打印技术将不同的SAM、聚合物刷或MOF前驱体溶液选择性地输送到不同纳米孔中。顶层为并行读出与机器学习处理电路，包括多通道低噪声放大器、高速模数转换器和片上特征提取加速器。</w:t>
      </w:r>
    </w:p>
    <w:p>
      <w:pPr>
        <w:pStyle w:val="7"/>
      </w:pPr>
      <w:r>
        <w:t xml:space="preserve">该方案的技术可行性取决于三个关键节点的突破。第一，FET栅极在气相中的稳定性：硅FET的栅极介电层（如</w:t>
      </w:r>
      <ns1:oMath>
        <ns1:r>
          <ns1:t>H</ns1:t>
        </ns1:r>
        <ns1:r>
          <ns1:t>f</ns1:t>
        </ns1:r>
        <ns1:sSub>
          <ns1:e>
            <ns1:r>
              <ns1:t>O</ns1:t>
            </ns1:r>
          </ns1:e>
          <ns1:sub>
            <ns1:r>
              <ns1:t>2</ns1:t>
            </ns1:r>
          </ns1:sub>
        </ns1:sSub>
      </ns1:oMath>
      <w:r>
        <w:t xml:space="preserve">、</w:t>
      </w:r>
      <ns1:oMath>
        <ns1:r>
          <ns1:t>A</ns1:t>
        </ns1:r>
        <ns1:sSub>
          <ns1:e>
            <ns1:r>
              <ns1:t>l</ns1:t>
            </ns1:r>
          </ns1:e>
          <ns1:sub>
            <ns1:r>
              <ns1:t>2</ns1:t>
            </ns1:r>
          </ns1:sub>
        </ns1:sSub>
        <ns1:sSub>
          <ns1:e>
            <ns1:r>
              <ns1:t>O</ns1:t>
            </ns1:r>
          </ns1:e>
          <ns1:sub>
            <ns1:r>
              <ns1:t>3</ns1:t>
            </ns1:r>
          </ns1:sub>
        </ns1:sSub>
      </ns1:oMath>
      <w:r>
        <w:t xml:space="preserve">）在气相环境中可能吸附水分子或其他极性分子，导致阈值电压漂移和低频噪声增大。需要发展疏水性栅极介电层（如氟化聚合物）或原位栅极表面钝化方案。第二，纳米孔内壁修饰在气相中的长期耐久性：SAM的硫醇-金键在无溶液环境中对氧化和热脱附的耐受性有限，MOF在干态条件下的结构稳定性也需要验证。需要筛选键能更高的锚定化学（如硅烷-氧化物键）或发展交联稳定化策略。第三，亚纳秒级多通道并行读出电路设计：现有的CMOS纳米孔读出电路工作带宽通常在1-10 MHz范围内，对应100-10 ns的时间分辨率，距亚纳秒级（</w:t>
      </w:r>
      <ns1:oMath>
        <ns1:r>
          <ns1:rPr>
            <ns1:sty ns1:val="p"/>
          </ns1:rPr>
          <ns1:t>&lt;</ns1:t>
        </ns1:r>
      </ns1:oMath>
      <w:r>
        <w:t xml:space="preserve">1 ns）目标仍有显著差距。需要发展基于时间数字转换器（TDC）或事件驱动型模数转换的替代读出架构。</w:t>
      </w:r>
    </w:p>
    <w:bookmarkEnd w:id="38"/>
    <w:bookmarkStart w:id="39" w:name="该创新空间与现有方案的差异化优势"/>
    <w:p>
      <w:pPr>
        <w:pStyle w:val="3"/>
      </w:pPr>
      <w:r>
        <w:t xml:space="preserve">该创新空间与现有方案的差异化优势</w:t>
      </w:r>
    </w:p>
    <w:p>
      <w:pPr>
        <w:pStyle w:val="61"/>
      </w:pPr>
      <w:r>
        <w:t xml:space="preserve">从识别机制、选择性来源、抗干扰能力和可扩展性四个维度，可以对比本综述提出的融合方案与现有三类主流气相传感方案的差异化优势。</w:t>
      </w:r>
    </w:p>
    <w:p>
      <w:pPr>
        <w:pStyle w:val="7"/>
      </w:pPr>
      <w:r>
        <w:t xml:space="preserve">在识别机制维度，金属氧化物半导体（MOS）传感器依赖表面氧空位与VOC分子的氧化还原反应产生电导变化，其识别信号是大量分子反应的时间-空间平均值，本质上丢弃了单分子信息。电化学传感器依赖目标VOC在工作电极上的电化学氧化还原产生电流，同样属于群体平均测量。光谱法（如FTIR、质谱）虽然可以提供分子特异性信息，但设备体积庞大、成本高昂，且需要复杂的样品预处理。相比之下，融合方案以每个VOC分子穿越纳米孔时产生的多维时域特征向量为识别单元，将识别机制从群体平均提升至单分子级别，从根本上改变了信息的获取方式。</w:t>
      </w:r>
    </w:p>
    <w:p>
      <w:pPr>
        <w:pStyle w:val="7"/>
      </w:pPr>
      <w:r>
        <w:t xml:space="preserve">在选择性来源维度，MOS传感器的选择性来源于不同金属氧化物（</w:t>
      </w:r>
      <ns1:oMath>
        <ns1:r>
          <ns1:t>S</ns1:t>
        </ns1:r>
        <ns1:r>
          <ns1:t>n</ns1:t>
        </ns1:r>
        <ns1:sSub>
          <ns1:e>
            <ns1:r>
              <ns1:t>O</ns1:t>
            </ns1:r>
          </ns1:e>
          <ns1:sub>
            <ns1:r>
              <ns1:t>2</ns1:t>
            </ns1:r>
          </ns1:sub>
        </ns1:sSub>
      </ns1:oMath>
      <w:r>
        <w:t xml:space="preserve">、</w:t>
      </w:r>
      <ns1:oMath>
        <ns1:r>
          <ns1:t>W</ns1:t>
        </ns1:r>
        <ns1:sSub>
          <ns1:e>
            <ns1:r>
              <ns1:t>O</ns1:t>
            </ns1:r>
          </ns1:e>
          <ns1:sub>
            <ns1:r>
              <ns1:t>3</ns1:t>
            </ns1:r>
          </ns1:sub>
        </ns1:sSub>
      </ns1:oMath>
      <w:r>
        <w:t xml:space="preserve">、ZnO等）对不同VOC的催化氧化活性差异，是一种固化的、不可重新编程的选择性。融合方案的选择性来源于纳米孔内壁可编程的功能化修饰和纳米孔两端的电场调控，理论上可以通过更换修饰层或调节偏压来重新配置传感器的选择性，实现</w:t>
      </w:r>
      <w:r>
        <w:t xml:space="preserve">“</w:t>
      </w:r>
      <w:r>
        <w:t xml:space="preserve">软件定义</w:t>
      </w:r>
      <w:r>
        <w:t xml:space="preserve">”</w:t>
      </w:r>
      <w:r>
        <w:t xml:space="preserve">的传感功能</w:t>
      </w:r>
      <w:r>
        <w:rPr>
          <w:vertAlign w:val="superscript"/>
        </w:rPr>
        <w:t xml:space="preserve">[5]</w:t>
      </w:r>
      <w:r>
        <w:t xml:space="preserve">。</w:t>
      </w:r>
    </w:p>
    <w:p>
      <w:pPr>
        <w:pStyle w:val="7"/>
      </w:pPr>
      <w:r>
        <w:t xml:space="preserve">在抗干扰能力维度，MOS传感器和电化学传感器均对湿度敏感，因为水分子在氧化物表面的吸附改变了表面电导和催化活性。融合方案中，时域动态特征的事件频率与事件特征参数的解耦赋予其对浓度波动的固有鲁棒性，而通过选择疏水性修饰层（如</w:t>
      </w:r>
      <ns1:oMath>
        <ns1:r>
          <ns1:t>C</ns1:t>
        </ns1:r>
        <ns1:sSub>
          <ns1:e>
            <ns1:r>
              <ns1:t>F</ns1:t>
            </ns1:r>
          </ns1:e>
          <ns1:sub>
            <ns1:r>
              <ns1:t>3</ns1:t>
            </ns1:r>
          </ns1:sub>
        </ns1:sSub>
      </ns1:oMath>
      <w:r>
        <w:t xml:space="preserve">末端SAM或氟化聚合物刷）可以降低环境湿度对纳米孔响应的影响。</w:t>
      </w:r>
    </w:p>
    <w:p>
      <w:pPr>
        <w:pStyle w:val="7"/>
      </w:pPr>
      <w:r>
        <w:t xml:space="preserve">在可扩展性维度，MOS传感器阵列已实现大规模商业化（如Figaro、Sensirion等公司的产品），但其单一阵列的识别能力受限于可集成的不同传感材料种类。融合方案的核心可扩展性优势在于：通过在同一硅FET阵列芯片上集成数十至数百个差异化修饰的纳米孔，可以在单个芯片上实现高维度的响应向量空间，其识别能力随修饰种类的增加而指数增长，而非线性增长。</w:t>
      </w:r>
    </w:p>
    <w:bookmarkEnd w:id="39"/>
    <w:bookmarkEnd w:id="40"/>
    <w:bookmarkStart w:id="41" w:name="结论与展望"/>
    <w:p>
      <w:pPr>
        <w:pStyle w:val="2"/>
      </w:pPr>
      <w:r>
        <w:t xml:space="preserve">结论与展望</w:t>
      </w:r>
    </w:p>
    <w:p>
      <w:pPr>
        <w:pStyle w:val="61"/>
      </w:pPr>
      <w:r>
        <w:t xml:space="preserve">本综述以</w:t>
      </w:r>
      <w:r>
        <w:t xml:space="preserve">“</w:t>
      </w:r>
      <w:r>
        <w:t xml:space="preserve">传感界面—信号转导—识别机制—动态指纹</w:t>
      </w:r>
      <w:r>
        <w:t xml:space="preserve">”</w:t>
      </w:r>
      <w:r>
        <w:t xml:space="preserve">四维分析框架，系统梳理了固态纳米孔气相传感领域四条技术路线的研究进展、核心挑战和交叉融合机会。在传感界面维度，固态纳米孔从液相到气相的迁移在传导机制（离子电流到场致电离/电子隧穿）、扩散动力学（微秒到亚纳秒）和界面相互作用（溶剂化效应到范德华力主导）三个递进层面上构成了根本性范式转变，而已有气相纳米孔实验仅处于原理验证阶段，证据强度较弱。在信号转导维度，超薄硅FET阵列与纳米孔的集成在信号读出带宽和信噪比上构成互补优势，Xie等人（2011）的纳米线-纳米孔垂直集成架构和Livi等人（2015）的CMOS集成方案提供了坚实的制造工艺基础，但现有集成方案均面向液相设计，其在气相环境中的栅极稳定性和界面电荷管理构成了新的技术挑战。在识别机制维度，自组装单分子层、聚合物刷和金属有机框架三类修饰策略在选择性、可逆性和响应速度上存在对照性权衡：SAM以高取向有序性提供明确的末端官能团-靶标VOC相互作用，聚合物刷以构象柔性换取广谱吸附能力，MOF以可编程孔道尺寸实现精确尺寸筛分；多重修饰阵列的交叉响应策略为突破单一修饰的选择性瓶颈提供了互补路径。在动态指纹维度，时域动态特征在脉冲形状、驻留时间分布和事件间隔模式三个递进层级上构成VOC识别指纹，机器学习驱动的时域事件分割与聚类方法在高带宽低信噪比条件下展现出显著优势，而事件频率与事件特征参数的解耦赋予了时域动态指纹相对于传统稳态响应的天然抗浓度干扰能力。</w:t>
      </w:r>
    </w:p>
    <w:p>
      <w:pPr>
        <w:pStyle w:val="7"/>
      </w:pPr>
      <w:r>
        <w:t xml:space="preserve">当前四条技术路线各自独立发展，缺乏交叉融合，构成了系统性证据缺口。将超薄硅FET阵列集成固态纳米孔、差异化功能化表面修饰与毫秒级时域动态特征融合的方案，是气相VOC传感领域尚未被占据的核心创新空间。这一融合方案以每个VOC分子的多维时域特征向量替代传统传感器的单一标量响应，在识别机制（从群体平均到单分子级别）、选择性来源（从固化到可编程）、抗干扰能力（从浓度敏感到浓度鲁棒）和可扩展性（从线性增长到指数增长）四个维度上构成了对现有主流气相传感方案的范式级优势。</w:t>
      </w:r>
    </w:p>
    <w:p>
      <w:pPr>
        <w:pStyle w:val="7"/>
      </w:pPr>
      <w:r>
        <w:t xml:space="preserve">展望未来，该融合方案的实现需要聚焦于以下关键研究方向。第一，气相纳米孔FET的栅极稳定性工程：系统研究不同栅极介电层材料（</w:t>
      </w:r>
      <ns1:oMath>
        <ns1:r>
          <ns1:t>H</ns1:t>
        </ns1:r>
        <ns1:r>
          <ns1:t>f</ns1:t>
        </ns1:r>
        <ns1:sSub>
          <ns1:e>
            <ns1:r>
              <ns1:t>O</ns1:t>
            </ns1:r>
          </ns1:e>
          <ns1:sub>
            <ns1:r>
              <ns1:t>2</ns1:t>
            </ns1:r>
          </ns1:sub>
        </ns1:sSub>
      </ns1:oMath>
      <w:r>
        <w:t xml:space="preserve">、</w:t>
      </w:r>
      <ns1:oMath>
        <ns1:r>
          <ns1:t>A</ns1:t>
        </ns1:r>
        <ns1:sSub>
          <ns1:e>
            <ns1:r>
              <ns1:t>l</ns1:t>
            </ns1:r>
          </ns1:e>
          <ns1:sub>
            <ns1:r>
              <ns1:t>2</ns1:t>
            </ns1:r>
          </ns1:sub>
        </ns1:sSub>
        <ns1:sSub>
          <ns1:e>
            <ns1:r>
              <ns1:t>O</ns1:t>
            </ns1:r>
          </ns1:e>
          <ns1:sub>
            <ns1:r>
              <ns1:t>3</ns1:t>
            </ns1:r>
          </ns1:sub>
        </ns1:sSub>
      </ns1:oMath>
      <w:r>
        <w:t xml:space="preserve">、氟化石墨烯）在VOC气氛中的阈值电压漂移和低频噪声特性，发展疏水性栅极表面钝化方案。第二，亚纳秒级CMOS并行读出集成电路设计：探索基于时间数字转换器（TDC）或事件驱动型模数转换的替代读出架构，突破现有跨阻放大器在10 MHz以上带宽的噪声瓶颈。第三，纳米孔限域空间内的原位修饰与表征方法：发展适用于纳米孔曲面几何的选择性修饰技术（如微流控辅助的选择性SAM沉积），以及适用于单个纳米孔内修饰层结构和厚度的原位表征方法（如扫描透射电子显微镜结合电子能量损失谱）。第四，面向真实复杂气氛的端到端动态指纹识别系统验证：以环境监测、工业安全和呼气诊断中的典型VOC混合物为测试对象，验证融合方案在真实干扰条件下的识别准确率和长期稳定性。</w:t>
      </w:r>
    </w:p>
    <w:p>
      <w:pPr>
        <w:pStyle w:val="7"/>
      </w:pPr>
      <w:r>
        <w:t xml:space="preserve">固态纳米孔气相传感从单路线独立发展到多路线系统融合的跨越，标志着VOC识别从</w:t>
      </w:r>
      <w:r>
        <w:t xml:space="preserve">“</w:t>
      </w:r>
      <w:r>
        <w:t xml:space="preserve">稳态电导匹配</w:t>
      </w:r>
      <w:r>
        <w:t xml:space="preserve">”</w:t>
      </w:r>
      <w:r>
        <w:t xml:space="preserve">到</w:t>
      </w:r>
      <w:r>
        <w:t xml:space="preserve">“</w:t>
      </w:r>
      <w:r>
        <w:t xml:space="preserve">单分子时域动态指纹</w:t>
      </w:r>
      <w:r>
        <w:t xml:space="preserve">”</w:t>
      </w:r>
      <w:r>
        <w:t xml:space="preserve">的范式转变。这一转变不仅有望在VOC传感领域开辟一个全新的技术方向，更可能推动</w:t>
      </w:r>
      <w:r>
        <w:t xml:space="preserve">“</w:t>
      </w:r>
      <w:r>
        <w:t xml:space="preserve">单分子气相传感</w:t>
      </w:r>
      <w:r>
        <w:t xml:space="preserve">”</w:t>
      </w:r>
      <w:r>
        <w:t xml:space="preserve">成为纳米孔技术继DNA测序之后的下一个变革性应用领域。</w:t>
      </w:r>
    </w:p>
    <w:bookmarkEnd w:id="41"/>
    <w:bookmarkStart w:id="139" w:name="bibliography"/>
    <w:p>
      <w:pPr>
        <w:pStyle w:val="2"/>
      </w:pPr>
      <w:r>
        <w:t xml:space="preserve">参考文献</w:t>
      </w:r>
    </w:p>
    <w:bookmarkStart w:id="138" w:name="refs"/>
    <w:bookmarkStart w:id="44" w:name="ref-haniljeong2020"/>
    <w:p>
      <w:pPr>
        <w:pStyle w:val="59"/>
      </w:pPr>
      <w:r>
        <w:t xml:space="preserve">[1] 	JEONG H I, KIM W, OH Y, et al. Detection of volatile organic compounds based on low-energy electron scattering according to difference in collisional cross-section[J/OL]. Sensors and Actuators B: Chemical, 2020. https://linkinghub.elsevier.com/retrieve/pii/S0925400520310534. DOI:10.1016/j.snb.2020.128706.</w:t>
      </w:r>
      <w:r>
        <w:t xml:space="preserve"/>
      </w:r>
      <w:r>
        <w:t xml:space="preserve"/>
      </w:r>
      <w:r>
        <w:t xml:space="preserve"/>
      </w:r>
      <w:r>
        <w:t xml:space="preserve"/>
      </w:r>
      <w:r>
        <w:t xml:space="preserve"/>
      </w:r>
      <w:r>
        <w:t xml:space="preserve"/>
      </w:r>
      <w:r>
        <w:t xml:space="preserve"/>
      </w:r>
      <w:hyperlink ns2:id="rId42">
        <w:r>
          <w:rPr>
            <w:rStyle w:val="Hyperlink"/>
          </w:rPr>
          <w:t xml:space="preserve"/>
        </w:r>
      </w:hyperlink>
      <w:r>
        <w:t xml:space="preserve"/>
      </w:r>
      <w:hyperlink ns2:id="rId43">
        <w:r>
          <w:rPr>
            <w:rStyle w:val="Hyperlink"/>
          </w:rPr>
          <w:t xml:space="preserve"/>
        </w:r>
      </w:hyperlink>
      <w:r>
        <w:t xml:space="preserve"/>
      </w:r>
    </w:p>
    <w:bookmarkEnd w:id="44"/>
    <w:bookmarkStart w:id="47" w:name="ref-darioanselmetti2012"/>
    <w:p>
      <w:pPr>
        <w:pStyle w:val="59"/>
      </w:pPr>
      <w:r>
        <w:t xml:space="preserve">[2]</w:t>
      </w:r>
      <w:r>
        <w:t xml:space="preserve"> </w:t>
      </w:r>
      <w:r>
        <w:t xml:space="preserve">	</w:t>
      </w:r>
      <w:r>
        <w:t xml:space="preserve">ANSELMETTI D.</w:t>
      </w:r>
      <w:r>
        <w:t xml:space="preserve"> </w:t>
      </w:r>
      <w:r>
        <w:t xml:space="preserve">Tiny holes with great promise</w:t>
      </w:r>
      <w:r>
        <w:t xml:space="preserve">[J/OL]. Nature Nanotechnology, 2012.</w:t>
      </w:r>
      <w:r>
        <w:t xml:space="preserve"> </w:t>
      </w:r>
      <w:hyperlink ns2:id="rId45">
        <w:r>
          <w:rPr>
            <w:rStyle w:val="Hyperlink"/>
          </w:rPr>
          <w:t xml:space="preserve">http://www.nature.com/articles/nnano.2012.11</w:t>
        </w:r>
      </w:hyperlink>
      <w:r>
        <w:t xml:space="preserve">. DOI:</w:t>
      </w:r>
      <w:hyperlink ns2:id="rId46">
        <w:r>
          <w:rPr>
            <w:rStyle w:val="Hyperlink"/>
          </w:rPr>
          <w:t xml:space="preserve">10.1038/nnano.2012.11</w:t>
        </w:r>
      </w:hyperlink>
      <w:r>
        <w:t xml:space="preserve">.</w:t>
      </w:r>
    </w:p>
    <w:bookmarkEnd w:id="47"/>
    <w:bookmarkStart w:id="50" w:name="ref-sebastienbalme2018"/>
    <w:p>
      <w:pPr>
        <w:pStyle w:val="59"/>
      </w:pPr>
      <w:r>
        <w:t xml:space="preserve">[3] 	BALME S, PICAUD F, LEPOITEVIN M, et al. Unexpected ionic transport behavior in hydrophobic and uncharged conical nanopores[J/OL]. Faraday Discussions, 2018. http://xlink.rsc.org/?DOI=C8FD00008E. DOI:10.1039/c8fd00008e.</w:t>
      </w:r>
      <w:r>
        <w:t xml:space="preserve"/>
      </w:r>
      <w:r>
        <w:t xml:space="preserve"/>
      </w:r>
      <w:r>
        <w:t xml:space="preserve"/>
      </w:r>
      <w:r>
        <w:t xml:space="preserve"/>
      </w:r>
      <w:r>
        <w:t xml:space="preserve"/>
      </w:r>
      <w:r>
        <w:t xml:space="preserve"/>
      </w:r>
      <w:r>
        <w:t xml:space="preserve"/>
      </w:r>
      <w:hyperlink ns2:id="rId48">
        <w:r>
          <w:rPr>
            <w:rStyle w:val="Hyperlink"/>
          </w:rPr>
          <w:t xml:space="preserve"/>
        </w:r>
      </w:hyperlink>
      <w:r>
        <w:t xml:space="preserve"/>
      </w:r>
      <w:hyperlink ns2:id="rId49">
        <w:r>
          <w:rPr>
            <w:rStyle w:val="Hyperlink"/>
          </w:rPr>
          <w:t xml:space="preserve"/>
        </w:r>
      </w:hyperlink>
      <w:r>
        <w:t xml:space="preserve"/>
      </w:r>
    </w:p>
    <w:bookmarkEnd w:id="50"/>
    <w:bookmarkStart w:id="53" w:name="ref-pingxie2011"/>
    <w:p>
      <w:pPr>
        <w:pStyle w:val="59"/>
      </w:pPr>
      <w:r>
        <w:t xml:space="preserve">[4] 	XIE P, XIONG Q, FANG Y, et al. Local electrical potential detection of DNA by nanowire–nanopore sensors[J/OL]. Nature Nanotechnology, 2011. http://www.nature.com/articles/nnano.2011.217. DOI:10.1038/nnano.2011.217.</w:t>
      </w:r>
      <w:r>
        <w:t xml:space="preserve"/>
      </w:r>
      <w:r>
        <w:t xml:space="preserve"/>
      </w:r>
      <w:r>
        <w:t xml:space="preserve"/>
      </w:r>
      <w:r>
        <w:t xml:space="preserve"/>
      </w:r>
      <w:r>
        <w:t xml:space="preserve"/>
      </w:r>
      <w:r>
        <w:t xml:space="preserve"/>
      </w:r>
      <w:r>
        <w:t xml:space="preserve"/>
      </w:r>
      <w:hyperlink ns2:id="rId51">
        <w:r>
          <w:rPr>
            <w:rStyle w:val="Hyperlink"/>
          </w:rPr>
          <w:t xml:space="preserve"/>
        </w:r>
      </w:hyperlink>
      <w:r>
        <w:t xml:space="preserve"/>
      </w:r>
      <w:hyperlink ns2:id="rId52">
        <w:r>
          <w:rPr>
            <w:rStyle w:val="Hyperlink"/>
          </w:rPr>
          <w:t xml:space="preserve"/>
        </w:r>
      </w:hyperlink>
      <w:r>
        <w:t xml:space="preserve"/>
      </w:r>
    </w:p>
    <w:bookmarkEnd w:id="53"/>
    <w:bookmarkStart w:id="56" w:name="ref-alexhenning2018"/>
    <w:p>
      <w:pPr>
        <w:pStyle w:val="59"/>
      </w:pPr>
      <w:r>
        <w:t xml:space="preserve">[5] 	HENNING A, SWAMINATHAN N, VAKNIN Y, et al. Control of the Intrinsic Sensor Response to Volatile Organic Compounds with Fringing Electric Fields[J/OL]. ACS Sensors, 2018. https://pubs.acs.org/doi/10.1021/acssensors.7b00754. DOI:10.1021/acssensors.7b00754.</w:t>
      </w:r>
      <w:r>
        <w:t xml:space="preserve"/>
      </w:r>
      <w:r>
        <w:t xml:space="preserve"/>
      </w:r>
      <w:r>
        <w:t xml:space="preserve"/>
      </w:r>
      <w:r>
        <w:t xml:space="preserve"/>
      </w:r>
      <w:r>
        <w:t xml:space="preserve"/>
      </w:r>
      <w:r>
        <w:t xml:space="preserve"/>
      </w:r>
      <w:r>
        <w:t xml:space="preserve"/>
      </w:r>
      <w:hyperlink ns2:id="rId54">
        <w:r>
          <w:rPr>
            <w:rStyle w:val="Hyperlink"/>
          </w:rPr>
          <w:t xml:space="preserve"/>
        </w:r>
      </w:hyperlink>
      <w:r>
        <w:t xml:space="preserve"/>
      </w:r>
      <w:hyperlink ns2:id="rId55">
        <w:r>
          <w:rPr>
            <w:rStyle w:val="Hyperlink"/>
          </w:rPr>
          <w:t xml:space="preserve"/>
        </w:r>
      </w:hyperlink>
      <w:r>
        <w:t xml:space="preserve"/>
      </w:r>
    </w:p>
    <w:bookmarkEnd w:id="56"/>
    <w:bookmarkStart w:id="59" w:name="ref-jonathansweerakkody2022"/>
    <w:p>
      <w:pPr>
        <w:pStyle w:val="59"/>
      </w:pPr>
      <w:r>
        <w:t xml:space="preserve">[6] 	WEERAKKODY J S, KAZZY M E, JACQUIER E, et al. Surfactant-like Peptide Self-Assembled into Hybrid Nanostructures for Electronic Nose Applications[J/OL]. ACS Nano, 2022. https://pubs.acs.org/doi/10.1021/acsnano.1c10734. DOI:10.1021/acsnano.1c10734.</w:t>
      </w:r>
      <w:r>
        <w:t xml:space="preserve"/>
      </w:r>
      <w:r>
        <w:t xml:space="preserve"/>
      </w:r>
      <w:r>
        <w:t xml:space="preserve"/>
      </w:r>
      <w:r>
        <w:t xml:space="preserve"/>
      </w:r>
      <w:r>
        <w:t xml:space="preserve"/>
      </w:r>
      <w:r>
        <w:t xml:space="preserve"/>
      </w:r>
      <w:r>
        <w:t xml:space="preserve"/>
      </w:r>
      <w:hyperlink ns2:id="rId57">
        <w:r>
          <w:rPr>
            <w:rStyle w:val="Hyperlink"/>
          </w:rPr>
          <w:t xml:space="preserve"/>
        </w:r>
      </w:hyperlink>
      <w:r>
        <w:t xml:space="preserve"/>
      </w:r>
      <w:hyperlink ns2:id="rId58">
        <w:r>
          <w:rPr>
            <w:rStyle w:val="Hyperlink"/>
          </w:rPr>
          <w:t xml:space="preserve"/>
        </w:r>
      </w:hyperlink>
      <w:r>
        <w:t xml:space="preserve"/>
      </w:r>
    </w:p>
    <w:bookmarkEnd w:id="59"/>
    <w:bookmarkStart w:id="62" w:name="ref-ranadipgoswami2021"/>
    <w:p>
      <w:pPr>
        <w:pStyle w:val="59"/>
      </w:pPr>
      <w:r>
        <w:t xml:space="preserve">[7]</w:t>
      </w:r>
      <w:r>
        <w:t xml:space="preserve"> </w:t>
      </w:r>
      <w:r>
        <w:t xml:space="preserve">	</w:t>
      </w:r>
      <w:r>
        <w:t xml:space="preserve">GOSWAMI R, PAL T K, NEOGI S.</w:t>
      </w:r>
      <w:r>
        <w:t xml:space="preserve"> </w:t>
      </w:r>
      <w:r>
        <w:t xml:space="preserve">Stimuli -triggered fluoro-switching in metal–organic frameworks: applications and outlook</w:t>
      </w:r>
      <w:r>
        <w:t xml:space="preserve">[J/OL]. Dalton Transactions, 2021.</w:t>
      </w:r>
      <w:r>
        <w:t xml:space="preserve"> </w:t>
      </w:r>
      <w:hyperlink ns2:id="rId60">
        <w:r>
          <w:rPr>
            <w:rStyle w:val="Hyperlink"/>
          </w:rPr>
          <w:t xml:space="preserve">http://xlink.rsc.org/?DOI=D1DT00202C</w:t>
        </w:r>
      </w:hyperlink>
      <w:r>
        <w:t xml:space="preserve">. DOI:</w:t>
      </w:r>
      <w:hyperlink ns2:id="rId61">
        <w:r>
          <w:rPr>
            <w:rStyle w:val="Hyperlink"/>
          </w:rPr>
          <w:t xml:space="preserve">10.1039/d1dt00202c</w:t>
        </w:r>
      </w:hyperlink>
      <w:r>
        <w:t xml:space="preserve">.</w:t>
      </w:r>
    </w:p>
    <w:bookmarkEnd w:id="62"/>
    <w:bookmarkStart w:id="65" w:name="ref-pratimaupretee2025"/>
    <w:p>
      <w:pPr>
        <w:pStyle w:val="59"/>
      </w:pPr>
      <w:r>
        <w:t xml:space="preserve">[8] 	UPRETEE P, BOTERMANS W, MARTENS K, et al. Methods for Single-Biomolecule Translocation Event Detection From Nanopore Current Signal: A Review[J/OL]. IEEE Sensors Journal, 2025. https://ieeexplore.ieee.org/document/10944269. DOI:10.1109/jsen.2025.3551262.</w:t>
      </w:r>
      <w:r>
        <w:t xml:space="preserve"/>
      </w:r>
      <w:r>
        <w:t xml:space="preserve"/>
      </w:r>
      <w:r>
        <w:t xml:space="preserve"/>
      </w:r>
      <w:r>
        <w:t xml:space="preserve"/>
      </w:r>
      <w:r>
        <w:t xml:space="preserve"/>
      </w:r>
      <w:r>
        <w:t xml:space="preserve"/>
      </w:r>
      <w:r>
        <w:t xml:space="preserve"/>
      </w:r>
      <w:hyperlink ns2:id="rId63">
        <w:r>
          <w:rPr>
            <w:rStyle w:val="Hyperlink"/>
          </w:rPr>
          <w:t xml:space="preserve"/>
        </w:r>
      </w:hyperlink>
      <w:r>
        <w:t xml:space="preserve"/>
      </w:r>
      <w:hyperlink ns2:id="rId64">
        <w:r>
          <w:rPr>
            <w:rStyle w:val="Hyperlink"/>
          </w:rPr>
          <w:t xml:space="preserve"/>
        </w:r>
      </w:hyperlink>
      <w:r>
        <w:t xml:space="preserve"/>
      </w:r>
    </w:p>
    <w:bookmarkEnd w:id="65"/>
    <w:bookmarkStart w:id="68" w:name="ref-jaisejohnson2025"/>
    <w:p>
      <w:pPr>
        <w:pStyle w:val="59"/>
      </w:pPr>
      <w:r>
        <w:t xml:space="preserve">[9]</w:t>
      </w:r>
      <w:r>
        <w:t xml:space="preserve"> </w:t>
      </w:r>
      <w:r>
        <w:t xml:space="preserve">	</w:t>
      </w:r>
      <w:r>
        <w:t xml:space="preserve">JOHNSON J, GALIGEKERE C R, VARMA M M.</w:t>
      </w:r>
      <w:r>
        <w:t xml:space="preserve"> </w:t>
      </w:r>
      <w:r>
        <w:t xml:space="preserve">A Solid-State Nanopore Signal Generator for Training Machine Learning Models</w:t>
      </w:r>
      <w:r>
        <w:t xml:space="preserve">[J/OL]. arXiv-Signal Processing, 2025.</w:t>
      </w:r>
      <w:r>
        <w:t xml:space="preserve"> </w:t>
      </w:r>
      <w:hyperlink ns2:id="rId66">
        <w:r>
          <w:rPr>
            <w:rStyle w:val="Hyperlink"/>
          </w:rPr>
          <w:t xml:space="preserve">https://arxiv.org/abs/2504.05466v1</w:t>
        </w:r>
      </w:hyperlink>
      <w:r>
        <w:t xml:space="preserve">. DOI:</w:t>
      </w:r>
      <w:hyperlink ns2:id="rId67">
        <w:r>
          <w:rPr>
            <w:rStyle w:val="Hyperlink"/>
          </w:rPr>
          <w:t xml:space="preserve">10.48550/arxiv.2504.05466</w:t>
        </w:r>
      </w:hyperlink>
      <w:r>
        <w:t xml:space="preserve">.</w:t>
      </w:r>
    </w:p>
    <w:bookmarkEnd w:id="68"/>
    <w:bookmarkStart w:id="71" w:name="ref-azadehbahrami2012"/>
    <w:p>
      <w:pPr>
        <w:pStyle w:val="59"/>
      </w:pPr>
      <w:r>
        <w:t xml:space="preserve">[10] 	BAHRAMI A, DOĞAN F, JAPRUNG D, et al. Solid-state nanopores for biosensing with submolecular resolution[J/OL]. Biochemical Society Transactions, 2012. https://portlandpress.com/biochemsoctrans/article/40/4/624/85659/Solid-state-nanopores-for-biosensing-with. DOI:10.1042/bst20120121.</w:t>
      </w:r>
      <w:r>
        <w:t xml:space="preserve"/>
      </w:r>
      <w:r>
        <w:t xml:space="preserve"/>
      </w:r>
      <w:r>
        <w:t xml:space="preserve"/>
      </w:r>
      <w:r>
        <w:t xml:space="preserve"/>
      </w:r>
      <w:r>
        <w:t xml:space="preserve"/>
      </w:r>
      <w:r>
        <w:t xml:space="preserve"/>
      </w:r>
      <w:r>
        <w:t xml:space="preserve"/>
      </w:r>
      <w:hyperlink ns2:id="rId69">
        <w:r>
          <w:rPr>
            <w:rStyle w:val="Hyperlink"/>
          </w:rPr>
          <w:t xml:space="preserve"/>
        </w:r>
      </w:hyperlink>
      <w:r>
        <w:t xml:space="preserve"/>
      </w:r>
      <w:hyperlink ns2:id="rId70">
        <w:r>
          <w:rPr>
            <w:rStyle w:val="Hyperlink"/>
          </w:rPr>
          <w:t xml:space="preserve"/>
        </w:r>
      </w:hyperlink>
      <w:r>
        <w:t xml:space="preserve"/>
      </w:r>
    </w:p>
    <w:bookmarkEnd w:id="71"/>
    <w:bookmarkStart w:id="74" w:name="ref-sebastiansensale2019"/>
    <w:p>
      <w:pPr>
        <w:pStyle w:val="59"/>
      </w:pPr>
      <w:r>
        <w:t xml:space="preserve">[11]</w:t>
      </w:r>
      <w:r>
        <w:t xml:space="preserve"> </w:t>
      </w:r>
      <w:r>
        <w:t xml:space="preserve">	</w:t>
      </w:r>
      <w:r>
        <w:t xml:space="preserve">SENSALE S, PENG Z, CHANG H C.</w:t>
      </w:r>
      <w:r>
        <w:t xml:space="preserve"> </w:t>
      </w:r>
      <w:r>
        <w:t xml:space="preserve">Biphasic signals during nanopore translocation of DNA and nanoparticles due to strong ion cloud deformation</w:t>
      </w:r>
      <w:r>
        <w:t xml:space="preserve">[J/OL]. Nanoscale, 2019.</w:t>
      </w:r>
      <w:r>
        <w:t xml:space="preserve"> </w:t>
      </w:r>
      <w:hyperlink ns2:id="rId72">
        <w:r>
          <w:rPr>
            <w:rStyle w:val="Hyperlink"/>
          </w:rPr>
          <w:t xml:space="preserve">http://xlink.rsc.org/?DOI=C9NR05223B</w:t>
        </w:r>
      </w:hyperlink>
      <w:r>
        <w:t xml:space="preserve">. DOI:</w:t>
      </w:r>
      <w:hyperlink ns2:id="rId73">
        <w:r>
          <w:rPr>
            <w:rStyle w:val="Hyperlink"/>
          </w:rPr>
          <w:t xml:space="preserve">10.1039/c9nr05223b</w:t>
        </w:r>
      </w:hyperlink>
      <w:r>
        <w:t xml:space="preserve">.</w:t>
      </w:r>
    </w:p>
    <w:bookmarkEnd w:id="74"/>
    <w:bookmarkStart w:id="77" w:name="ref-ioanacozmuta2005"/>
    <w:p>
      <w:pPr>
        <w:pStyle w:val="59"/>
      </w:pPr>
      <w:r>
        <w:t xml:space="preserve">[12] 	COZMUTA I, O’KEEFFE J T, BOSE D, et al. Hybrid MD-Nernst Planck model of α-hemolysin conductance properties[J/OL]. Molecular Simulation, 2005. http://www.tandfonline.com/doi/abs/10.1080/08927020412331308467. DOI:10.1080/08927020412331308467.</w:t>
      </w:r>
      <w:r>
        <w:t xml:space="preserve"/>
      </w:r>
      <w:r>
        <w:t xml:space="preserve"/>
      </w:r>
      <w:r>
        <w:t xml:space="preserve"/>
      </w:r>
      <w:r>
        <w:t xml:space="preserve"/>
      </w:r>
      <w:r>
        <w:t xml:space="preserve"/>
      </w:r>
      <w:r>
        <w:t xml:space="preserve"/>
      </w:r>
      <w:r>
        <w:t xml:space="preserve"/>
      </w:r>
      <w:hyperlink ns2:id="rId75">
        <w:r>
          <w:rPr>
            <w:rStyle w:val="Hyperlink"/>
          </w:rPr>
          <w:t xml:space="preserve"/>
        </w:r>
      </w:hyperlink>
      <w:r>
        <w:t xml:space="preserve"/>
      </w:r>
      <w:hyperlink ns2:id="rId76">
        <w:r>
          <w:rPr>
            <w:rStyle w:val="Hyperlink"/>
          </w:rPr>
          <w:t xml:space="preserve"/>
        </w:r>
      </w:hyperlink>
      <w:r>
        <w:t xml:space="preserve"/>
      </w:r>
    </w:p>
    <w:bookmarkEnd w:id="77"/>
    <w:bookmarkStart w:id="80" w:name="ref-chunhuigu2017"/>
    <w:p>
      <w:pPr>
        <w:pStyle w:val="59"/>
      </w:pPr>
      <w:r>
        <w:t xml:space="preserve">[13]</w:t>
      </w:r>
      <w:r>
        <w:t xml:space="preserve"> </w:t>
      </w:r>
      <w:r>
        <w:t xml:space="preserve">	</w:t>
      </w:r>
      <w:r>
        <w:t xml:space="preserve">GU C, JIA C, GUO X.</w:t>
      </w:r>
      <w:r>
        <w:t xml:space="preserve"> </w:t>
      </w:r>
      <w:r>
        <w:t xml:space="preserve">Single-Molecule Electrical Detection with Real-Time Label-Free Capability and Ultrasensitivity</w:t>
      </w:r>
      <w:r>
        <w:t xml:space="preserve">[J/OL]. Small Methods, 2017.</w:t>
      </w:r>
      <w:r>
        <w:t xml:space="preserve"> </w:t>
      </w:r>
      <w:hyperlink ns2:id="rId78">
        <w:r>
          <w:rPr>
            <w:rStyle w:val="Hyperlink"/>
          </w:rPr>
          <w:t xml:space="preserve">http://doi.wiley.com/10.1002/smtd.201700071</w:t>
        </w:r>
      </w:hyperlink>
      <w:r>
        <w:t xml:space="preserve">. DOI:</w:t>
      </w:r>
      <w:hyperlink ns2:id="rId79">
        <w:r>
          <w:rPr>
            <w:rStyle w:val="Hyperlink"/>
          </w:rPr>
          <w:t xml:space="preserve">10.1002/smtd.201700071</w:t>
        </w:r>
      </w:hyperlink>
      <w:r>
        <w:t xml:space="preserve">.</w:t>
      </w:r>
    </w:p>
    <w:bookmarkEnd w:id="80"/>
    <w:bookmarkStart w:id="83" w:name="ref-satoshifujii2017"/>
    <w:p>
      <w:pPr>
        <w:pStyle w:val="59"/>
      </w:pPr>
      <w:r>
        <w:t xml:space="preserve">[14] 	FUJII S, NOBUKAWA A, OSAKI T, et al. Pesticide vapor sensing using an aptamer, nanopore, and agarose gel on a chip[J/OL]. Lab on a Chip, 2017. http://xlink.rsc.org/?DOI=C7LC00361G. DOI:10.1039/c7lc00361g.</w:t>
      </w:r>
      <w:r>
        <w:t xml:space="preserve"/>
      </w:r>
      <w:r>
        <w:t xml:space="preserve"/>
      </w:r>
      <w:r>
        <w:t xml:space="preserve"/>
      </w:r>
      <w:r>
        <w:t xml:space="preserve"/>
      </w:r>
      <w:r>
        <w:t xml:space="preserve"/>
      </w:r>
      <w:r>
        <w:t xml:space="preserve"/>
      </w:r>
      <w:r>
        <w:t xml:space="preserve"/>
      </w:r>
      <w:hyperlink ns2:id="rId81">
        <w:r>
          <w:rPr>
            <w:rStyle w:val="Hyperlink"/>
          </w:rPr>
          <w:t xml:space="preserve"/>
        </w:r>
      </w:hyperlink>
      <w:r>
        <w:t xml:space="preserve"/>
      </w:r>
      <w:hyperlink ns2:id="rId82">
        <w:r>
          <w:rPr>
            <w:rStyle w:val="Hyperlink"/>
          </w:rPr>
          <w:t xml:space="preserve"/>
        </w:r>
      </w:hyperlink>
      <w:r>
        <w:t xml:space="preserve"/>
      </w:r>
    </w:p>
    <w:bookmarkEnd w:id="83"/>
    <w:bookmarkStart w:id="86" w:name="ref-bowang2020"/>
    <w:p>
      <w:pPr>
        <w:pStyle w:val="59"/>
      </w:pPr>
      <w:r>
        <w:t xml:space="preserve">[15] 	WANG B, DONG X S, WANG Z, et al. MEMS-Based Ionization Gas Sensors for VOCs with Array of Nanostructured Silicon Needles[J/OL]. ACS Sensors, 2020. https://pubs.acs.org/doi/10.1021/acssensors.9b02458. DOI:10.1021/acssensors.9b02458.</w:t>
      </w:r>
      <w:r>
        <w:t xml:space="preserve"/>
      </w:r>
      <w:r>
        <w:t xml:space="preserve"/>
      </w:r>
      <w:r>
        <w:t xml:space="preserve"/>
      </w:r>
      <w:r>
        <w:t xml:space="preserve"/>
      </w:r>
      <w:r>
        <w:t xml:space="preserve"/>
      </w:r>
      <w:r>
        <w:t xml:space="preserve"/>
      </w:r>
      <w:r>
        <w:t xml:space="preserve"/>
      </w:r>
      <w:hyperlink ns2:id="rId84">
        <w:r>
          <w:rPr>
            <w:rStyle w:val="Hyperlink"/>
          </w:rPr>
          <w:t xml:space="preserve"/>
        </w:r>
      </w:hyperlink>
      <w:r>
        <w:t xml:space="preserve"/>
      </w:r>
      <w:hyperlink ns2:id="rId85">
        <w:r>
          <w:rPr>
            <w:rStyle w:val="Hyperlink"/>
          </w:rPr>
          <w:t xml:space="preserve"/>
        </w:r>
      </w:hyperlink>
      <w:r>
        <w:t xml:space="preserve"/>
      </w:r>
    </w:p>
    <w:bookmarkEnd w:id="86"/>
    <w:bookmarkStart w:id="89" w:name="ref-shahriarjamasb2021"/>
    <w:p>
      <w:pPr>
        <w:pStyle w:val="59"/>
      </w:pPr>
      <w:r>
        <w:t xml:space="preserve">[16]</w:t>
      </w:r>
      <w:r>
        <w:t xml:space="preserve"> </w:t>
      </w:r>
      <w:r>
        <w:t xml:space="preserve">	</w:t>
      </w:r>
      <w:r>
        <w:t xml:space="preserve">JAMASB S.</w:t>
      </w:r>
      <w:r>
        <w:t xml:space="preserve"> </w:t>
      </w:r>
      <w:r>
        <w:t xml:space="preserve">Current-Mode Signal Enhancement in the Ion-Selective Field Effect Transistor (ISFET) in the Presence of Drift and Hysteresis</w:t>
      </w:r>
      <w:r>
        <w:t xml:space="preserve">[J/OL]. IEEE Sensors Journal, 2021.</w:t>
      </w:r>
      <w:r>
        <w:t xml:space="preserve"> </w:t>
      </w:r>
      <w:hyperlink ns2:id="rId87">
        <w:r>
          <w:rPr>
            <w:rStyle w:val="Hyperlink"/>
          </w:rPr>
          <w:t xml:space="preserve">https://ieeexplore.ieee.org/document/9240998/</w:t>
        </w:r>
      </w:hyperlink>
      <w:r>
        <w:t xml:space="preserve">. DOI:</w:t>
      </w:r>
      <w:hyperlink ns2:id="rId88">
        <w:r>
          <w:rPr>
            <w:rStyle w:val="Hyperlink"/>
          </w:rPr>
          <w:t xml:space="preserve">10.1109/jsen.2020.3034200</w:t>
        </w:r>
      </w:hyperlink>
      <w:r>
        <w:t xml:space="preserve">.</w:t>
      </w:r>
    </w:p>
    <w:bookmarkEnd w:id="89"/>
    <w:bookmarkStart w:id="92" w:name="ref-floramli2008"/>
    <w:p>
      <w:pPr>
        <w:pStyle w:val="59"/>
      </w:pPr>
      <w:r>
        <w:t xml:space="preserve">[17] 	LI F M, NATHAN A, WU Y, et al. A comparative study of plasma-enhanced chemical vapor gate dielectrics for solution-processed polymer thin-film transistor circuit integration[J/OL]. Journal of Applied Physics, 2008. http://aip.scitation.org/doi/10.1063/1.3029704. DOI:10.1063/1.3029704.</w:t>
      </w:r>
      <w:r>
        <w:t xml:space="preserve"/>
      </w:r>
      <w:r>
        <w:t xml:space="preserve"/>
      </w:r>
      <w:r>
        <w:t xml:space="preserve"/>
      </w:r>
      <w:r>
        <w:t xml:space="preserve"/>
      </w:r>
      <w:r>
        <w:t xml:space="preserve"/>
      </w:r>
      <w:r>
        <w:t xml:space="preserve"/>
      </w:r>
      <w:r>
        <w:t xml:space="preserve"/>
      </w:r>
      <w:hyperlink ns2:id="rId90">
        <w:r>
          <w:rPr>
            <w:rStyle w:val="Hyperlink"/>
          </w:rPr>
          <w:t xml:space="preserve"/>
        </w:r>
      </w:hyperlink>
      <w:r>
        <w:t xml:space="preserve"/>
      </w:r>
      <w:hyperlink ns2:id="rId91">
        <w:r>
          <w:rPr>
            <w:rStyle w:val="Hyperlink"/>
          </w:rPr>
          <w:t xml:space="preserve"/>
        </w:r>
      </w:hyperlink>
      <w:r>
        <w:t xml:space="preserve"/>
      </w:r>
    </w:p>
    <w:bookmarkEnd w:id="92"/>
    <w:bookmarkStart w:id="95" w:name="ref-diptirani2020"/>
    <w:p>
      <w:pPr>
        <w:pStyle w:val="59"/>
      </w:pPr>
      <w:r>
        <w:t xml:space="preserve">[18] 	RANI D, SINGH Y, SALKER M, et al. Point-of-care-ready nanoscale ISFET arrays for sub-picomolar detection of cytokines in cell cultures[J/OL]. Analytica, 2020. https://link.springer.com/10.1007/s00216-020-02820-4. DOI:10.1007/s00216-020-02820-4.</w:t>
      </w:r>
      <w:r>
        <w:t xml:space="preserve"/>
      </w:r>
      <w:r>
        <w:t xml:space="preserve"/>
      </w:r>
      <w:r>
        <w:t xml:space="preserve"/>
      </w:r>
      <w:r>
        <w:t xml:space="preserve"/>
      </w:r>
      <w:r>
        <w:t xml:space="preserve"/>
      </w:r>
      <w:r>
        <w:t xml:space="preserve"/>
      </w:r>
      <w:r>
        <w:t xml:space="preserve"/>
      </w:r>
      <w:hyperlink ns2:id="rId93">
        <w:r>
          <w:rPr>
            <w:rStyle w:val="Hyperlink"/>
          </w:rPr>
          <w:t xml:space="preserve"/>
        </w:r>
      </w:hyperlink>
      <w:r>
        <w:t xml:space="preserve"/>
      </w:r>
      <w:hyperlink ns2:id="rId94">
        <w:r>
          <w:rPr>
            <w:rStyle w:val="Hyperlink"/>
          </w:rPr>
          <w:t xml:space="preserve"/>
        </w:r>
      </w:hyperlink>
      <w:r>
        <w:t xml:space="preserve"/>
      </w:r>
    </w:p>
    <w:bookmarkEnd w:id="95"/>
    <w:bookmarkStart w:id="98" w:name="ref-paololivi2015"/>
    <w:p>
      <w:pPr>
        <w:pStyle w:val="59"/>
      </w:pPr>
      <w:r>
        <w:t xml:space="preserve">[19] 	LIVI P, KWIAT M, SHADMANI A, et al. Monolithic Integration of a Silicon Nanowire Field-Effect Transistors Array on a Complementary Metal-Oxide Semiconductor Chip for Biochemical Sensor Applications[J/OL]. Analytical Chemistry, 2015. https://pubs.acs.org/doi/10.1021/acs.analchem.5b02604. DOI:10.1021/acs.analchem.5b02604.</w:t>
      </w:r>
      <w:r>
        <w:t xml:space="preserve"/>
      </w:r>
      <w:r>
        <w:t xml:space="preserve"/>
      </w:r>
      <w:r>
        <w:t xml:space="preserve"/>
      </w:r>
      <w:r>
        <w:t xml:space="preserve"/>
      </w:r>
      <w:r>
        <w:t xml:space="preserve"/>
      </w:r>
      <w:r>
        <w:t xml:space="preserve"/>
      </w:r>
      <w:r>
        <w:t xml:space="preserve"/>
      </w:r>
      <w:hyperlink ns2:id="rId96">
        <w:r>
          <w:rPr>
            <w:rStyle w:val="Hyperlink"/>
          </w:rPr>
          <w:t xml:space="preserve"/>
        </w:r>
      </w:hyperlink>
      <w:r>
        <w:t xml:space="preserve"/>
      </w:r>
      <w:hyperlink ns2:id="rId97">
        <w:r>
          <w:rPr>
            <w:rStyle w:val="Hyperlink"/>
          </w:rPr>
          <w:t xml:space="preserve"/>
        </w:r>
      </w:hyperlink>
      <w:r>
        <w:t xml:space="preserve"/>
      </w:r>
    </w:p>
    <w:bookmarkEnd w:id="98"/>
    <w:bookmarkStart w:id="101" w:name="ref-sonjaschmid2023"/>
    <w:p>
      <w:pPr>
        <w:pStyle w:val="59"/>
      </w:pPr>
      <w:r>
        <w:t xml:space="preserve">[20]</w:t>
      </w:r>
      <w:r>
        <w:t xml:space="preserve"> </w:t>
      </w:r>
      <w:r>
        <w:t xml:space="preserve">	</w:t>
      </w:r>
      <w:r>
        <w:t xml:space="preserve">SCHMID S.</w:t>
      </w:r>
      <w:r>
        <w:t xml:space="preserve"> </w:t>
      </w:r>
      <w:r>
        <w:t xml:space="preserve">An external speed control for nanopore reads</w:t>
      </w:r>
      <w:r>
        <w:t xml:space="preserve">[J/OL]. Nature Nanotechnology, 2023.</w:t>
      </w:r>
      <w:r>
        <w:t xml:space="preserve"> </w:t>
      </w:r>
      <w:hyperlink ns2:id="rId99">
        <w:r>
          <w:rPr>
            <w:rStyle w:val="Hyperlink"/>
          </w:rPr>
          <w:t xml:space="preserve">https://www.nature.com/articles/s41565-023-01477-1?</w:t>
        </w:r>
      </w:hyperlink>
      <w:r>
        <w:t xml:space="preserve"> DOI:</w:t>
      </w:r>
      <w:hyperlink ns2:id="rId100">
        <w:r>
          <w:rPr>
            <w:rStyle w:val="Hyperlink"/>
          </w:rPr>
          <w:t xml:space="preserve">10.1038/s41565-023-01477-1</w:t>
        </w:r>
      </w:hyperlink>
      <w:r>
        <w:t xml:space="preserve">.</w:t>
      </w:r>
    </w:p>
    <w:bookmarkEnd w:id="101"/>
    <w:bookmarkStart w:id="104" w:name="ref-azharilyas2014"/>
    <w:p>
      <w:pPr>
        <w:pStyle w:val="59"/>
      </w:pPr>
      <w:r>
        <w:t xml:space="preserve">[21] 	ILYAS A, ASGHAR W, KIM Y, et al. Parallel recognition of cancer cells using an addressable array of solid-state micropores[J/OL]. Biosensors and Bioelectronics, 2014. https://linkinghub.elsevier.com/retrieve/pii/S0956566314004618. DOI:10.1016/j.bios.2014.06.048.</w:t>
      </w:r>
      <w:r>
        <w:t xml:space="preserve"/>
      </w:r>
      <w:r>
        <w:t xml:space="preserve"/>
      </w:r>
      <w:r>
        <w:t xml:space="preserve"/>
      </w:r>
      <w:r>
        <w:t xml:space="preserve"/>
      </w:r>
      <w:r>
        <w:t xml:space="preserve"/>
      </w:r>
      <w:r>
        <w:t xml:space="preserve"/>
      </w:r>
      <w:r>
        <w:t xml:space="preserve"/>
      </w:r>
      <w:hyperlink ns2:id="rId102">
        <w:r>
          <w:rPr>
            <w:rStyle w:val="Hyperlink"/>
          </w:rPr>
          <w:t xml:space="preserve"/>
        </w:r>
      </w:hyperlink>
      <w:r>
        <w:t xml:space="preserve"/>
      </w:r>
      <w:hyperlink ns2:id="rId103">
        <w:r>
          <w:rPr>
            <w:rStyle w:val="Hyperlink"/>
          </w:rPr>
          <w:t xml:space="preserve"/>
        </w:r>
      </w:hyperlink>
      <w:r>
        <w:t xml:space="preserve"/>
      </w:r>
    </w:p>
    <w:bookmarkEnd w:id="104"/>
    <w:bookmarkStart w:id="107" w:name="ref-epasquinet2004"/>
    <w:p>
      <w:pPr>
        <w:pStyle w:val="59"/>
      </w:pPr>
      <w:r>
        <w:t xml:space="preserve">[22] 	PASQUINET E, BOUVIER C, THERY-MERLAND F, et al. Synthesis and adsorption on gold surfaces of a functionalized thiol: elaboration and test of a new nitroaromatic gas sensor[J/OL]. Journal of Colloid and Interface Science, 2004. https://linkinghub.elsevier.com/retrieve/pii/S0021979703010786. DOI:10.1016/j.jcis.2003.11.025.</w:t>
      </w:r>
      <w:r>
        <w:t xml:space="preserve"/>
      </w:r>
      <w:r>
        <w:t xml:space="preserve"/>
      </w:r>
      <w:r>
        <w:t xml:space="preserve"/>
      </w:r>
      <w:r>
        <w:t xml:space="preserve"/>
      </w:r>
      <w:r>
        <w:t xml:space="preserve"/>
      </w:r>
      <w:r>
        <w:t xml:space="preserve"/>
      </w:r>
      <w:r>
        <w:t xml:space="preserve"/>
      </w:r>
      <w:hyperlink ns2:id="rId105">
        <w:r>
          <w:rPr>
            <w:rStyle w:val="Hyperlink"/>
          </w:rPr>
          <w:t xml:space="preserve"/>
        </w:r>
      </w:hyperlink>
      <w:r>
        <w:t xml:space="preserve"/>
      </w:r>
      <w:hyperlink ns2:id="rId106">
        <w:r>
          <w:rPr>
            <w:rStyle w:val="Hyperlink"/>
          </w:rPr>
          <w:t xml:space="preserve"/>
        </w:r>
      </w:hyperlink>
      <w:r>
        <w:t xml:space="preserve"/>
      </w:r>
    </w:p>
    <w:bookmarkEnd w:id="107"/>
    <w:bookmarkStart w:id="110" w:name="ref-chiajunglu2007"/>
    <w:p>
      <w:pPr>
        <w:pStyle w:val="59"/>
      </w:pPr>
      <w:r>
        <w:t xml:space="preserve">[23]</w:t>
      </w:r>
      <w:r>
        <w:t xml:space="preserve"> </w:t>
      </w:r>
      <w:r>
        <w:t xml:space="preserve">	</w:t>
      </w:r>
      <w:r>
        <w:t xml:space="preserve">LU C J, CHENG C S.</w:t>
      </w:r>
      <w:r>
        <w:t xml:space="preserve"> </w:t>
      </w:r>
      <w:r>
        <w:t xml:space="preserve">Optical VOC Sensors Employing Self Assemble Monolayer of Metal Nanoparticles</w:t>
      </w:r>
      <w:r>
        <w:t xml:space="preserve">[J/OL]. ECS Meeting Abstracts, 2007.</w:t>
      </w:r>
      <w:r>
        <w:t xml:space="preserve"> </w:t>
      </w:r>
      <w:hyperlink ns2:id="rId108">
        <w:r>
          <w:rPr>
            <w:rStyle w:val="Hyperlink"/>
          </w:rPr>
          <w:t xml:space="preserve">https://iopscience.iop.org/article/10.1149/MA2007-01/38/1355</w:t>
        </w:r>
      </w:hyperlink>
      <w:r>
        <w:t xml:space="preserve">. DOI:</w:t>
      </w:r>
      <w:hyperlink ns2:id="rId109">
        <w:r>
          <w:rPr>
            <w:rStyle w:val="Hyperlink"/>
          </w:rPr>
          <w:t xml:space="preserve">10.1149/ma2007-01/38/1355</w:t>
        </w:r>
      </w:hyperlink>
      <w:r>
        <w:t xml:space="preserve">.</w:t>
      </w:r>
    </w:p>
    <w:bookmarkEnd w:id="110"/>
    <w:bookmarkStart w:id="113" w:name="ref-cocoday2023"/>
    <w:p>
      <w:pPr>
        <w:pStyle w:val="59"/>
      </w:pPr>
      <w:r>
        <w:t xml:space="preserve">[24]</w:t>
      </w:r>
      <w:r>
        <w:t xml:space="preserve"> </w:t>
      </w:r>
      <w:r>
        <w:t xml:space="preserve">	</w:t>
      </w:r>
      <w:r>
        <w:t xml:space="preserve">DAY C, BARUA N, HUTTER T.</w:t>
      </w:r>
      <w:r>
        <w:t xml:space="preserve"> </w:t>
      </w:r>
      <w:r>
        <w:t xml:space="preserve">Porous silica preconcentrator for selective ambient volatile organic compounds detection: Effects of surface functionalization and humidity</w:t>
      </w:r>
      <w:r>
        <w:t xml:space="preserve">[J/OL]. Applied Physics Reviews, 2023.</w:t>
      </w:r>
      <w:r>
        <w:t xml:space="preserve"> </w:t>
      </w:r>
      <w:hyperlink ns2:id="rId111">
        <w:r>
          <w:rPr>
            <w:rStyle w:val="Hyperlink"/>
          </w:rPr>
          <w:t xml:space="preserve">https://pubs.aip.org/aip/apr/article/2882606</w:t>
        </w:r>
      </w:hyperlink>
      <w:r>
        <w:t xml:space="preserve">. DOI:</w:t>
      </w:r>
      <w:hyperlink ns2:id="rId112">
        <w:r>
          <w:rPr>
            <w:rStyle w:val="Hyperlink"/>
          </w:rPr>
          <w:t xml:space="preserve">10.1063/5.0139042</w:t>
        </w:r>
      </w:hyperlink>
      <w:r>
        <w:t xml:space="preserve">.</w:t>
      </w:r>
    </w:p>
    <w:bookmarkEnd w:id="113"/>
    <w:bookmarkStart w:id="116" w:name="ref-yechang2016"/>
    <w:p>
      <w:pPr>
        <w:pStyle w:val="59"/>
      </w:pPr>
      <w:r>
        <w:t xml:space="preserve">[25] 	CHANG Y, TANG N, QU H, et al. Detection of Volatile Organic Compounds by Self-assembled Monolayer Coated Sensor Array with Concentration-independent Fingerprints[J/OL]. Scientific Reports, 2016. http://www.nature.com/articles/srep23970. DOI:10.1038/srep23970.</w:t>
      </w:r>
      <w:r>
        <w:t xml:space="preserve"/>
      </w:r>
      <w:r>
        <w:t xml:space="preserve"/>
      </w:r>
      <w:r>
        <w:t xml:space="preserve"/>
      </w:r>
      <w:r>
        <w:t xml:space="preserve"/>
      </w:r>
      <w:r>
        <w:t xml:space="preserve"/>
      </w:r>
      <w:r>
        <w:t xml:space="preserve"/>
      </w:r>
      <w:r>
        <w:t xml:space="preserve"/>
      </w:r>
      <w:hyperlink ns2:id="rId114">
        <w:r>
          <w:rPr>
            <w:rStyle w:val="Hyperlink"/>
          </w:rPr>
          <w:t xml:space="preserve"/>
        </w:r>
      </w:hyperlink>
      <w:r>
        <w:t xml:space="preserve"/>
      </w:r>
      <w:hyperlink ns2:id="rId115">
        <w:r>
          <w:rPr>
            <w:rStyle w:val="Hyperlink"/>
          </w:rPr>
          <w:t xml:space="preserve"/>
        </w:r>
      </w:hyperlink>
      <w:r>
        <w:t xml:space="preserve"/>
      </w:r>
    </w:p>
    <w:bookmarkEnd w:id="116"/>
    <w:bookmarkStart w:id="119" w:name="ref-nathanmeyer2020"/>
    <w:p>
      <w:pPr>
        <w:pStyle w:val="59"/>
      </w:pPr>
      <w:r>
        <w:t xml:space="preserve">[26] 	MEYER N, JANOT J M, LEPOITEVIN M, et al. Machine Learning to Improve the Sensing of Biomolecules by Conical Track-Etched Nanopore[J/OL]. Biosensors, 2020. https://www.mdpi.com/2079-6374/10/10/140. DOI:10.3390/bios10100140.</w:t>
      </w:r>
      <w:r>
        <w:t xml:space="preserve"/>
      </w:r>
      <w:r>
        <w:t xml:space="preserve"/>
      </w:r>
      <w:r>
        <w:t xml:space="preserve"/>
      </w:r>
      <w:r>
        <w:t xml:space="preserve"/>
      </w:r>
      <w:r>
        <w:t xml:space="preserve"/>
      </w:r>
      <w:r>
        <w:t xml:space="preserve"/>
      </w:r>
      <w:r>
        <w:t xml:space="preserve"/>
      </w:r>
      <w:hyperlink ns2:id="rId117">
        <w:r>
          <w:rPr>
            <w:rStyle w:val="Hyperlink"/>
          </w:rPr>
          <w:t xml:space="preserve"/>
        </w:r>
      </w:hyperlink>
      <w:r>
        <w:t xml:space="preserve"/>
      </w:r>
      <w:hyperlink ns2:id="rId118">
        <w:r>
          <w:rPr>
            <w:rStyle w:val="Hyperlink"/>
          </w:rPr>
          <w:t xml:space="preserve"/>
        </w:r>
      </w:hyperlink>
      <w:r>
        <w:t xml:space="preserve"/>
      </w:r>
    </w:p>
    <w:bookmarkEnd w:id="119"/>
    <w:bookmarkStart w:id="122" w:name="ref-bitnurikwon2022"/>
    <w:p>
      <w:pPr>
        <w:pStyle w:val="59"/>
      </w:pPr>
      <w:r>
        <w:t xml:space="preserve">[27] 	KWON B, BAE H, LEE H, et al. Ultrasensitive N-Channel Graphene Gas Sensors by Nondestructive Molecular Doping[J/OL]. ACS Nano, 2022. https://pubs.acs.org/doi/10.1021/acsnano.1c08186. DOI:10.1021/acsnano.1c08186.</w:t>
      </w:r>
      <w:r>
        <w:t xml:space="preserve"/>
      </w:r>
      <w:r>
        <w:t xml:space="preserve"/>
      </w:r>
      <w:r>
        <w:t xml:space="preserve"/>
      </w:r>
      <w:r>
        <w:t xml:space="preserve"/>
      </w:r>
      <w:r>
        <w:t xml:space="preserve"/>
      </w:r>
      <w:r>
        <w:t xml:space="preserve"/>
      </w:r>
      <w:r>
        <w:t xml:space="preserve"/>
      </w:r>
      <w:hyperlink ns2:id="rId120">
        <w:r>
          <w:rPr>
            <w:rStyle w:val="Hyperlink"/>
          </w:rPr>
          <w:t xml:space="preserve"/>
        </w:r>
      </w:hyperlink>
      <w:r>
        <w:t xml:space="preserve"/>
      </w:r>
      <w:hyperlink ns2:id="rId121">
        <w:r>
          <w:rPr>
            <w:rStyle w:val="Hyperlink"/>
          </w:rPr>
          <w:t xml:space="preserve"/>
        </w:r>
      </w:hyperlink>
      <w:r>
        <w:t xml:space="preserve"/>
      </w:r>
    </w:p>
    <w:bookmarkEnd w:id="122"/>
    <w:bookmarkStart w:id="125" w:name="ref-kristinamherbert2006"/>
    <w:p>
      <w:pPr>
        <w:pStyle w:val="59"/>
      </w:pPr>
      <w:r>
        <w:t xml:space="preserve">[28] 	HERBERT K M, PORTA A L, WONG B J, et al. Sequence-Resolved Detection of Pausing by Single RNA Polymerase Molecules[J/OL]. Cell, 2006. https://linkinghub.elsevier.com/retrieve/pii/S0092867406005812. DOI:10.1016/j.cell.2006.04.032.</w:t>
      </w:r>
      <w:r>
        <w:t xml:space="preserve"/>
      </w:r>
      <w:r>
        <w:t xml:space="preserve"/>
      </w:r>
      <w:r>
        <w:t xml:space="preserve"/>
      </w:r>
      <w:r>
        <w:t xml:space="preserve"/>
      </w:r>
      <w:r>
        <w:t xml:space="preserve"/>
      </w:r>
      <w:r>
        <w:t xml:space="preserve"/>
      </w:r>
      <w:r>
        <w:t xml:space="preserve"/>
      </w:r>
      <w:hyperlink ns2:id="rId123">
        <w:r>
          <w:rPr>
            <w:rStyle w:val="Hyperlink"/>
          </w:rPr>
          <w:t xml:space="preserve"/>
        </w:r>
      </w:hyperlink>
      <w:r>
        <w:t xml:space="preserve"/>
      </w:r>
      <w:hyperlink ns2:id="rId124">
        <w:r>
          <w:rPr>
            <w:rStyle w:val="Hyperlink"/>
          </w:rPr>
          <w:t xml:space="preserve"/>
        </w:r>
      </w:hyperlink>
      <w:r>
        <w:t xml:space="preserve"/>
      </w:r>
    </w:p>
    <w:bookmarkEnd w:id="125"/>
    <w:bookmarkStart w:id="128" w:name="ref-nicholashurt2009"/>
    <w:p>
      <w:pPr>
        <w:pStyle w:val="59"/>
      </w:pPr>
      <w:r>
        <w:t xml:space="preserve">[29] 	HURT N, WANG H, AKESON M, et al. Specific Nucleotide Binding and Rebinding to Individual DNA Polymerase Complexes Captured on a Nanopore[J/OL]. Journal of the American Chemical Society, 2009. https://pubs.acs.org/doi/10.1021/ja809663f. DOI:10.1021/ja809663f.</w:t>
      </w:r>
      <w:r>
        <w:t xml:space="preserve"/>
      </w:r>
      <w:r>
        <w:t xml:space="preserve"/>
      </w:r>
      <w:r>
        <w:t xml:space="preserve"/>
      </w:r>
      <w:r>
        <w:t xml:space="preserve"/>
      </w:r>
      <w:r>
        <w:t xml:space="preserve"/>
      </w:r>
      <w:r>
        <w:t xml:space="preserve"/>
      </w:r>
      <w:r>
        <w:t xml:space="preserve"/>
      </w:r>
      <w:hyperlink ns2:id="rId126">
        <w:r>
          <w:rPr>
            <w:rStyle w:val="Hyperlink"/>
          </w:rPr>
          <w:t xml:space="preserve"/>
        </w:r>
      </w:hyperlink>
      <w:r>
        <w:t xml:space="preserve"/>
      </w:r>
      <w:hyperlink ns2:id="rId127">
        <w:r>
          <w:rPr>
            <w:rStyle w:val="Hyperlink"/>
          </w:rPr>
          <w:t xml:space="preserve"/>
        </w:r>
      </w:hyperlink>
      <w:r>
        <w:t xml:space="preserve"/>
      </w:r>
    </w:p>
    <w:bookmarkEnd w:id="128"/>
    <w:bookmarkStart w:id="131" w:name="ref-shaochuangliu2018"/>
    <w:p>
      <w:pPr>
        <w:pStyle w:val="59"/>
      </w:pPr>
      <w:r>
        <w:t xml:space="preserve">[30] 	LIU S C, LI M X, LI M Y, et al. Measuring a frequency spectrum for single-molecule interactions with a confined nanopore[J/OL]. Faraday Discussions, 2018. http://xlink.rsc.org/?DOI=C8FD00023A. DOI:10.1039/c8fd00023a.</w:t>
      </w:r>
      <w:r>
        <w:t xml:space="preserve"/>
      </w:r>
      <w:r>
        <w:t xml:space="preserve"/>
      </w:r>
      <w:r>
        <w:t xml:space="preserve"/>
      </w:r>
      <w:r>
        <w:t xml:space="preserve"/>
      </w:r>
      <w:r>
        <w:t xml:space="preserve"/>
      </w:r>
      <w:r>
        <w:t xml:space="preserve"/>
      </w:r>
      <w:r>
        <w:t xml:space="preserve"/>
      </w:r>
      <w:hyperlink ns2:id="rId129">
        <w:r>
          <w:rPr>
            <w:rStyle w:val="Hyperlink"/>
          </w:rPr>
          <w:t xml:space="preserve"/>
        </w:r>
      </w:hyperlink>
      <w:r>
        <w:t xml:space="preserve"/>
      </w:r>
      <w:hyperlink ns2:id="rId130">
        <w:r>
          <w:rPr>
            <w:rStyle w:val="Hyperlink"/>
          </w:rPr>
          <w:t xml:space="preserve"/>
        </w:r>
      </w:hyperlink>
      <w:r>
        <w:t xml:space="preserve"/>
      </w:r>
    </w:p>
    <w:bookmarkEnd w:id="131"/>
    <w:bookmarkStart w:id="134" w:name="ref-jacobhforstater2016"/>
    <w:p>
      <w:pPr>
        <w:pStyle w:val="59"/>
      </w:pPr>
      <w:r>
        <w:t xml:space="preserve">[31] 	FORSTATER J H, BRIGGS K, ROBERTSON J W F, et al. MOSAIC: A Modular Single-Molecule Analysis Interface for Decoding Multistate Nanopore Data[J/OL]. Analytica, 2016. https://pubs.acs.org/doi/10.1021/acs.analchem.6b03725. DOI:10.1021/acs.analchem.6b03725.</w:t>
      </w:r>
      <w:r>
        <w:t xml:space="preserve"/>
      </w:r>
      <w:r>
        <w:t xml:space="preserve"/>
      </w:r>
      <w:r>
        <w:t xml:space="preserve"/>
      </w:r>
      <w:r>
        <w:t xml:space="preserve"/>
      </w:r>
      <w:r>
        <w:t xml:space="preserve"/>
      </w:r>
      <w:r>
        <w:t xml:space="preserve"/>
      </w:r>
      <w:r>
        <w:t xml:space="preserve"/>
      </w:r>
      <w:hyperlink ns2:id="rId132">
        <w:r>
          <w:rPr>
            <w:rStyle w:val="Hyperlink"/>
          </w:rPr>
          <w:t xml:space="preserve"/>
        </w:r>
      </w:hyperlink>
      <w:r>
        <w:t xml:space="preserve"/>
      </w:r>
      <w:hyperlink ns2:id="rId133">
        <w:r>
          <w:rPr>
            <w:rStyle w:val="Hyperlink"/>
          </w:rPr>
          <w:t xml:space="preserve"/>
        </w:r>
      </w:hyperlink>
      <w:r>
        <w:t xml:space="preserve"/>
      </w:r>
    </w:p>
    <w:bookmarkEnd w:id="134"/>
    <w:bookmarkStart w:id="137" w:name="ref-yutingxiang2024"/>
    <w:p>
      <w:pPr>
        <w:pStyle w:val="59"/>
      </w:pPr>
      <w:r>
        <w:t xml:space="preserve">[32] 	XIANG Y, SHI K, LI Y, et al. Active Micro-Nano-Collaborative Bioelectronic Device for Advanced Electrophysiological Recording[J/OL]. Nano-Micro Letters, 2024. https://link.springer.com/article/10.1007/s40820-024-01336-1? DOI:10.1007/s40820-024-01336-1.</w:t>
      </w:r>
      <w:r>
        <w:t xml:space="preserve"/>
      </w:r>
      <w:r>
        <w:t xml:space="preserve"/>
      </w:r>
      <w:r>
        <w:t xml:space="preserve"/>
      </w:r>
      <w:r>
        <w:t xml:space="preserve"/>
      </w:r>
      <w:r>
        <w:t xml:space="preserve"/>
      </w:r>
      <w:r>
        <w:t xml:space="preserve"/>
      </w:r>
      <w:r>
        <w:t xml:space="preserve"/>
      </w:r>
      <w:hyperlink ns2:id="rId135">
        <w:r>
          <w:rPr>
            <w:rStyle w:val="Hyperlink"/>
          </w:rPr>
          <w:t xml:space="preserve"/>
        </w:r>
      </w:hyperlink>
      <w:r>
        <w:t xml:space="preserve"/>
      </w:r>
      <w:hyperlink ns2:id="rId136">
        <w:r>
          <w:rPr>
            <w:rStyle w:val="Hyperlink"/>
          </w:rPr>
          <w:t xml:space="preserve"/>
        </w:r>
      </w:hyperlink>
      <w:r>
        <w:t xml:space="preserve"/>
      </w:r>
    </w:p>
    <w:bookmarkEnd w:id="137"/>
    <w:bookmarkEnd w:id="138"/>
    <w:bookmarkEnd w:id="139"/>
    <w:sectPr>
      <w:footerReference ns2:id="rId9" w:type="default"/>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ambria Math">
    <w:altName w:val="Kingsoft Math"/>
    <w:panose1 w:val="02040503050406030204"/>
    <w:charset w:val="00"/>
    <w:family w:val="roman"/>
    <w:pitch w:val="default"/>
    <w:sig w:usb0="00000000" w:usb1="00000000" w:usb2="00000000" w:usb3="00000000" w:csb0="0000019F" w:csb1="00000000"/>
  </w:font>
  <w:font w:name="Kingsoft Math">
    <w:panose1 w:val="02040503050406030204"/>
    <w:charset w:val="00"/>
    <w:family w:val="auto"/>
    <w:pitch w:val="default"/>
    <w:sig w:usb0="80000087" w:usb1="00002068" w:usb2="00000000" w:usb3="00000000" w:csb0="2000019F"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8C35">
    <w:pPr>
      <w:jc w:val="center"/>
    </w:pP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AAFC8C6E"/>
    <w:multiLevelType w:val="multilevel"/>
    <w:tmpl w:val="AAFC8C6E"/>
    <w:lvl w:ilvl="0" w:tentative="0">
      <w:start w:val="1"/>
      <w:numFmt w:val="decimal"/>
      <w:pStyle w:val="2"/>
      <w:suff w:val="space"/>
      <w:lvlText w:val="%1."/>
      <w:lvlJc w:val="left"/>
      <w:pPr>
        <w:tabs>
          <w:tab w:pos="418" w:val="left"/>
        </w:tabs>
        <w:ind w:hanging="425" w:left="425"/>
      </w:pPr>
      <w:rPr>
        <w:rFonts w:ascii="Times New Roman" w:cs="Times New Roman" w:eastAsia="Times New Roman" w:hAnsi="Times New Roman"/>
      </w:rPr>
    </w:lvl>
    <w:lvl w:ilvl="1" w:tentative="0">
      <w:start w:val="1"/>
      <w:numFmt w:val="decimal"/>
      <w:pStyle w:val="3"/>
      <w:suff w:val="space"/>
      <w:lvlText w:val="%1.%2."/>
      <w:lvlJc w:val="left"/>
      <w:pPr>
        <w:tabs>
          <w:tab w:pos="418" w:val="left"/>
        </w:tabs>
        <w:ind w:hanging="567" w:left="567"/>
      </w:pPr>
      <w:rPr>
        <w:rFonts w:ascii="Times New Roman" w:cs="Times New Roman" w:eastAsia="Times New Roman" w:hAnsi="Times New Roman"/>
      </w:rPr>
    </w:lvl>
    <w:lvl w:ilvl="2" w:tentative="0">
      <w:start w:val="1"/>
      <w:numFmt w:val="decimal"/>
      <w:pStyle w:val="4"/>
      <w:suff w:val="space"/>
      <w:lvlText w:val="%1.%2.%3."/>
      <w:lvlJc w:val="left"/>
      <w:pPr>
        <w:tabs>
          <w:tab w:pos="418" w:val="left"/>
        </w:tabs>
        <w:ind w:hanging="709" w:left="709"/>
      </w:pPr>
      <w:rPr>
        <w:rFonts w:ascii="Times New Roman" w:cs="Times New Roman" w:eastAsia="Times New Roman" w:hAnsi="Times New Roman"/>
      </w:rPr>
    </w:lvl>
    <w:lvl w:ilvl="3" w:tentative="0">
      <w:start w:val="1"/>
      <w:numFmt w:val="decimal"/>
      <w:lvlText w:val="%1.%2.%3.%4."/>
      <w:lvlJc w:val="left"/>
      <w:pPr>
        <w:tabs>
          <w:tab w:pos="850" w:val="left"/>
        </w:tabs>
        <w:ind w:hanging="850" w:left="850"/>
      </w:pPr>
      <w:rPr>
        <w:rFonts w:ascii="Times New Roman" w:cs="Times New Roman" w:eastAsia="Times New Roman" w:hAnsi="Times New Roman"/>
      </w:rPr>
    </w:lvl>
    <w:lvl w:ilvl="4" w:tentative="0">
      <w:start w:val="1"/>
      <w:numFmt w:val="decimal"/>
      <w:lvlText w:val="%1.%2.%3.%4.%5."/>
      <w:lvlJc w:val="left"/>
      <w:pPr>
        <w:tabs>
          <w:tab w:pos="991" w:val="left"/>
        </w:tabs>
        <w:ind w:hanging="991" w:left="991"/>
      </w:pPr>
      <w:rPr>
        <w:rFonts w:ascii="Times New Roman" w:cs="Times New Roman" w:eastAsia="Times New Roman" w:hAnsi="Times New Roman"/>
      </w:rPr>
    </w:lvl>
    <w:lvl w:ilvl="5" w:tentative="0">
      <w:start w:val="1"/>
      <w:numFmt w:val="decimal"/>
      <w:lvlText w:val="%1.%2.%3.%4.%5.%6."/>
      <w:lvlJc w:val="left"/>
      <w:pPr>
        <w:tabs>
          <w:tab w:pos="1134" w:val="left"/>
        </w:tabs>
        <w:ind w:hanging="1134" w:left="1134"/>
      </w:pPr>
      <w:rPr>
        <w:rFonts w:ascii="Times New Roman" w:cs="Times New Roman" w:eastAsia="Times New Roman" w:hAnsi="Times New Roman"/>
      </w:rPr>
    </w:lvl>
    <w:lvl w:ilvl="6" w:tentative="0">
      <w:start w:val="1"/>
      <w:numFmt w:val="decimal"/>
      <w:lvlText w:val="%1.%2.%3.%4.%5.%6.%7."/>
      <w:lvlJc w:val="left"/>
      <w:pPr>
        <w:tabs>
          <w:tab w:pos="1275" w:val="left"/>
        </w:tabs>
        <w:ind w:hanging="1275" w:left="1275"/>
      </w:pPr>
      <w:rPr>
        <w:rFonts w:ascii="Times New Roman" w:cs="Times New Roman" w:eastAsia="Times New Roman" w:hAnsi="Times New Roman"/>
      </w:rPr>
    </w:lvl>
    <w:lvl w:ilvl="7" w:tentative="0">
      <w:start w:val="1"/>
      <w:numFmt w:val="decimal"/>
      <w:lvlText w:val="%1.%2.%3.%4.%5.%6.%7.%8."/>
      <w:lvlJc w:val="left"/>
      <w:pPr>
        <w:tabs>
          <w:tab w:pos="1418" w:val="left"/>
        </w:tabs>
        <w:ind w:hanging="1418" w:left="1418"/>
      </w:pPr>
      <w:rPr>
        <w:rFonts w:ascii="Times New Roman" w:cs="Times New Roman" w:eastAsia="Times New Roman" w:hAnsi="Times New Roman"/>
      </w:rPr>
    </w:lvl>
    <w:lvl w:ilvl="8" w:tentative="0">
      <w:start w:val="1"/>
      <w:numFmt w:val="decimal"/>
      <w:lvlText w:val="%1.%2.%3.%4.%5.%6.%7.%8.%9."/>
      <w:lvlJc w:val="left"/>
      <w:pPr>
        <w:tabs>
          <w:tab w:pos="1558" w:val="left"/>
        </w:tabs>
        <w:ind w:hanging="1558" w:left="1558"/>
      </w:pPr>
      <w:rPr>
        <w:rFonts w:ascii="Times New Roman" w:cs="Times New Roman" w:eastAsia="Times New Roman" w:hAnsi="Times New Roman"/>
      </w:rPr>
    </w:lvl>
  </w:abstractNum>
  <w:abstractNum w:abstractNumId="1">
    <w:nsid w:val="0000A991"/>
    <w:multiLevelType w:val="multilevel"/>
    <w:tmpl w:val="0000A991"/>
    <w:lvl w:ilvl="0" w:tentative="0">
      <w:start w:val="0"/>
      <w:numFmt w:val="bullet"/>
      <w:lvlText w:val=""/>
      <w:lvlJc w:val="left"/>
      <w:pPr>
        <w:ind w:hanging="360" w:left="720"/>
      </w:pPr>
      <w:rPr>
        <w:rFonts w:ascii="Symbol" w:cs="Symbol" w:hAnsi="Symbol" w:hint="default"/>
      </w:rPr>
    </w:lvl>
    <w:lvl w:ilvl="1" w:tentative="0">
      <w:start w:val="0"/>
      <w:numFmt w:val="bullet"/>
      <w:lvlText w:val="o"/>
      <w:lvlJc w:val="left"/>
      <w:pPr>
        <w:ind w:hanging="360" w:left="1440"/>
      </w:pPr>
      <w:rPr>
        <w:rFonts w:ascii="Times New Roman" w:cs="Times New Roman" w:eastAsia="宋体" w:hAnsi="Times New Roman"/>
      </w:rPr>
    </w:lvl>
    <w:lvl w:ilvl="2" w:tentative="0">
      <w:start w:val="0"/>
      <w:numFmt w:val="bullet"/>
      <w:lvlText w:val=""/>
      <w:lvlJc w:val="left"/>
      <w:pPr>
        <w:ind w:hanging="360" w:left="2160"/>
      </w:pPr>
      <w:rPr>
        <w:rFonts w:ascii="Wingdings" w:cs="Wingdings" w:hAnsi="Wingdings" w:hint="default"/>
      </w:rPr>
    </w:lvl>
    <w:lvl w:ilvl="3" w:tentative="0">
      <w:start w:val="0"/>
      <w:numFmt w:val="bullet"/>
      <w:lvlText w:val=""/>
      <w:lvlJc w:val="left"/>
      <w:pPr>
        <w:ind w:hanging="360" w:left="2880"/>
      </w:pPr>
      <w:rPr>
        <w:rFonts w:ascii="Symbol" w:cs="Symbol" w:hAnsi="Symbol" w:hint="default"/>
      </w:rPr>
    </w:lvl>
    <w:lvl w:ilvl="4" w:tentative="0">
      <w:start w:val="0"/>
      <w:numFmt w:val="bullet"/>
      <w:lvlText w:val="o"/>
      <w:lvlJc w:val="left"/>
      <w:pPr>
        <w:ind w:hanging="360" w:left="3600"/>
      </w:pPr>
      <w:rPr>
        <w:rFonts w:ascii="Times New Roman" w:cs="Times New Roman" w:eastAsia="宋体" w:hAnsi="Times New Roman"/>
      </w:rPr>
    </w:lvl>
    <w:lvl w:ilvl="5" w:tentative="0">
      <w:start w:val="0"/>
      <w:numFmt w:val="bullet"/>
      <w:lvlText w:val=""/>
      <w:lvlJc w:val="left"/>
      <w:pPr>
        <w:ind w:hanging="360" w:left="4320"/>
      </w:pPr>
      <w:rPr>
        <w:rFonts w:ascii="Wingdings" w:cs="Wingdings" w:hAnsi="Wingdings" w:hint="default"/>
      </w:rPr>
    </w:lvl>
    <w:lvl w:ilvl="6" w:tentative="0">
      <w:start w:val="0"/>
      <w:numFmt w:val="bullet"/>
      <w:lvlText w:val=""/>
      <w:lvlJc w:val="left"/>
      <w:pPr>
        <w:ind w:hanging="360" w:left="5040"/>
      </w:pPr>
      <w:rPr>
        <w:rFonts w:ascii="Symbol" w:cs="Symbol" w:hAnsi="Symbol" w:hint="default"/>
      </w:rPr>
    </w:lvl>
    <w:lvl w:ilvl="7" w:tentative="0">
      <w:start w:val="0"/>
      <w:numFmt w:val="bullet"/>
      <w:lvlText w:val="o"/>
      <w:lvlJc w:val="left"/>
      <w:pPr>
        <w:ind w:hanging="360" w:left="5760"/>
      </w:pPr>
      <w:rPr>
        <w:rFonts w:ascii="Times New Roman" w:cs="Times New Roman" w:eastAsia="宋体" w:hAnsi="Times New Roman"/>
      </w:rPr>
    </w:lvl>
    <w:lvl w:ilvl="8" w:tentative="0">
      <w:start w:val="0"/>
      <w:numFmt w:val="bullet"/>
      <w:lvlText w:val=""/>
      <w:lvlJc w:val="left"/>
      <w:pPr>
        <w:ind w:hanging="360" w:left="6480"/>
      </w:pPr>
      <w:rPr>
        <w:rFonts w:ascii="Wingdings" w:cs="Wingdings" w:hAnsi="Wingdings" w:hint="default"/>
      </w:rPr>
    </w:lvl>
  </w:abstractNum>
  <w:abstractNum w:abstractNumId="2">
    <w:nsid w:val="0000A992"/>
    <w:multiLevelType w:val="multilevel"/>
    <w:tmpl w:val="0000A992"/>
    <w:lvl w:ilvl="0" w:tentative="0">
      <w:start w:val="0"/>
      <w:numFmt w:val="bullet"/>
      <w:lvlText w:val="☐"/>
      <w:lvlJc w:val="left"/>
      <w:pPr>
        <w:ind w:hanging="360" w:left="720"/>
      </w:pPr>
    </w:lvl>
    <w:lvl w:ilvl="1" w:tentative="0">
      <w:start w:val="0"/>
      <w:numFmt w:val="bullet"/>
      <w:lvlText w:val="☐"/>
      <w:lvlJc w:val="left"/>
      <w:pPr>
        <w:ind w:hanging="360" w:left="1440"/>
      </w:pPr>
    </w:lvl>
    <w:lvl w:ilvl="2" w:tentative="0">
      <w:start w:val="0"/>
      <w:numFmt w:val="bullet"/>
      <w:lvlText w:val="☐"/>
      <w:lvlJc w:val="left"/>
      <w:pPr>
        <w:ind w:hanging="360" w:left="2160"/>
      </w:pPr>
    </w:lvl>
    <w:lvl w:ilvl="3" w:tentative="0">
      <w:start w:val="0"/>
      <w:numFmt w:val="bullet"/>
      <w:lvlText w:val="☐"/>
      <w:lvlJc w:val="left"/>
      <w:pPr>
        <w:ind w:hanging="360" w:left="2880"/>
      </w:pPr>
    </w:lvl>
    <w:lvl w:ilvl="4" w:tentative="0">
      <w:start w:val="0"/>
      <w:numFmt w:val="bullet"/>
      <w:lvlText w:val="☐"/>
      <w:lvlJc w:val="left"/>
      <w:pPr>
        <w:ind w:hanging="360" w:left="3600"/>
      </w:pPr>
    </w:lvl>
    <w:lvl w:ilvl="5" w:tentative="0">
      <w:start w:val="0"/>
      <w:numFmt w:val="bullet"/>
      <w:lvlText w:val="☐"/>
      <w:lvlJc w:val="left"/>
      <w:pPr>
        <w:ind w:hanging="360" w:left="4320"/>
      </w:pPr>
    </w:lvl>
    <w:lvl w:ilvl="6" w:tentative="0">
      <w:start w:val="0"/>
      <w:numFmt w:val="bullet"/>
      <w:lvlText w:val="☐"/>
      <w:lvlJc w:val="left"/>
      <w:pPr>
        <w:ind w:hanging="360" w:left="5040"/>
      </w:pPr>
    </w:lvl>
    <w:lvl w:ilvl="7" w:tentative="0">
      <w:start w:val="0"/>
      <w:numFmt w:val="bullet"/>
      <w:lvlText w:val="☐"/>
      <w:lvlJc w:val="left"/>
      <w:pPr>
        <w:ind w:hanging="360" w:left="5760"/>
      </w:pPr>
    </w:lvl>
    <w:lvl w:ilvl="8" w:tentative="0">
      <w:start w:val="0"/>
      <w:numFmt w:val="bullet"/>
      <w:lvlText w:val="☐"/>
      <w:lvlJc w:val="left"/>
      <w:pPr>
        <w:ind w:hanging="360" w:left="6480"/>
      </w:pPr>
    </w:lvl>
  </w:abstractNum>
  <w:abstractNum w:abstractNumId="3">
    <w:nsid w:val="0000A993"/>
    <w:multiLevelType w:val="multilevel"/>
    <w:tmpl w:val="0000A993"/>
    <w:lvl w:ilvl="0" w:tentative="0">
      <w:start w:val="0"/>
      <w:numFmt w:val="bullet"/>
      <w:lvlText w:val="☒"/>
      <w:lvlJc w:val="left"/>
      <w:pPr>
        <w:ind w:hanging="360" w:left="720"/>
      </w:pPr>
    </w:lvl>
    <w:lvl w:ilvl="1" w:tentative="0">
      <w:start w:val="0"/>
      <w:numFmt w:val="bullet"/>
      <w:lvlText w:val="☒"/>
      <w:lvlJc w:val="left"/>
      <w:pPr>
        <w:ind w:hanging="360" w:left="1440"/>
      </w:pPr>
    </w:lvl>
    <w:lvl w:ilvl="2" w:tentative="0">
      <w:start w:val="0"/>
      <w:numFmt w:val="bullet"/>
      <w:lvlText w:val="☒"/>
      <w:lvlJc w:val="left"/>
      <w:pPr>
        <w:ind w:hanging="360" w:left="2160"/>
      </w:pPr>
    </w:lvl>
    <w:lvl w:ilvl="3" w:tentative="0">
      <w:start w:val="0"/>
      <w:numFmt w:val="bullet"/>
      <w:lvlText w:val="☒"/>
      <w:lvlJc w:val="left"/>
      <w:pPr>
        <w:ind w:hanging="360" w:left="2880"/>
      </w:pPr>
    </w:lvl>
    <w:lvl w:ilvl="4" w:tentative="0">
      <w:start w:val="0"/>
      <w:numFmt w:val="bullet"/>
      <w:lvlText w:val="☒"/>
      <w:lvlJc w:val="left"/>
      <w:pPr>
        <w:ind w:hanging="360" w:left="3600"/>
      </w:pPr>
    </w:lvl>
    <w:lvl w:ilvl="5" w:tentative="0">
      <w:start w:val="0"/>
      <w:numFmt w:val="bullet"/>
      <w:lvlText w:val="☒"/>
      <w:lvlJc w:val="left"/>
      <w:pPr>
        <w:ind w:hanging="360" w:left="4320"/>
      </w:pPr>
    </w:lvl>
    <w:lvl w:ilvl="6" w:tentative="0">
      <w:start w:val="0"/>
      <w:numFmt w:val="bullet"/>
      <w:lvlText w:val="☒"/>
      <w:lvlJc w:val="left"/>
      <w:pPr>
        <w:ind w:hanging="360" w:left="5040"/>
      </w:pPr>
    </w:lvl>
    <w:lvl w:ilvl="7" w:tentative="0">
      <w:start w:val="0"/>
      <w:numFmt w:val="bullet"/>
      <w:lvlText w:val="☒"/>
      <w:lvlJc w:val="left"/>
      <w:pPr>
        <w:ind w:hanging="360" w:left="5760"/>
      </w:pPr>
    </w:lvl>
    <w:lvl w:ilvl="8" w:tentative="0">
      <w:start w:val="0"/>
      <w:numFmt w:val="bullet"/>
      <w:lvlText w:val="☒"/>
      <w:lvlJc w:val="left"/>
      <w:pPr>
        <w:ind w:hanging="360" w:left="6480"/>
      </w:pPr>
    </w:lvl>
  </w:abstractNum>
  <w:abstractNum w:abstractNumId="4">
    <w:nsid w:val="00A99411"/>
    <w:multiLevelType w:val="multilevel"/>
    <w:tmpl w:val="00A99411"/>
    <w:lvl w:ilvl="0" w:tentative="0">
      <w:start w:val="1"/>
      <w:numFmt w:val="decimal"/>
      <w:lvlText w:val="%1."/>
      <w:lvlJc w:val="left"/>
      <w:pPr>
        <w:ind w:hanging="360" w:left="720"/>
      </w:pPr>
    </w:lvl>
    <w:lvl w:ilvl="1" w:tentative="0">
      <w:start w:val="1"/>
      <w:numFmt w:val="decimal"/>
      <w:lvlText w:val="%2."/>
      <w:lvlJc w:val="left"/>
      <w:pPr>
        <w:ind w:hanging="360" w:left="1440"/>
      </w:pPr>
    </w:lvl>
    <w:lvl w:ilvl="2" w:tentative="0">
      <w:start w:val="1"/>
      <w:numFmt w:val="decimal"/>
      <w:lvlText w:val="%3."/>
      <w:lvlJc w:val="left"/>
      <w:pPr>
        <w:ind w:hanging="360" w:left="2160"/>
      </w:pPr>
    </w:lvl>
    <w:lvl w:ilvl="3" w:tentative="0">
      <w:start w:val="1"/>
      <w:numFmt w:val="decimal"/>
      <w:lvlText w:val="%4."/>
      <w:lvlJc w:val="left"/>
      <w:pPr>
        <w:ind w:hanging="360" w:left="2880"/>
      </w:pPr>
    </w:lvl>
    <w:lvl w:ilvl="4" w:tentative="0">
      <w:start w:val="1"/>
      <w:numFmt w:val="decimal"/>
      <w:lvlText w:val="%5."/>
      <w:lvlJc w:val="left"/>
      <w:pPr>
        <w:ind w:hanging="360" w:left="3600"/>
      </w:pPr>
    </w:lvl>
    <w:lvl w:ilvl="5" w:tentative="0">
      <w:start w:val="1"/>
      <w:numFmt w:val="decimal"/>
      <w:lvlText w:val="%6."/>
      <w:lvlJc w:val="left"/>
      <w:pPr>
        <w:ind w:hanging="360" w:left="4320"/>
      </w:pPr>
    </w:lvl>
    <w:lvl w:ilvl="6" w:tentative="0">
      <w:start w:val="1"/>
      <w:numFmt w:val="decimal"/>
      <w:lvlText w:val="%7."/>
      <w:lvlJc w:val="left"/>
      <w:pPr>
        <w:ind w:hanging="360" w:left="5040"/>
      </w:pPr>
    </w:lvl>
    <w:lvl w:ilvl="7" w:tentative="0">
      <w:start w:val="1"/>
      <w:numFmt w:val="decimal"/>
      <w:lvlText w:val="%8."/>
      <w:lvlJc w:val="left"/>
      <w:pPr>
        <w:ind w:hanging="360" w:left="5760"/>
      </w:pPr>
    </w:lvl>
    <w:lvl w:ilvl="8" w:tentative="0">
      <w:start w:val="1"/>
      <w:numFmt w:val="decimal"/>
      <w:lvlText w:val="%9."/>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1"/>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1000">
    <w:abstractNumId w:val="990"/>
  </w:num>
</w:numbering>
</file>

<file path=word/settings.xml><?xml version="1.0" encoding="utf-8"?>
<w:settings xmlns:ns1="http://schemas.openxmlformats.org/officeDocument/2006/math" xmlns:w="http://schemas.openxmlformats.org/wordprocessingml/2006/main">
  <w:updateFields w:val="true"/>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70"/>
  <w:embedSystemFonts/>
  <w:doNotTrackMoves/>
  <w:defaultTabStop w:val="420"/>
  <w:drawingGridHorizontalSpacing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qFormat="1"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after="0" w:before="0" w:line="360" w:lineRule="auto"/>
      <w:jc w:val="both"/>
    </w:pPr>
    <w:rPr>
      <w:rFonts w:ascii="Times New Roman" w:cs="Times New Roman" w:eastAsia="宋体" w:hAnsi="Times New Roman"/>
      <w:kern w:val="2"/>
      <w:sz w:val="24"/>
      <w:szCs w:val="24"/>
      <w:lang w:bidi="ar-SA" w:eastAsia="zh-CN" w:val="en-US"/>
    </w:rPr>
  </w:style>
  <w:style w:styleId="2" w:type="paragraph">
    <w:name w:val="heading 1"/>
    <w:basedOn w:val="1"/>
    <w:next w:val="1"/>
    <w:link w:val="15"/>
    <w:qFormat/>
    <w:uiPriority w:val="9"/>
    <w:pPr>
      <w:keepNext/>
      <w:keepLines/>
      <w:numPr>
        <w:ilvl w:val="0"/>
        <w:numId w:val="1"/>
      </w:numPr>
      <w:tabs>
        <w:tab w:pos="432" w:val="left"/>
        <w:tab w:pos="418" w:val="clear"/>
      </w:tabs>
      <w:spacing w:after="120" w:before="240" w:line="360" w:lineRule="auto"/>
      <w:outlineLvl w:val="0"/>
    </w:pPr>
    <w:rPr>
      <w:rFonts w:ascii="Times New Roman" w:cs="Times New Roman" w:eastAsia="黑体" w:hAnsi="Times New Roman"/>
      <w:b/>
      <w:bCs/>
      <w:kern w:val="44"/>
      <w:sz w:val="28"/>
      <w:szCs w:val="28"/>
    </w:rPr>
  </w:style>
  <w:style w:styleId="3" w:type="paragraph">
    <w:name w:val="heading 2"/>
    <w:basedOn w:val="1"/>
    <w:next w:val="1"/>
    <w:link w:val="16"/>
    <w:unhideWhenUsed/>
    <w:qFormat/>
    <w:uiPriority w:val="9"/>
    <w:pPr>
      <w:keepNext/>
      <w:keepLines/>
      <w:numPr>
        <w:ilvl w:val="1"/>
        <w:numId w:val="1"/>
      </w:numPr>
      <w:tabs>
        <w:tab w:pos="567" w:val="left"/>
        <w:tab w:pos="418" w:val="clear"/>
      </w:tabs>
      <w:spacing w:after="120" w:before="120" w:line="360" w:lineRule="auto"/>
      <w:outlineLvl w:val="1"/>
    </w:pPr>
    <w:rPr>
      <w:rFonts w:ascii="Times New Roman" w:cs="Times New Roman" w:eastAsia="黑体" w:hAnsi="Times New Roman"/>
      <w:b/>
      <w:bCs/>
      <w:sz w:val="24"/>
      <w:szCs w:val="24"/>
    </w:rPr>
  </w:style>
  <w:style w:styleId="4" w:type="paragraph">
    <w:name w:val="heading 3"/>
    <w:basedOn w:val="1"/>
    <w:next w:val="1"/>
    <w:link w:val="17"/>
    <w:unhideWhenUsed/>
    <w:qFormat/>
    <w:uiPriority w:val="9"/>
    <w:pPr>
      <w:keepNext/>
      <w:keepLines/>
      <w:numPr>
        <w:ilvl w:val="2"/>
        <w:numId w:val="1"/>
      </w:numPr>
      <w:tabs>
        <w:tab w:pos="709" w:val="left"/>
        <w:tab w:pos="418" w:val="clear"/>
      </w:tabs>
      <w:spacing w:after="40" w:before="120" w:line="360" w:lineRule="auto"/>
      <w:outlineLvl w:val="2"/>
    </w:pPr>
    <w:rPr>
      <w:rFonts w:ascii="Times New Roman" w:cs="Times New Roman" w:eastAsia="宋体" w:hAnsi="Times New Roman"/>
      <w:b/>
      <w:bCs/>
      <w:sz w:val="24"/>
      <w:szCs w:val="24"/>
    </w:rPr>
  </w:style>
  <w:style w:styleId="5" w:type="paragraph">
    <w:name w:val="heading 4"/>
    <w:basedOn w:val="1"/>
    <w:next w:val="1"/>
    <w:link w:val="18"/>
    <w:unhideWhenUsed/>
    <w:qFormat/>
    <w:uiPriority w:val="9"/>
    <w:pPr>
      <w:keepNext/>
      <w:keepLines/>
      <w:spacing w:after="290" w:before="280" w:line="376" w:lineRule="auto"/>
      <w:outlineLvl w:val="3"/>
    </w:pPr>
    <w:rPr>
      <w:rFonts w:ascii="Times New Roman" w:cs="Times New Roman" w:eastAsia="黑体" w:hAnsi="Times New Roman"/>
      <w:sz w:val="28"/>
      <w:szCs w:val="28"/>
    </w:rPr>
  </w:style>
  <w:style w:default="1" w:styleId="13" w:type="character">
    <w:name w:val="Default Paragraph Font"/>
    <w:semiHidden/>
    <w:unhideWhenUsed/>
    <w:uiPriority w:val="1"/>
    <w:rPr>
      <w:rFonts w:ascii="Times New Roman" w:cs="Times New Roman" w:eastAsia="宋体" w:hAnsi="Times New Roman"/>
    </w:rPr>
  </w:style>
  <w:style w:default="1" w:styleId="11" w:type="table">
    <w:name w:val="Normal Table"/>
    <w:semiHidden/>
    <w:unhideWhenUsed/>
    <w:uiPriority w:val="99"/>
    <w:rPr>
      <w:rFonts w:ascii="Times New Roman" w:cs="Times New Roman" w:eastAsia="宋体" w:hAnsi="Times New Roman"/>
    </w:rPr>
    <w:tblPr>
      <w:tblCellMar>
        <w:top w:type="dxa" w:w="0"/>
        <w:left w:type="dxa" w:w="108"/>
        <w:bottom w:type="dxa" w:w="0"/>
        <w:right w:type="dxa" w:w="108"/>
      </w:tblCellMar>
    </w:tblPr>
  </w:style>
  <w:style w:styleId="6" w:type="paragraph">
    <w:name w:val="caption"/>
    <w:basedOn w:val="1"/>
    <w:next w:val="1"/>
    <w:unhideWhenUsed/>
    <w:qFormat/>
    <w:uiPriority w:val="35"/>
    <w:pPr>
      <w:jc w:val="center"/>
    </w:pPr>
    <w:rPr>
      <w:rFonts w:ascii="Times New Roman" w:cs="Times New Roman" w:eastAsia="宋体" w:hAnsi="Times New Roman"/>
      <w:sz w:val="20"/>
      <w:szCs w:val="20"/>
    </w:rPr>
  </w:style>
  <w:style w:styleId="7" w:type="paragraph">
    <w:name w:val="Body Text"/>
    <w:basedOn w:val="1"/>
    <w:link w:val="24"/>
    <w:qFormat/>
    <w:uiPriority w:val="0"/>
    <w:pPr>
      <w:spacing w:after="0" w:before="0" w:line="360" w:lineRule="auto"/>
      <w:ind w:firstLine="480"/>
      <w:jc w:val="both"/>
    </w:pPr>
    <w:rPr>
      <w:rFonts w:ascii="Times New Roman" w:cs="Times New Roman" w:eastAsia="宋体" w:hAnsi="Times New Roman"/>
      <w:sz w:val="24"/>
      <w:szCs w:val="24"/>
    </w:rPr>
  </w:style>
  <w:style w:styleId="8" w:type="paragraph">
    <w:name w:val="HTML Preformatted"/>
    <w:basedOn w:val="1"/>
    <w:link w:val="21"/>
    <w:semiHidden/>
    <w:unhideWhenUsed/>
    <w:qFormat/>
    <w:uiPriority w:val="99"/>
    <w:pPr>
      <w:widowControl/>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jc w:val="left"/>
    </w:pPr>
    <w:rPr>
      <w:rFonts w:ascii="Courier New" w:cs="Courier New" w:eastAsia="宋体" w:hAnsi="Courier New"/>
      <w:kern w:val="0"/>
      <w:sz w:val="24"/>
    </w:rPr>
  </w:style>
  <w:style w:styleId="9" w:type="paragraph">
    <w:name w:val="Normal (Web)"/>
    <w:basedOn w:val="1"/>
    <w:semiHidden/>
    <w:unhideWhenUsed/>
    <w:qFormat/>
    <w:uiPriority w:val="99"/>
    <w:rPr>
      <w:rFonts w:ascii="Times New Roman" w:cs="Times New Roman" w:eastAsia="宋体" w:hAnsi="Times New Roman"/>
      <w:sz w:val="24"/>
    </w:rPr>
  </w:style>
  <w:style w:styleId="10" w:type="paragraph">
    <w:name w:val="Title"/>
    <w:basedOn w:val="1"/>
    <w:next w:val="1"/>
    <w:link w:val="14"/>
    <w:qFormat/>
    <w:uiPriority w:val="10"/>
    <w:pPr>
      <w:spacing w:after="240" w:before="0" w:line="360" w:lineRule="auto"/>
      <w:jc w:val="center"/>
      <w:outlineLvl w:val="9"/>
    </w:pPr>
    <w:rPr>
      <w:rFonts w:ascii="Times New Roman" w:cs="Times New Roman" w:eastAsia="黑体" w:hAnsi="Times New Roman"/>
      <w:b/>
      <w:bCs/>
      <w:sz w:val="32"/>
      <w:szCs w:val="32"/>
    </w:rPr>
  </w:style>
  <w:style w:styleId="12" w:type="table">
    <w:name w:val="Table Grid"/>
    <w:basedOn w:val="11"/>
    <w:qFormat/>
    <w:uiPriority w:val="39"/>
    <w:pPr>
      <w:widowControl w:val="0"/>
      <w:autoSpaceDE w:val="0"/>
      <w:autoSpaceDN w:val="0"/>
      <w:adjustRightInd w:val="0"/>
      <w:spacing w:line="312" w:lineRule="exact"/>
    </w:pPr>
    <w:rPr>
      <w:rFonts w:ascii="Times New Roman" w:cs="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4" w:type="character">
    <w:name w:val="Title Char"/>
    <w:basedOn w:val="13"/>
    <w:link w:val="10"/>
    <w:qFormat/>
    <w:uiPriority w:val="10"/>
    <w:rPr>
      <w:rFonts w:ascii="Times New Roman" w:cs="Times New Roman" w:eastAsia="黑体" w:hAnsi="Times New Roman"/>
      <w:sz w:val="32"/>
      <w:szCs w:val="32"/>
    </w:rPr>
  </w:style>
  <w:style w:customStyle="1" w:styleId="15" w:type="character">
    <w:name w:val="Heading 1 Char"/>
    <w:basedOn w:val="13"/>
    <w:link w:val="2"/>
    <w:qFormat/>
    <w:uiPriority w:val="9"/>
    <w:rPr>
      <w:rFonts w:ascii="Times New Roman" w:cs="Times New Roman" w:eastAsia="黑体" w:hAnsi="Times New Roman"/>
      <w:kern w:val="44"/>
      <w:sz w:val="30"/>
      <w:szCs w:val="44"/>
    </w:rPr>
  </w:style>
  <w:style w:customStyle="1" w:styleId="16" w:type="character">
    <w:name w:val="Heading 2 Char"/>
    <w:basedOn w:val="13"/>
    <w:link w:val="3"/>
    <w:qFormat/>
    <w:uiPriority w:val="9"/>
    <w:rPr>
      <w:rFonts w:ascii="Times New Roman" w:cs="Times New Roman" w:eastAsia="黑体" w:hAnsi="Times New Roman"/>
      <w:sz w:val="30"/>
      <w:szCs w:val="32"/>
    </w:rPr>
  </w:style>
  <w:style w:customStyle="1" w:styleId="17" w:type="character">
    <w:name w:val="Heading 3 Char"/>
    <w:basedOn w:val="13"/>
    <w:link w:val="4"/>
    <w:qFormat/>
    <w:uiPriority w:val="9"/>
    <w:rPr>
      <w:rFonts w:ascii="Times New Roman" w:cs="Times New Roman" w:eastAsia="黑体" w:hAnsi="Times New Roman"/>
      <w:sz w:val="28"/>
      <w:szCs w:val="32"/>
    </w:rPr>
  </w:style>
  <w:style w:customStyle="1" w:styleId="18" w:type="character">
    <w:name w:val="Heading 4 Char"/>
    <w:basedOn w:val="13"/>
    <w:link w:val="5"/>
    <w:qFormat/>
    <w:uiPriority w:val="9"/>
    <w:rPr>
      <w:rFonts w:ascii="Times New Roman" w:cs="Times New Roman" w:eastAsia="黑体" w:hAnsi="Times New Roman"/>
      <w:sz w:val="28"/>
      <w:szCs w:val="28"/>
    </w:rPr>
  </w:style>
  <w:style w:customStyle="1" w:styleId="19" w:type="paragraph">
    <w:name w:val="编写建议"/>
    <w:basedOn w:val="1"/>
    <w:qFormat/>
    <w:uiPriority w:val="0"/>
    <w:pPr>
      <w:autoSpaceDE w:val="0"/>
      <w:autoSpaceDN w:val="0"/>
      <w:adjustRightInd w:val="0"/>
      <w:spacing w:line="360" w:lineRule="auto"/>
      <w:ind w:left="1134"/>
    </w:pPr>
    <w:rPr>
      <w:rFonts w:ascii="Times New Roman" w:cs="Times New Roman" w:eastAsia="宋体" w:hAnsi="Times New Roman"/>
      <w:i/>
      <w:color w:val="0000FF"/>
      <w:kern w:val="0"/>
      <w:szCs w:val="20"/>
    </w:rPr>
  </w:style>
  <w:style w:styleId="20" w:type="paragraph">
    <w:name w:val="List Paragraph"/>
    <w:basedOn w:val="1"/>
    <w:qFormat/>
    <w:uiPriority w:val="34"/>
    <w:pPr>
      <w:ind w:firstLine="420" w:firstLineChars="200"/>
    </w:pPr>
    <w:rPr>
      <w:rFonts w:ascii="Times New Roman" w:cs="Times New Roman" w:eastAsia="宋体" w:hAnsi="Times New Roman"/>
    </w:rPr>
  </w:style>
  <w:style w:customStyle="1" w:styleId="21" w:type="character">
    <w:name w:val="HTML Preformatted Char"/>
    <w:basedOn w:val="13"/>
    <w:link w:val="8"/>
    <w:semiHidden/>
    <w:qFormat/>
    <w:uiPriority w:val="99"/>
    <w:rPr>
      <w:rFonts w:ascii="Courier New" w:cs="Courier New" w:eastAsia="宋体" w:hAnsi="Courier New"/>
      <w:kern w:val="0"/>
      <w:sz w:val="24"/>
    </w:rPr>
  </w:style>
  <w:style w:customStyle="1" w:styleId="22" w:type="character">
    <w:name w:val="KeywordTok"/>
    <w:basedOn w:val="23"/>
    <w:qFormat/>
    <w:uiPriority w:val="0"/>
    <w:rPr>
      <w:rFonts w:ascii="Courier New" w:cs="Courier New" w:eastAsia="宋体" w:hAnsi="Courier New"/>
      <w:color w:val="007020"/>
    </w:rPr>
  </w:style>
  <w:style w:customStyle="1" w:styleId="23" w:type="character">
    <w:name w:val="Verbatim Char"/>
    <w:basedOn w:val="24"/>
    <w:link w:val="25"/>
    <w:qFormat/>
    <w:uiPriority w:val="0"/>
    <w:rPr>
      <w:rFonts w:ascii="Courier New" w:cs="Courier New" w:eastAsia="宋体" w:hAnsi="Courier New"/>
      <w:b/>
    </w:rPr>
  </w:style>
  <w:style w:customStyle="1" w:styleId="24" w:type="character">
    <w:name w:val="Body Text Char"/>
    <w:basedOn w:val="13"/>
    <w:link w:val="7"/>
    <w:qFormat/>
    <w:uiPriority w:val="0"/>
    <w:rPr>
      <w:rFonts w:ascii="Times New Roman" w:cs="Times New Roman" w:eastAsia="宋体" w:hAnsi="Times New Roman"/>
    </w:rPr>
  </w:style>
  <w:style w:customStyle="1" w:styleId="25" w:type="paragraph">
    <w:name w:val="Source Code"/>
    <w:basedOn w:val="1"/>
    <w:link w:val="23"/>
    <w:qFormat/>
    <w:uiPriority w:val="0"/>
    <w:pPr>
      <w:wordWrap w:val="0"/>
    </w:pPr>
    <w:rPr>
      <w:rFonts w:ascii="Courier New" w:cs="Courier New" w:eastAsia="宋体" w:hAnsi="Courier New"/>
      <w:b/>
    </w:rPr>
  </w:style>
  <w:style w:customStyle="1" w:styleId="26" w:type="character">
    <w:name w:val="DataTypeTok"/>
    <w:basedOn w:val="23"/>
    <w:qFormat/>
    <w:uiPriority w:val="0"/>
    <w:rPr>
      <w:rFonts w:ascii="Courier New" w:cs="Courier New" w:eastAsia="宋体" w:hAnsi="Courier New"/>
      <w:color w:val="902000"/>
    </w:rPr>
  </w:style>
  <w:style w:customStyle="1" w:styleId="27" w:type="character">
    <w:name w:val="NormalTok"/>
    <w:basedOn w:val="23"/>
    <w:qFormat/>
    <w:uiPriority w:val="0"/>
    <w:rPr>
      <w:rFonts w:ascii="Courier New" w:cs="Courier New" w:eastAsia="宋体" w:hAnsi="Courier New"/>
    </w:rPr>
  </w:style>
  <w:style w:customStyle="1" w:styleId="28" w:type="character">
    <w:name w:val="OperatorTok"/>
    <w:basedOn w:val="23"/>
    <w:qFormat/>
    <w:uiPriority w:val="0"/>
    <w:rPr>
      <w:rFonts w:ascii="Courier New" w:cs="Courier New" w:eastAsia="宋体" w:hAnsi="Courier New"/>
      <w:color w:val="666666"/>
    </w:rPr>
  </w:style>
  <w:style w:customStyle="1" w:styleId="29" w:type="character">
    <w:name w:val="ControlFlowTok"/>
    <w:basedOn w:val="23"/>
    <w:qFormat/>
    <w:uiPriority w:val="0"/>
    <w:rPr>
      <w:rFonts w:ascii="Courier New" w:cs="Courier New" w:eastAsia="宋体" w:hAnsi="Courier New"/>
      <w:color w:val="007020"/>
    </w:rPr>
  </w:style>
  <w:style w:customStyle="1" w:styleId="30" w:type="character">
    <w:name w:val="DecValTok"/>
    <w:basedOn w:val="23"/>
    <w:qFormat/>
    <w:uiPriority w:val="0"/>
    <w:rPr>
      <w:rFonts w:ascii="Courier New" w:cs="Courier New" w:eastAsia="宋体" w:hAnsi="Courier New"/>
      <w:color w:val="40A070"/>
    </w:rPr>
  </w:style>
  <w:style w:customStyle="1" w:styleId="31" w:type="character">
    <w:name w:val="BuiltInTok"/>
    <w:basedOn w:val="23"/>
    <w:qFormat/>
    <w:uiPriority w:val="0"/>
    <w:rPr>
      <w:rFonts w:ascii="Courier New" w:cs="Courier New" w:eastAsia="宋体" w:hAnsi="Courier New"/>
      <w:color w:val="008000"/>
    </w:rPr>
  </w:style>
  <w:style w:customStyle="1" w:styleId="32" w:type="character">
    <w:name w:val="BaseNTok"/>
    <w:basedOn w:val="23"/>
    <w:qFormat/>
    <w:uiPriority w:val="0"/>
    <w:rPr>
      <w:rFonts w:ascii="Courier New" w:cs="Courier New" w:eastAsia="宋体" w:hAnsi="Courier New"/>
      <w:color w:val="40A070"/>
    </w:rPr>
  </w:style>
  <w:style w:customStyle="1" w:styleId="33" w:type="character">
    <w:name w:val="FloatTok"/>
    <w:qFormat/>
    <w:uiPriority w:val="0"/>
    <w:rPr>
      <w:rFonts w:ascii="Courier New" w:cs="Courier New" w:eastAsia="宋体" w:hAnsi="Courier New"/>
      <w:color w:val="40A070"/>
    </w:rPr>
  </w:style>
  <w:style w:customStyle="1" w:styleId="34" w:type="character">
    <w:name w:val="ConstantTok"/>
    <w:qFormat/>
    <w:uiPriority w:val="0"/>
    <w:rPr>
      <w:rFonts w:ascii="Courier New" w:cs="Courier New" w:eastAsia="宋体" w:hAnsi="Courier New"/>
      <w:color w:val="880000"/>
    </w:rPr>
  </w:style>
  <w:style w:customStyle="1" w:styleId="35" w:type="character">
    <w:name w:val="CharTok"/>
    <w:qFormat/>
    <w:uiPriority w:val="0"/>
    <w:rPr>
      <w:rFonts w:ascii="Courier New" w:cs="Courier New" w:eastAsia="宋体" w:hAnsi="Courier New"/>
      <w:color w:val="4070A0"/>
    </w:rPr>
  </w:style>
  <w:style w:customStyle="1" w:styleId="36" w:type="character">
    <w:name w:val="SpecialCharTok"/>
    <w:qFormat/>
    <w:uiPriority w:val="0"/>
    <w:rPr>
      <w:rFonts w:ascii="Courier New" w:cs="Courier New" w:eastAsia="宋体" w:hAnsi="Courier New"/>
      <w:color w:val="4070A0"/>
    </w:rPr>
  </w:style>
  <w:style w:customStyle="1" w:styleId="37" w:type="character">
    <w:name w:val="StringTok"/>
    <w:qFormat/>
    <w:uiPriority w:val="0"/>
    <w:rPr>
      <w:rFonts w:ascii="Courier New" w:cs="Courier New" w:eastAsia="宋体" w:hAnsi="Courier New"/>
      <w:color w:val="4070A0"/>
    </w:rPr>
  </w:style>
  <w:style w:customStyle="1" w:styleId="38" w:type="character">
    <w:name w:val="VerbatimStringTok"/>
    <w:qFormat/>
    <w:uiPriority w:val="0"/>
    <w:rPr>
      <w:rFonts w:ascii="Courier New" w:cs="Courier New" w:eastAsia="宋体" w:hAnsi="Courier New"/>
      <w:color w:val="4070A0"/>
    </w:rPr>
  </w:style>
  <w:style w:customStyle="1" w:styleId="39" w:type="character">
    <w:name w:val="SpecialStringTok"/>
    <w:qFormat/>
    <w:uiPriority w:val="0"/>
    <w:rPr>
      <w:rFonts w:ascii="Courier New" w:cs="Courier New" w:eastAsia="宋体" w:hAnsi="Courier New"/>
      <w:color w:val="BB6688"/>
    </w:rPr>
  </w:style>
  <w:style w:customStyle="1" w:styleId="40" w:type="character">
    <w:name w:val="ImportTok"/>
    <w:qFormat/>
    <w:uiPriority w:val="0"/>
    <w:rPr>
      <w:rFonts w:ascii="Courier New" w:cs="Courier New" w:eastAsia="宋体" w:hAnsi="Courier New"/>
      <w:b/>
      <w:color w:val="008000"/>
    </w:rPr>
  </w:style>
  <w:style w:customStyle="1" w:styleId="41" w:type="character">
    <w:name w:val="CommentTok"/>
    <w:qFormat/>
    <w:uiPriority w:val="0"/>
    <w:rPr>
      <w:rFonts w:ascii="Courier New" w:cs="Courier New" w:eastAsia="宋体" w:hAnsi="Courier New"/>
      <w:i/>
      <w:color w:val="60A0B0"/>
    </w:rPr>
  </w:style>
  <w:style w:customStyle="1" w:styleId="42" w:type="character">
    <w:name w:val="DocumentationTok"/>
    <w:qFormat/>
    <w:uiPriority w:val="0"/>
    <w:rPr>
      <w:rFonts w:ascii="Courier New" w:cs="Courier New" w:eastAsia="宋体" w:hAnsi="Courier New"/>
      <w:i/>
      <w:color w:val="BA2121"/>
    </w:rPr>
  </w:style>
  <w:style w:customStyle="1" w:styleId="43" w:type="character">
    <w:name w:val="AnnotationTok"/>
    <w:qFormat/>
    <w:uiPriority w:val="0"/>
    <w:rPr>
      <w:rFonts w:ascii="Courier New" w:cs="Courier New" w:eastAsia="宋体" w:hAnsi="Courier New"/>
      <w:b/>
      <w:i/>
      <w:color w:val="60A0B0"/>
    </w:rPr>
  </w:style>
  <w:style w:customStyle="1" w:styleId="44" w:type="character">
    <w:name w:val="CommentVarTok"/>
    <w:qFormat/>
    <w:uiPriority w:val="0"/>
    <w:rPr>
      <w:rFonts w:ascii="Courier New" w:cs="Courier New" w:eastAsia="宋体" w:hAnsi="Courier New"/>
      <w:b/>
      <w:i/>
      <w:color w:val="60A0B0"/>
    </w:rPr>
  </w:style>
  <w:style w:customStyle="1" w:styleId="45" w:type="character">
    <w:name w:val="OtherTok"/>
    <w:qFormat/>
    <w:uiPriority w:val="0"/>
    <w:rPr>
      <w:rFonts w:ascii="Courier New" w:cs="Courier New" w:eastAsia="宋体" w:hAnsi="Courier New"/>
      <w:color w:val="007020"/>
    </w:rPr>
  </w:style>
  <w:style w:customStyle="1" w:styleId="46" w:type="character">
    <w:name w:val="FunctionTok"/>
    <w:qFormat/>
    <w:uiPriority w:val="0"/>
    <w:rPr>
      <w:rFonts w:ascii="Courier New" w:cs="Courier New" w:eastAsia="宋体" w:hAnsi="Courier New"/>
      <w:color w:val="06287E"/>
    </w:rPr>
  </w:style>
  <w:style w:customStyle="1" w:styleId="47" w:type="character">
    <w:name w:val="VariableTok"/>
    <w:qFormat/>
    <w:uiPriority w:val="0"/>
    <w:rPr>
      <w:rFonts w:ascii="Courier New" w:cs="Courier New" w:eastAsia="宋体" w:hAnsi="Courier New"/>
      <w:color w:val="19177C"/>
    </w:rPr>
  </w:style>
  <w:style w:customStyle="1" w:styleId="48" w:type="character">
    <w:name w:val="ExtensionTok"/>
    <w:qFormat/>
    <w:uiPriority w:val="0"/>
    <w:rPr>
      <w:rFonts w:ascii="Courier New" w:cs="Courier New" w:eastAsia="宋体" w:hAnsi="Courier New"/>
    </w:rPr>
  </w:style>
  <w:style w:customStyle="1" w:styleId="49" w:type="character">
    <w:name w:val="PreprocessorTok"/>
    <w:qFormat/>
    <w:uiPriority w:val="0"/>
    <w:rPr>
      <w:rFonts w:ascii="Courier New" w:cs="Courier New" w:eastAsia="宋体" w:hAnsi="Courier New"/>
      <w:color w:val="BC7A00"/>
    </w:rPr>
  </w:style>
  <w:style w:customStyle="1" w:styleId="50" w:type="character">
    <w:name w:val="AttributeTok"/>
    <w:qFormat/>
    <w:uiPriority w:val="0"/>
    <w:rPr>
      <w:rFonts w:ascii="Courier New" w:cs="Courier New" w:eastAsia="宋体" w:hAnsi="Courier New"/>
      <w:color w:val="7D9029"/>
    </w:rPr>
  </w:style>
  <w:style w:customStyle="1" w:styleId="51" w:type="character">
    <w:name w:val="RegionMarkerTok"/>
    <w:qFormat/>
    <w:uiPriority w:val="0"/>
    <w:rPr>
      <w:rFonts w:ascii="Courier New" w:cs="Courier New" w:eastAsia="宋体" w:hAnsi="Courier New"/>
    </w:rPr>
  </w:style>
  <w:style w:customStyle="1" w:styleId="52" w:type="character">
    <w:name w:val="InformationTok"/>
    <w:qFormat/>
    <w:uiPriority w:val="0"/>
    <w:rPr>
      <w:rFonts w:ascii="Courier New" w:cs="Courier New" w:eastAsia="宋体" w:hAnsi="Courier New"/>
      <w:b/>
      <w:i/>
      <w:color w:val="60A0B0"/>
    </w:rPr>
  </w:style>
  <w:style w:customStyle="1" w:styleId="53" w:type="character">
    <w:name w:val="WarningTok"/>
    <w:qFormat/>
    <w:uiPriority w:val="0"/>
    <w:rPr>
      <w:rFonts w:ascii="Courier New" w:cs="Courier New" w:eastAsia="宋体" w:hAnsi="Courier New"/>
      <w:b/>
      <w:i/>
      <w:color w:val="60A0B0"/>
    </w:rPr>
  </w:style>
  <w:style w:customStyle="1" w:styleId="54" w:type="character">
    <w:name w:val="AlertTok"/>
    <w:qFormat/>
    <w:uiPriority w:val="0"/>
    <w:rPr>
      <w:rFonts w:ascii="Courier New" w:cs="Courier New" w:eastAsia="宋体" w:hAnsi="Courier New"/>
      <w:b/>
      <w:color w:val="FF0000"/>
    </w:rPr>
  </w:style>
  <w:style w:customStyle="1" w:styleId="55" w:type="character">
    <w:name w:val="ErrorTok"/>
    <w:qFormat/>
    <w:uiPriority w:val="0"/>
    <w:rPr>
      <w:rFonts w:ascii="Courier New" w:cs="Courier New" w:eastAsia="宋体" w:hAnsi="Courier New"/>
      <w:b/>
      <w:color w:val="FF0000"/>
    </w:rPr>
  </w:style>
  <w:style w:customStyle="1" w:styleId="56" w:type="paragraph">
    <w:name w:val="Image Caption"/>
    <w:basedOn w:val="1"/>
    <w:next w:val="1"/>
    <w:uiPriority w:val="0"/>
    <w:pPr>
      <w:spacing w:after="60" w:before="240"/>
      <w:jc w:val="center"/>
      <w:outlineLvl w:val="0"/>
    </w:pPr>
    <w:rPr>
      <w:rFonts w:ascii="Times New Roman" w:cs="Times New Roman" w:eastAsia="宋体" w:hAnsi="Times New Roman"/>
      <w:bCs/>
      <w:sz w:val="20"/>
      <w:szCs w:val="32"/>
    </w:rPr>
  </w:style>
  <w:style w:customStyle="1" w:styleId="57" w:type="paragraph">
    <w:name w:val="Table Caption"/>
    <w:basedOn w:val="1"/>
    <w:next w:val="1"/>
    <w:uiPriority w:val="0"/>
    <w:pPr>
      <w:jc w:val="center"/>
    </w:pPr>
    <w:rPr>
      <w:rFonts w:ascii="Times New Roman" w:cs="Times New Roman" w:eastAsia="宋体" w:hAnsi="Times New Roman"/>
      <w:sz w:val="20"/>
      <w:szCs w:val="20"/>
    </w:rPr>
  </w:style>
  <w:style w:customStyle="1" w:styleId="58" w:type="table">
    <w:name w:val="Table"/>
    <w:basedOn w:val="11"/>
    <w:uiPriority w:val="99"/>
    <w:rPr>
      <w:rFonts w:ascii="Times New Roman" w:cs="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wordWrap/>
        <w:spacing w:after="120" w:afterAutospacing="0" w:afterLines="0" w:before="120" w:beforeAutospacing="0" w:beforeLines="0" w:line="240" w:lineRule="auto"/>
        <w:jc w:val="center"/>
      </w:pPr>
      <w:rPr>
        <w:rFonts w:ascii="Times New Roman" w:cs="Times New Roman" w:eastAsia="宋体" w:hAnsi="Times New Roman"/>
        <w:b/>
        <w:bCs/>
      </w:rPr>
      <w:tcPr>
        <w:shd w:color="auto" w:fill="E7E6E6" w:themeFill="background2" w:val="clear"/>
      </w:tcPr>
    </w:tblStylePr>
  </w:style>
  <w:style w:customStyle="1" w:styleId="59" w:type="paragraph">
    <w:name w:val="Bibliography"/>
    <w:basedOn w:val="1"/>
    <w:uiPriority w:val="0"/>
    <w:pPr>
      <w:spacing w:after="0" w:before="0" w:line="360" w:lineRule="auto"/>
      <w:ind w:hanging="641" w:hangingChars="200" w:left="641"/>
      <w:jc w:val="both"/>
    </w:pPr>
    <w:rPr>
      <w:rFonts w:ascii="Times New Roman" w:cs="Times New Roman" w:eastAsia="宋体" w:hAnsi="Times New Roman"/>
      <w:sz w:val="21"/>
      <w:szCs w:val="21"/>
    </w:rPr>
  </w:style>
  <w:style w:customStyle="1" w:styleId="60" w:type="paragraph">
    <w:name w:val="TOC Heading"/>
    <w:basedOn w:val="10"/>
    <w:next w:val="1"/>
    <w:uiPriority w:val="0"/>
    <w:rPr>
      <w:rFonts w:ascii="Times New Roman" w:cs="Times New Roman" w:eastAsia="黑体" w:hAnsi="Times New Roman"/>
    </w:rPr>
  </w:style>
  <w:style w:customStyle="1" w:styleId="61" w:type="paragraph">
    <w:name w:val="First Paragraph"/>
    <w:basedOn w:val="7"/>
    <w:uiPriority w:val="0"/>
    <w:pPr>
      <w:spacing w:after="0" w:before="0" w:line="360" w:lineRule="auto"/>
      <w:ind w:firstLine="480"/>
      <w:jc w:val="both"/>
    </w:pPr>
    <w:rPr>
      <w:rFonts w:ascii="Times New Roman" w:cs="Times New Roman" w:eastAsia="宋体" w:hAnsi="Times New Roman"/>
      <w:sz w:val="24"/>
      <w:szCs w:val="24"/>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90" Target="http://aip.scitation.org/doi/10.1063/1.3029704" TargetMode="External" /><Relationship Type="http://schemas.openxmlformats.org/officeDocument/2006/relationships/hyperlink" Id="rId78" Target="http://doi.wiley.com/10.1002/smtd.201700071" TargetMode="External" /><Relationship Type="http://schemas.openxmlformats.org/officeDocument/2006/relationships/hyperlink" Id="rId51" Target="http://www.nature.com/articles/nnano.2011.217" TargetMode="External" /><Relationship Type="http://schemas.openxmlformats.org/officeDocument/2006/relationships/hyperlink" Id="rId45" Target="http://www.nature.com/articles/nnano.2012.11" TargetMode="External" /><Relationship Type="http://schemas.openxmlformats.org/officeDocument/2006/relationships/hyperlink" Id="rId114" Target="http://www.nature.com/articles/srep23970" TargetMode="External" /><Relationship Type="http://schemas.openxmlformats.org/officeDocument/2006/relationships/hyperlink" Id="rId75" Target="http://www.tandfonline.com/doi/abs/10.1080/08927020412331308467" TargetMode="External" /><Relationship Type="http://schemas.openxmlformats.org/officeDocument/2006/relationships/hyperlink" Id="rId81" Target="http://xlink.rsc.org/?DOI=C7LC00361G" TargetMode="External" /><Relationship Type="http://schemas.openxmlformats.org/officeDocument/2006/relationships/hyperlink" Id="rId48" Target="http://xlink.rsc.org/?DOI=C8FD00008E" TargetMode="External" /><Relationship Type="http://schemas.openxmlformats.org/officeDocument/2006/relationships/hyperlink" Id="rId129" Target="http://xlink.rsc.org/?DOI=C8FD00023A" TargetMode="External" /><Relationship Type="http://schemas.openxmlformats.org/officeDocument/2006/relationships/hyperlink" Id="rId72" Target="http://xlink.rsc.org/?DOI=C9NR05223B" TargetMode="External" /><Relationship Type="http://schemas.openxmlformats.org/officeDocument/2006/relationships/hyperlink" Id="rId60" Target="http://xlink.rsc.org/?DOI=D1DT00202C" TargetMode="External" /><Relationship Type="http://schemas.openxmlformats.org/officeDocument/2006/relationships/hyperlink" Id="rId66" Target="https://arxiv.org/abs/2504.05466v1" TargetMode="External" /><Relationship Type="http://schemas.openxmlformats.org/officeDocument/2006/relationships/hyperlink" Id="rId79" Target="https://doi.org/10.1002/smtd.201700071" TargetMode="External" /><Relationship Type="http://schemas.openxmlformats.org/officeDocument/2006/relationships/hyperlink" Id="rId94" Target="https://doi.org/10.1007/s00216-020-02820-4" TargetMode="External" /><Relationship Type="http://schemas.openxmlformats.org/officeDocument/2006/relationships/hyperlink" Id="rId136" Target="https://doi.org/10.1007/s40820-024-01336-1" TargetMode="External" /><Relationship Type="http://schemas.openxmlformats.org/officeDocument/2006/relationships/hyperlink" Id="rId103" Target="https://doi.org/10.1016/j.bios.2014.06.048" TargetMode="External" /><Relationship Type="http://schemas.openxmlformats.org/officeDocument/2006/relationships/hyperlink" Id="rId124" Target="https://doi.org/10.1016/j.cell.2006.04.032" TargetMode="External" /><Relationship Type="http://schemas.openxmlformats.org/officeDocument/2006/relationships/hyperlink" Id="rId106" Target="https://doi.org/10.1016/j.jcis.2003.11.025" TargetMode="External" /><Relationship Type="http://schemas.openxmlformats.org/officeDocument/2006/relationships/hyperlink" Id="rId43" Target="https://doi.org/10.1016/j.snb.2020.128706" TargetMode="External" /><Relationship Type="http://schemas.openxmlformats.org/officeDocument/2006/relationships/hyperlink" Id="rId97" Target="https://doi.org/10.1021/acs.analchem.5b02604" TargetMode="External" /><Relationship Type="http://schemas.openxmlformats.org/officeDocument/2006/relationships/hyperlink" Id="rId133" Target="https://doi.org/10.1021/acs.analchem.6b03725" TargetMode="External" /><Relationship Type="http://schemas.openxmlformats.org/officeDocument/2006/relationships/hyperlink" Id="rId121" Target="https://doi.org/10.1021/acsnano.1c08186" TargetMode="External" /><Relationship Type="http://schemas.openxmlformats.org/officeDocument/2006/relationships/hyperlink" Id="rId58" Target="https://doi.org/10.1021/acsnano.1c10734" TargetMode="External" /><Relationship Type="http://schemas.openxmlformats.org/officeDocument/2006/relationships/hyperlink" Id="rId55" Target="https://doi.org/10.1021/acssensors.7b00754" TargetMode="External" /><Relationship Type="http://schemas.openxmlformats.org/officeDocument/2006/relationships/hyperlink" Id="rId85" Target="https://doi.org/10.1021/acssensors.9b02458" TargetMode="External" /><Relationship Type="http://schemas.openxmlformats.org/officeDocument/2006/relationships/hyperlink" Id="rId127" Target="https://doi.org/10.1021/ja809663f" TargetMode="External" /><Relationship Type="http://schemas.openxmlformats.org/officeDocument/2006/relationships/hyperlink" Id="rId52" Target="https://doi.org/10.1038/nnano.2011.217" TargetMode="External" /><Relationship Type="http://schemas.openxmlformats.org/officeDocument/2006/relationships/hyperlink" Id="rId46" Target="https://doi.org/10.1038/nnano.2012.11" TargetMode="External" /><Relationship Type="http://schemas.openxmlformats.org/officeDocument/2006/relationships/hyperlink" Id="rId100" Target="https://doi.org/10.1038/s41565-023-01477-1" TargetMode="External" /><Relationship Type="http://schemas.openxmlformats.org/officeDocument/2006/relationships/hyperlink" Id="rId115" Target="https://doi.org/10.1038/srep23970" TargetMode="External" /><Relationship Type="http://schemas.openxmlformats.org/officeDocument/2006/relationships/hyperlink" Id="rId82" Target="https://doi.org/10.1039/c7lc00361g" TargetMode="External" /><Relationship Type="http://schemas.openxmlformats.org/officeDocument/2006/relationships/hyperlink" Id="rId49" Target="https://doi.org/10.1039/c8fd00008e" TargetMode="External" /><Relationship Type="http://schemas.openxmlformats.org/officeDocument/2006/relationships/hyperlink" Id="rId130" Target="https://doi.org/10.1039/c8fd00023a" TargetMode="External" /><Relationship Type="http://schemas.openxmlformats.org/officeDocument/2006/relationships/hyperlink" Id="rId73" Target="https://doi.org/10.1039/c9nr05223b" TargetMode="External" /><Relationship Type="http://schemas.openxmlformats.org/officeDocument/2006/relationships/hyperlink" Id="rId61" Target="https://doi.org/10.1039/d1dt00202c" TargetMode="External" /><Relationship Type="http://schemas.openxmlformats.org/officeDocument/2006/relationships/hyperlink" Id="rId70" Target="https://doi.org/10.1042/bst20120121" TargetMode="External" /><Relationship Type="http://schemas.openxmlformats.org/officeDocument/2006/relationships/hyperlink" Id="rId91" Target="https://doi.org/10.1063/1.3029704" TargetMode="External" /><Relationship Type="http://schemas.openxmlformats.org/officeDocument/2006/relationships/hyperlink" Id="rId112" Target="https://doi.org/10.1063/5.0139042" TargetMode="External" /><Relationship Type="http://schemas.openxmlformats.org/officeDocument/2006/relationships/hyperlink" Id="rId76" Target="https://doi.org/10.1080/08927020412331308467" TargetMode="External" /><Relationship Type="http://schemas.openxmlformats.org/officeDocument/2006/relationships/hyperlink" Id="rId88" Target="https://doi.org/10.1109/jsen.2020.3034200" TargetMode="External" /><Relationship Type="http://schemas.openxmlformats.org/officeDocument/2006/relationships/hyperlink" Id="rId64" Target="https://doi.org/10.1109/jsen.2025.3551262" TargetMode="External" /><Relationship Type="http://schemas.openxmlformats.org/officeDocument/2006/relationships/hyperlink" Id="rId109" Target="https://doi.org/10.1149/ma2007-01/38/1355" TargetMode="External" /><Relationship Type="http://schemas.openxmlformats.org/officeDocument/2006/relationships/hyperlink" Id="rId118" Target="https://doi.org/10.3390/bios10100140" TargetMode="External" /><Relationship Type="http://schemas.openxmlformats.org/officeDocument/2006/relationships/hyperlink" Id="rId67" Target="https://doi.org/10.48550/arxiv.2504.05466" TargetMode="External" /><Relationship Type="http://schemas.openxmlformats.org/officeDocument/2006/relationships/hyperlink" Id="rId63" Target="https://ieeexplore.ieee.org/document/10944269" TargetMode="External" /><Relationship Type="http://schemas.openxmlformats.org/officeDocument/2006/relationships/hyperlink" Id="rId87" Target="https://ieeexplore.ieee.org/document/9240998/" TargetMode="External" /><Relationship Type="http://schemas.openxmlformats.org/officeDocument/2006/relationships/hyperlink" Id="rId108" Target="https://iopscience.iop.org/article/10.1149/MA2007-01/38/1355" TargetMode="External" /><Relationship Type="http://schemas.openxmlformats.org/officeDocument/2006/relationships/hyperlink" Id="rId93" Target="https://link.springer.com/10.1007/s00216-020-02820-4" TargetMode="External" /><Relationship Type="http://schemas.openxmlformats.org/officeDocument/2006/relationships/hyperlink" Id="rId135" Target="https://link.springer.com/article/10.1007/s40820-024-01336-1?" TargetMode="External" /><Relationship Type="http://schemas.openxmlformats.org/officeDocument/2006/relationships/hyperlink" Id="rId105" Target="https://linkinghub.elsevier.com/retrieve/pii/S0021979703010786" TargetMode="External" /><Relationship Type="http://schemas.openxmlformats.org/officeDocument/2006/relationships/hyperlink" Id="rId123" Target="https://linkinghub.elsevier.com/retrieve/pii/S0092867406005812" TargetMode="External" /><Relationship Type="http://schemas.openxmlformats.org/officeDocument/2006/relationships/hyperlink" Id="rId42" Target="https://linkinghub.elsevier.com/retrieve/pii/S0925400520310534" TargetMode="External" /><Relationship Type="http://schemas.openxmlformats.org/officeDocument/2006/relationships/hyperlink" Id="rId102" Target="https://linkinghub.elsevier.com/retrieve/pii/S0956566314004618" TargetMode="External" /><Relationship Type="http://schemas.openxmlformats.org/officeDocument/2006/relationships/hyperlink" Id="rId69" Target="https://portlandpress.com/biochemsoctrans/article/40/4/624/85659/Solid-state-nanopores-for-biosensing-with" TargetMode="External" /><Relationship Type="http://schemas.openxmlformats.org/officeDocument/2006/relationships/hyperlink" Id="rId96" Target="https://pubs.acs.org/doi/10.1021/acs.analchem.5b02604" TargetMode="External" /><Relationship Type="http://schemas.openxmlformats.org/officeDocument/2006/relationships/hyperlink" Id="rId132" Target="https://pubs.acs.org/doi/10.1021/acs.analchem.6b03725" TargetMode="External" /><Relationship Type="http://schemas.openxmlformats.org/officeDocument/2006/relationships/hyperlink" Id="rId120" Target="https://pubs.acs.org/doi/10.1021/acsnano.1c08186" TargetMode="External" /><Relationship Type="http://schemas.openxmlformats.org/officeDocument/2006/relationships/hyperlink" Id="rId57" Target="https://pubs.acs.org/doi/10.1021/acsnano.1c10734" TargetMode="External" /><Relationship Type="http://schemas.openxmlformats.org/officeDocument/2006/relationships/hyperlink" Id="rId54" Target="https://pubs.acs.org/doi/10.1021/acssensors.7b00754" TargetMode="External" /><Relationship Type="http://schemas.openxmlformats.org/officeDocument/2006/relationships/hyperlink" Id="rId84" Target="https://pubs.acs.org/doi/10.1021/acssensors.9b02458" TargetMode="External" /><Relationship Type="http://schemas.openxmlformats.org/officeDocument/2006/relationships/hyperlink" Id="rId126" Target="https://pubs.acs.org/doi/10.1021/ja809663f" TargetMode="External" /><Relationship Type="http://schemas.openxmlformats.org/officeDocument/2006/relationships/hyperlink" Id="rId111" Target="https://pubs.aip.org/aip/apr/article/2882606" TargetMode="External" /><Relationship Type="http://schemas.openxmlformats.org/officeDocument/2006/relationships/hyperlink" Id="rId117" Target="https://www.mdpi.com/2079-6374/10/10/140" TargetMode="External" /><Relationship Type="http://schemas.openxmlformats.org/officeDocument/2006/relationships/hyperlink" Id="rId99" Target="https://www.nature.com/articles/s41565-023-01477-1?" TargetMode="External" /></Relationships>
</file>

<file path=word/_rels/footnotes.xml.rels><?xml version="1.0" encoding="UTF-8"?><Relationships xmlns="http://schemas.openxmlformats.org/package/2006/relationships"><Relationship Type="http://schemas.openxmlformats.org/officeDocument/2006/relationships/hyperlink" Id="rId90" Target="http://aip.scitation.org/doi/10.1063/1.3029704" TargetMode="External" /><Relationship Type="http://schemas.openxmlformats.org/officeDocument/2006/relationships/hyperlink" Id="rId78" Target="http://doi.wiley.com/10.1002/smtd.201700071" TargetMode="External" /><Relationship Type="http://schemas.openxmlformats.org/officeDocument/2006/relationships/hyperlink" Id="rId51" Target="http://www.nature.com/articles/nnano.2011.217" TargetMode="External" /><Relationship Type="http://schemas.openxmlformats.org/officeDocument/2006/relationships/hyperlink" Id="rId45" Target="http://www.nature.com/articles/nnano.2012.11" TargetMode="External" /><Relationship Type="http://schemas.openxmlformats.org/officeDocument/2006/relationships/hyperlink" Id="rId114" Target="http://www.nature.com/articles/srep23970" TargetMode="External" /><Relationship Type="http://schemas.openxmlformats.org/officeDocument/2006/relationships/hyperlink" Id="rId75" Target="http://www.tandfonline.com/doi/abs/10.1080/08927020412331308467" TargetMode="External" /><Relationship Type="http://schemas.openxmlformats.org/officeDocument/2006/relationships/hyperlink" Id="rId81" Target="http://xlink.rsc.org/?DOI=C7LC00361G" TargetMode="External" /><Relationship Type="http://schemas.openxmlformats.org/officeDocument/2006/relationships/hyperlink" Id="rId48" Target="http://xlink.rsc.org/?DOI=C8FD00008E" TargetMode="External" /><Relationship Type="http://schemas.openxmlformats.org/officeDocument/2006/relationships/hyperlink" Id="rId129" Target="http://xlink.rsc.org/?DOI=C8FD00023A" TargetMode="External" /><Relationship Type="http://schemas.openxmlformats.org/officeDocument/2006/relationships/hyperlink" Id="rId72" Target="http://xlink.rsc.org/?DOI=C9NR05223B" TargetMode="External" /><Relationship Type="http://schemas.openxmlformats.org/officeDocument/2006/relationships/hyperlink" Id="rId60" Target="http://xlink.rsc.org/?DOI=D1DT00202C" TargetMode="External" /><Relationship Type="http://schemas.openxmlformats.org/officeDocument/2006/relationships/hyperlink" Id="rId66" Target="https://arxiv.org/abs/2504.05466v1" TargetMode="External" /><Relationship Type="http://schemas.openxmlformats.org/officeDocument/2006/relationships/hyperlink" Id="rId79" Target="https://doi.org/10.1002/smtd.201700071" TargetMode="External" /><Relationship Type="http://schemas.openxmlformats.org/officeDocument/2006/relationships/hyperlink" Id="rId94" Target="https://doi.org/10.1007/s00216-020-02820-4" TargetMode="External" /><Relationship Type="http://schemas.openxmlformats.org/officeDocument/2006/relationships/hyperlink" Id="rId136" Target="https://doi.org/10.1007/s40820-024-01336-1" TargetMode="External" /><Relationship Type="http://schemas.openxmlformats.org/officeDocument/2006/relationships/hyperlink" Id="rId103" Target="https://doi.org/10.1016/j.bios.2014.06.048" TargetMode="External" /><Relationship Type="http://schemas.openxmlformats.org/officeDocument/2006/relationships/hyperlink" Id="rId124" Target="https://doi.org/10.1016/j.cell.2006.04.032" TargetMode="External" /><Relationship Type="http://schemas.openxmlformats.org/officeDocument/2006/relationships/hyperlink" Id="rId106" Target="https://doi.org/10.1016/j.jcis.2003.11.025" TargetMode="External" /><Relationship Type="http://schemas.openxmlformats.org/officeDocument/2006/relationships/hyperlink" Id="rId43" Target="https://doi.org/10.1016/j.snb.2020.128706" TargetMode="External" /><Relationship Type="http://schemas.openxmlformats.org/officeDocument/2006/relationships/hyperlink" Id="rId97" Target="https://doi.org/10.1021/acs.analchem.5b02604" TargetMode="External" /><Relationship Type="http://schemas.openxmlformats.org/officeDocument/2006/relationships/hyperlink" Id="rId133" Target="https://doi.org/10.1021/acs.analchem.6b03725" TargetMode="External" /><Relationship Type="http://schemas.openxmlformats.org/officeDocument/2006/relationships/hyperlink" Id="rId121" Target="https://doi.org/10.1021/acsnano.1c08186" TargetMode="External" /><Relationship Type="http://schemas.openxmlformats.org/officeDocument/2006/relationships/hyperlink" Id="rId58" Target="https://doi.org/10.1021/acsnano.1c10734" TargetMode="External" /><Relationship Type="http://schemas.openxmlformats.org/officeDocument/2006/relationships/hyperlink" Id="rId55" Target="https://doi.org/10.1021/acssensors.7b00754" TargetMode="External" /><Relationship Type="http://schemas.openxmlformats.org/officeDocument/2006/relationships/hyperlink" Id="rId85" Target="https://doi.org/10.1021/acssensors.9b02458" TargetMode="External" /><Relationship Type="http://schemas.openxmlformats.org/officeDocument/2006/relationships/hyperlink" Id="rId127" Target="https://doi.org/10.1021/ja809663f" TargetMode="External" /><Relationship Type="http://schemas.openxmlformats.org/officeDocument/2006/relationships/hyperlink" Id="rId52" Target="https://doi.org/10.1038/nnano.2011.217" TargetMode="External" /><Relationship Type="http://schemas.openxmlformats.org/officeDocument/2006/relationships/hyperlink" Id="rId46" Target="https://doi.org/10.1038/nnano.2012.11" TargetMode="External" /><Relationship Type="http://schemas.openxmlformats.org/officeDocument/2006/relationships/hyperlink" Id="rId100" Target="https://doi.org/10.1038/s41565-023-01477-1" TargetMode="External" /><Relationship Type="http://schemas.openxmlformats.org/officeDocument/2006/relationships/hyperlink" Id="rId115" Target="https://doi.org/10.1038/srep23970" TargetMode="External" /><Relationship Type="http://schemas.openxmlformats.org/officeDocument/2006/relationships/hyperlink" Id="rId82" Target="https://doi.org/10.1039/c7lc00361g" TargetMode="External" /><Relationship Type="http://schemas.openxmlformats.org/officeDocument/2006/relationships/hyperlink" Id="rId49" Target="https://doi.org/10.1039/c8fd00008e" TargetMode="External" /><Relationship Type="http://schemas.openxmlformats.org/officeDocument/2006/relationships/hyperlink" Id="rId130" Target="https://doi.org/10.1039/c8fd00023a" TargetMode="External" /><Relationship Type="http://schemas.openxmlformats.org/officeDocument/2006/relationships/hyperlink" Id="rId73" Target="https://doi.org/10.1039/c9nr05223b" TargetMode="External" /><Relationship Type="http://schemas.openxmlformats.org/officeDocument/2006/relationships/hyperlink" Id="rId61" Target="https://doi.org/10.1039/d1dt00202c" TargetMode="External" /><Relationship Type="http://schemas.openxmlformats.org/officeDocument/2006/relationships/hyperlink" Id="rId70" Target="https://doi.org/10.1042/bst20120121" TargetMode="External" /><Relationship Type="http://schemas.openxmlformats.org/officeDocument/2006/relationships/hyperlink" Id="rId91" Target="https://doi.org/10.1063/1.3029704" TargetMode="External" /><Relationship Type="http://schemas.openxmlformats.org/officeDocument/2006/relationships/hyperlink" Id="rId112" Target="https://doi.org/10.1063/5.0139042" TargetMode="External" /><Relationship Type="http://schemas.openxmlformats.org/officeDocument/2006/relationships/hyperlink" Id="rId76" Target="https://doi.org/10.1080/08927020412331308467" TargetMode="External" /><Relationship Type="http://schemas.openxmlformats.org/officeDocument/2006/relationships/hyperlink" Id="rId88" Target="https://doi.org/10.1109/jsen.2020.3034200" TargetMode="External" /><Relationship Type="http://schemas.openxmlformats.org/officeDocument/2006/relationships/hyperlink" Id="rId64" Target="https://doi.org/10.1109/jsen.2025.3551262" TargetMode="External" /><Relationship Type="http://schemas.openxmlformats.org/officeDocument/2006/relationships/hyperlink" Id="rId109" Target="https://doi.org/10.1149/ma2007-01/38/1355" TargetMode="External" /><Relationship Type="http://schemas.openxmlformats.org/officeDocument/2006/relationships/hyperlink" Id="rId118" Target="https://doi.org/10.3390/bios10100140" TargetMode="External" /><Relationship Type="http://schemas.openxmlformats.org/officeDocument/2006/relationships/hyperlink" Id="rId67" Target="https://doi.org/10.48550/arxiv.2504.05466" TargetMode="External" /><Relationship Type="http://schemas.openxmlformats.org/officeDocument/2006/relationships/hyperlink" Id="rId63" Target="https://ieeexplore.ieee.org/document/10944269" TargetMode="External" /><Relationship Type="http://schemas.openxmlformats.org/officeDocument/2006/relationships/hyperlink" Id="rId87" Target="https://ieeexplore.ieee.org/document/9240998/" TargetMode="External" /><Relationship Type="http://schemas.openxmlformats.org/officeDocument/2006/relationships/hyperlink" Id="rId108" Target="https://iopscience.iop.org/article/10.1149/MA2007-01/38/1355" TargetMode="External" /><Relationship Type="http://schemas.openxmlformats.org/officeDocument/2006/relationships/hyperlink" Id="rId93" Target="https://link.springer.com/10.1007/s00216-020-02820-4" TargetMode="External" /><Relationship Type="http://schemas.openxmlformats.org/officeDocument/2006/relationships/hyperlink" Id="rId135" Target="https://link.springer.com/article/10.1007/s40820-024-01336-1?" TargetMode="External" /><Relationship Type="http://schemas.openxmlformats.org/officeDocument/2006/relationships/hyperlink" Id="rId105" Target="https://linkinghub.elsevier.com/retrieve/pii/S0021979703010786" TargetMode="External" /><Relationship Type="http://schemas.openxmlformats.org/officeDocument/2006/relationships/hyperlink" Id="rId123" Target="https://linkinghub.elsevier.com/retrieve/pii/S0092867406005812" TargetMode="External" /><Relationship Type="http://schemas.openxmlformats.org/officeDocument/2006/relationships/hyperlink" Id="rId42" Target="https://linkinghub.elsevier.com/retrieve/pii/S0925400520310534" TargetMode="External" /><Relationship Type="http://schemas.openxmlformats.org/officeDocument/2006/relationships/hyperlink" Id="rId102" Target="https://linkinghub.elsevier.com/retrieve/pii/S0956566314004618" TargetMode="External" /><Relationship Type="http://schemas.openxmlformats.org/officeDocument/2006/relationships/hyperlink" Id="rId69" Target="https://portlandpress.com/biochemsoctrans/article/40/4/624/85659/Solid-state-nanopores-for-biosensing-with" TargetMode="External" /><Relationship Type="http://schemas.openxmlformats.org/officeDocument/2006/relationships/hyperlink" Id="rId96" Target="https://pubs.acs.org/doi/10.1021/acs.analchem.5b02604" TargetMode="External" /><Relationship Type="http://schemas.openxmlformats.org/officeDocument/2006/relationships/hyperlink" Id="rId132" Target="https://pubs.acs.org/doi/10.1021/acs.analchem.6b03725" TargetMode="External" /><Relationship Type="http://schemas.openxmlformats.org/officeDocument/2006/relationships/hyperlink" Id="rId120" Target="https://pubs.acs.org/doi/10.1021/acsnano.1c08186" TargetMode="External" /><Relationship Type="http://schemas.openxmlformats.org/officeDocument/2006/relationships/hyperlink" Id="rId57" Target="https://pubs.acs.org/doi/10.1021/acsnano.1c10734" TargetMode="External" /><Relationship Type="http://schemas.openxmlformats.org/officeDocument/2006/relationships/hyperlink" Id="rId54" Target="https://pubs.acs.org/doi/10.1021/acssensors.7b00754" TargetMode="External" /><Relationship Type="http://schemas.openxmlformats.org/officeDocument/2006/relationships/hyperlink" Id="rId84" Target="https://pubs.acs.org/doi/10.1021/acssensors.9b02458" TargetMode="External" /><Relationship Type="http://schemas.openxmlformats.org/officeDocument/2006/relationships/hyperlink" Id="rId126" Target="https://pubs.acs.org/doi/10.1021/ja809663f" TargetMode="External" /><Relationship Type="http://schemas.openxmlformats.org/officeDocument/2006/relationships/hyperlink" Id="rId111" Target="https://pubs.aip.org/aip/apr/article/2882606" TargetMode="External" /><Relationship Type="http://schemas.openxmlformats.org/officeDocument/2006/relationships/hyperlink" Id="rId117" Target="https://www.mdpi.com/2079-6374/10/10/140" TargetMode="External" /><Relationship Type="http://schemas.openxmlformats.org/officeDocument/2006/relationships/hyperlink" Id="rId99" Target="https://www.nature.com/articles/s41565-023-01477-1?"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黑体"/>
        <a:cs typeface=""/>
        <a:font script="Jpan" typeface="Times New Roman"/>
        <a:font script="Hang" typeface="Times New Roman"/>
        <a:font script="Hans" typeface="黑体"/>
        <a:font script="Hant" typeface="Times New Roman"/>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Times New Roman"/>
        <a:font script="Hang" typeface="Times New Roman"/>
        <a:font script="Hans" typeface="宋体"/>
        <a:font script="Hant" typeface="Times New Roman"/>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347</Words>
  <Characters>1979</Characters>
  <Lines>16</Lines>
  <Paragraphs>4</Paragraphs>
  <TotalTime>0</TotalTime>
  <ScaleCrop>false</ScaleCrop>
  <LinksUpToDate>false</LinksUpToDate>
  <CharactersWithSpaces>2322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固态纳米孔气相传感：从液相到气相的范式迁移与毫秒级时域动态识别</dc:title>
  <dc:creator/>
  <cp:keywords/>
  <dcterms:created xsi:type="dcterms:W3CDTF">2026-06-18T10:30:21Z</dcterms:created>
  <dcterms:modified xsi:type="dcterms:W3CDTF">2026-06-18T10:30:21Z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/bohr-workspace/references.bib</vt:lpwstr>
  </property>
  <property fmtid="{D5CDD505-2E9C-101B-9397-08002B2CF9AE}" pid="3" name="csl">
    <vt:lpwstr>/data/skills/surveymaster-export/csl/china-national-standard-gb-t-7714-2015-numeric.csl</vt:lpwstr>
  </property>
  <property fmtid="{D5CDD505-2E9C-101B-9397-08002B2CF9AE}" pid="4" name="reference-section-title">
    <vt:lpwstr>参考文献</vt:lpwstr>
  </property>
  <property fmtid="{D5CDD505-2E9C-101B-9397-08002B2CF9AE}" pid="5" name="toc-title">
    <vt:lpwstr>目录</vt:lpwstr>
  </property>
</Properties>
</file>