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C1D5" w14:textId="572BF5A7" w:rsidR="00F84757" w:rsidRPr="00F84757" w:rsidRDefault="00F84757" w:rsidP="00F84757">
      <w:pPr>
        <w:widowControl/>
        <w:spacing w:before="100" w:beforeAutospacing="1" w:after="100" w:afterAutospacing="1"/>
        <w:jc w:val="left"/>
        <w:outlineLvl w:val="0"/>
        <w:rPr>
          <w:rFonts w:ascii="Times New Roman" w:eastAsia="宋体" w:hAnsi="Times New Roman" w:cs="Times New Roman"/>
          <w:b/>
          <w:bCs/>
          <w:kern w:val="36"/>
          <w:sz w:val="36"/>
          <w:szCs w:val="36"/>
        </w:rPr>
      </w:pPr>
      <w:r w:rsidRPr="00F84757">
        <w:rPr>
          <w:rFonts w:ascii="Times New Roman" w:eastAsia="宋体" w:hAnsi="Times New Roman" w:cs="Times New Roman"/>
          <w:b/>
          <w:bCs/>
          <w:kern w:val="36"/>
          <w:sz w:val="36"/>
          <w:szCs w:val="36"/>
        </w:rPr>
        <w:t>Region-Aware Cross-Condition Electrochemical Parameter Identification of High-Capacity Lithium-Ion Battery Through Sequential Global-Local Optimization</w:t>
      </w:r>
    </w:p>
    <w:p w14:paraId="2336EE0F" w14:textId="77777777" w:rsidR="00F84757" w:rsidRPr="00F84757" w:rsidRDefault="00F84757" w:rsidP="00F84757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1. Introduction</w:t>
      </w:r>
    </w:p>
    <w:p w14:paraId="0D577B96" w14:textId="77777777" w:rsidR="00F84757" w:rsidRPr="00F84757" w:rsidRDefault="00F84757" w:rsidP="00F847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Background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The identification of electrochemical parameters in lithium-ion batteries (LIBs) is crucial for optimizing battery performance, particularly for high-capacity cells (&gt;200Ah). This section elaborates on the current challenges of parameter identification, especially for large cells, and their impact on battery modeling accuracy and reliability.</w:t>
      </w:r>
    </w:p>
    <w:p w14:paraId="702CDD91" w14:textId="77777777" w:rsidR="00F84757" w:rsidRPr="00F84757" w:rsidRDefault="00F84757" w:rsidP="00F847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Literature Review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43CE6BC" w14:textId="77777777" w:rsidR="00F84757" w:rsidRPr="00F84757" w:rsidRDefault="00F84757" w:rsidP="00F8475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Physical Experiment Methods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Discuss invasive techniques like Ecker et al. (2008) and Schmalstieg et al. (2018) that require cell disassembly, highlighting their limitations in accuracy, expense, and time consumption.</w:t>
      </w:r>
    </w:p>
    <w:p w14:paraId="2F6C72DE" w14:textId="77777777" w:rsidR="00F84757" w:rsidRPr="00F84757" w:rsidRDefault="00F84757" w:rsidP="00F8475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Gradient-Based Methods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Review methods like Levenberg-Marquardt (Santhanagopalan et al., 2008) and Gauss-Newton, emphasizing their susceptibility to local minima in the complex parameter landscape.</w:t>
      </w:r>
    </w:p>
    <w:p w14:paraId="6E7F8DCE" w14:textId="77777777" w:rsidR="00F84757" w:rsidRPr="00F84757" w:rsidRDefault="00F84757" w:rsidP="00F8475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Meta-heuristic Approaches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Critically assess Genetic Algorithms (Forman et al., 2012), Particle Swarm Optimization (Rahman et al., 2016), and Cuckoo Search, noting their computational expense and convergence issues for large parameter sets.</w:t>
      </w:r>
    </w:p>
    <w:p w14:paraId="2E700BE7" w14:textId="77777777" w:rsidR="00F84757" w:rsidRPr="00F84757" w:rsidRDefault="00F84757" w:rsidP="00F8475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Bayesian Methods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Review recent work on Bayesian parameter identification (Kim et al., 2023), highlighting limitations in handling multiple C-rate conditions simultaneously.</w:t>
      </w:r>
    </w:p>
    <w:p w14:paraId="1B855E55" w14:textId="77777777" w:rsidR="00F84757" w:rsidRPr="00F84757" w:rsidRDefault="00F84757" w:rsidP="00F8475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Data-Driven Optimization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Analyze frameworks like those proposed by Lai et al. (2021), focusing on their limitations for high-capacity cells.</w:t>
      </w:r>
    </w:p>
    <w:p w14:paraId="6680AC4E" w14:textId="77777777" w:rsidR="00F84757" w:rsidRPr="00F84757" w:rsidRDefault="00F84757" w:rsidP="00F847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Research Gap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Despite advances in parameter identification methods, there remains a significant gap in methodologies specifically tailored for high-capacity batteries (&gt;200Ah), which exhibit unique electrochemical behaviors. Current approaches fail to achieve consistent accuracy across multiple C-rates and lack efficient convergence for the complex parameter spaces of these large cells.</w:t>
      </w:r>
    </w:p>
    <w:p w14:paraId="715F2CD6" w14:textId="77777777" w:rsidR="00F84757" w:rsidRPr="00F84757" w:rsidRDefault="00F84757" w:rsidP="00F847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Innovation Points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B47FB49" w14:textId="77777777" w:rsidR="00F84757" w:rsidRPr="00F84757" w:rsidRDefault="00F84757" w:rsidP="00F8475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First comprehensive parameter identification framework specifically for high-capacity (280Ah) LIBs</w:t>
      </w:r>
    </w:p>
    <w:p w14:paraId="43800EF0" w14:textId="77777777" w:rsidR="00F84757" w:rsidRPr="00F84757" w:rsidRDefault="00F84757" w:rsidP="00F8475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Novel cross-condition min-max optimization approach ensuring robustness across multiple discharge rates</w:t>
      </w:r>
    </w:p>
    <w:p w14:paraId="22C9EAED" w14:textId="77777777" w:rsidR="00F84757" w:rsidRPr="00F84757" w:rsidRDefault="00F84757" w:rsidP="00F8475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Region-aware sequential global-local optimization that strategically transitions between exploration and exploitation</w:t>
      </w:r>
    </w:p>
    <w:p w14:paraId="1D719EB0" w14:textId="24DC4073" w:rsidR="00F84757" w:rsidRDefault="00F84757" w:rsidP="00F847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Paper Structure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Expanded outline of subsequent sections with emphasis on methodological innovations</w:t>
      </w:r>
    </w:p>
    <w:p w14:paraId="30A1340D" w14:textId="329C675F" w:rsidR="00C87E78" w:rsidRPr="00F84757" w:rsidRDefault="00C87E78" w:rsidP="00F847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为什么要进行贝叶斯优化与局部最优的协同：首先贝叶斯优化不能保证最后迭代算出解的局部最优性，所以需要加一个局部最优的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local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算法确保局部最优。</w:t>
      </w:r>
    </w:p>
    <w:p w14:paraId="2AE18148" w14:textId="77777777" w:rsidR="00F84757" w:rsidRPr="00F84757" w:rsidRDefault="00F84757" w:rsidP="00F84757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2. Doyle-Fuller-Newman (DFN) Model Development</w:t>
      </w:r>
    </w:p>
    <w:p w14:paraId="28297B9A" w14:textId="77777777" w:rsidR="00F84757" w:rsidRPr="00F84757" w:rsidRDefault="00F84757" w:rsidP="00F847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lastRenderedPageBreak/>
        <w:t>Theoretical Foundation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Comprehensive presentation of the governing equations of the DFN model with specific emphasis on adaptations required for high-capacity cells</w:t>
      </w:r>
    </w:p>
    <w:p w14:paraId="5A77919E" w14:textId="77777777" w:rsidR="00F84757" w:rsidRPr="00F84757" w:rsidRDefault="00F84757" w:rsidP="00F8475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Mass conservation equations with consideration of large electrode thickness effects</w:t>
      </w:r>
    </w:p>
    <w:p w14:paraId="381A4FF6" w14:textId="77777777" w:rsidR="00F84757" w:rsidRPr="00F84757" w:rsidRDefault="00F84757" w:rsidP="00F8475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Modified charge conservation equations accounting for high-capacity cell-specific phenomena</w:t>
      </w:r>
    </w:p>
    <w:p w14:paraId="647A69FB" w14:textId="77777777" w:rsidR="00F84757" w:rsidRPr="00F84757" w:rsidRDefault="00F84757" w:rsidP="00F8475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Enhanced Butler-Volmer kinetics formulation for high-current applications</w:t>
      </w:r>
    </w:p>
    <w:p w14:paraId="4740A550" w14:textId="77777777" w:rsidR="00F84757" w:rsidRPr="00F84757" w:rsidRDefault="00F84757" w:rsidP="00F8475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Comprehensive thermal modeling crucial for large-format cells</w:t>
      </w:r>
    </w:p>
    <w:p w14:paraId="1612D3D1" w14:textId="77777777" w:rsidR="00F84757" w:rsidRPr="00F84757" w:rsidRDefault="00F84757" w:rsidP="00F847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Model Implementation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Detailed implementation using the PyBaMM framework with custom modifications for high-capacity cells</w:t>
      </w:r>
    </w:p>
    <w:p w14:paraId="6B54C606" w14:textId="77777777" w:rsidR="00F84757" w:rsidRPr="00F84757" w:rsidRDefault="00F84757" w:rsidP="00F847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Boundary and Initial Conditions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Specialized formulations for different discharge rates with particular attention to boundary effects in large cells</w:t>
      </w:r>
    </w:p>
    <w:p w14:paraId="2E3DD0DD" w14:textId="77777777" w:rsidR="00F84757" w:rsidRPr="00F84757" w:rsidRDefault="00F84757" w:rsidP="00F847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Parameters Categorization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Systematic classification of parameters into electrochemical, transport, geometric, and thermal groups, highlighting their physical significance and interdependencies in high-capacity cells</w:t>
      </w:r>
    </w:p>
    <w:p w14:paraId="14826B5B" w14:textId="77777777" w:rsidR="00F84757" w:rsidRPr="00F84757" w:rsidRDefault="00F84757" w:rsidP="00F84757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3. Sensitivity Analysis</w:t>
      </w:r>
    </w:p>
    <w:p w14:paraId="6A5D36F5" w14:textId="77777777" w:rsidR="00F84757" w:rsidRPr="00F84757" w:rsidRDefault="00F84757" w:rsidP="00F8475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Advanced Sensitivity Framework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Implementation of global Sobol sensitivity analysis with special attention to computational efficiency for high-dimensional parameter spaces</w:t>
      </w:r>
    </w:p>
    <w:p w14:paraId="151237FD" w14:textId="77777777" w:rsidR="00F84757" w:rsidRPr="00F84757" w:rsidRDefault="00F84757" w:rsidP="00F8475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Multi-rate Sensitivity Analysis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Novel approach examining parameter sensitivity across different C-rates simultaneously</w:t>
      </w:r>
    </w:p>
    <w:p w14:paraId="76FA965C" w14:textId="77777777" w:rsidR="00F84757" w:rsidRPr="00F84757" w:rsidRDefault="00F84757" w:rsidP="00F8475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Parameter Interaction Analysis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Investigation of parameter interactions and their impact on model outputs</w:t>
      </w:r>
    </w:p>
    <w:p w14:paraId="06674322" w14:textId="77777777" w:rsidR="00F84757" w:rsidRPr="00F84757" w:rsidRDefault="00F84757" w:rsidP="00F8475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Sensitivity-Based Parameter Prioritization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Development of a hierarchical parameter selection strategy based on cross-rate sensitivity significance</w:t>
      </w:r>
    </w:p>
    <w:p w14:paraId="42871EA2" w14:textId="77777777" w:rsidR="00F84757" w:rsidRPr="00F84757" w:rsidRDefault="00F84757" w:rsidP="00F8475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Sensitivity Visualization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Advanced visualization techniques to interpret complex sensitivity relationships</w:t>
      </w:r>
    </w:p>
    <w:p w14:paraId="54AEF7EE" w14:textId="77777777" w:rsidR="00F84757" w:rsidRPr="00F84757" w:rsidRDefault="00F84757" w:rsidP="00F8475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Cross-Condition Sensitivity Dynamics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Analysis of how sensitivity patterns shift with changing discharge conditions, with implications for robust parameter identification</w:t>
      </w:r>
    </w:p>
    <w:p w14:paraId="576A3F73" w14:textId="77777777" w:rsidR="00F84757" w:rsidRPr="00F84757" w:rsidRDefault="00F84757" w:rsidP="00F84757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4. Region-Aware Min-Max Optimization Algorithm</w:t>
      </w:r>
    </w:p>
    <w:p w14:paraId="2210FE63" w14:textId="77777777" w:rsidR="00F84757" w:rsidRPr="00F84757" w:rsidRDefault="00F84757" w:rsidP="00F847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Problem Formulation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0FBED1E" w14:textId="25260BCD" w:rsidR="00F84757" w:rsidRPr="00F84757" w:rsidRDefault="00F84757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Development of a multi-objective function that minimizes RMSE across different C-rates</w:t>
      </w:r>
      <w:r w:rsidR="00D30D81">
        <w:rPr>
          <w:rFonts w:ascii="Times New Roman" w:eastAsia="宋体" w:hAnsi="Times New Roman" w:cs="Times New Roman"/>
          <w:kern w:val="0"/>
          <w:sz w:val="24"/>
          <w:szCs w:val="24"/>
        </w:rPr>
        <w:t xml:space="preserve"> (0.1C 0.2C 0.33C 1C)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simultaneously</w:t>
      </w:r>
    </w:p>
    <w:p w14:paraId="12EBA64E" w14:textId="3482C117" w:rsidR="00F84757" w:rsidRPr="00451D6D" w:rsidRDefault="00F84757" w:rsidP="00451D6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Introduction of novel min-max optimization formulation to ensure cross-condition robustness</w:t>
      </w:r>
      <w:r w:rsidR="00D30D81">
        <w:rPr>
          <w:rFonts w:ascii="Times New Roman" w:eastAsia="宋体" w:hAnsi="Times New Roman" w:cs="Times New Roman"/>
          <w:kern w:val="0"/>
          <w:sz w:val="24"/>
          <w:szCs w:val="24"/>
        </w:rPr>
        <w:t xml:space="preserve"> (minimize the Max RMSE under four condition)</w:t>
      </w:r>
    </w:p>
    <w:p w14:paraId="3C3B90CE" w14:textId="25EBADD4" w:rsidR="00451D6D" w:rsidRPr="00F84757" w:rsidRDefault="00451D6D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51D6D">
        <w:rPr>
          <w:rFonts w:ascii="Times New Roman" w:eastAsia="宋体" w:hAnsi="Times New Roman" w:cs="Times New Roman"/>
          <w:kern w:val="0"/>
          <w:sz w:val="24"/>
          <w:szCs w:val="24"/>
        </w:rPr>
        <w:t xml:space="preserve">Add hard constraints to key </w:t>
      </w:r>
      <w:r w:rsidR="00E24F34">
        <w:rPr>
          <w:rFonts w:ascii="Times New Roman" w:eastAsia="宋体" w:hAnsi="Times New Roman" w:cs="Times New Roman"/>
          <w:kern w:val="0"/>
          <w:sz w:val="24"/>
          <w:szCs w:val="24"/>
        </w:rPr>
        <w:t>regions</w:t>
      </w:r>
      <w:r w:rsidRPr="00451D6D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discharge curve, such as adding hard constraints with RMSE less than 10mv in the low SOC</w:t>
      </w:r>
      <w:r w:rsidR="00D62DE6">
        <w:rPr>
          <w:rFonts w:ascii="Times New Roman" w:eastAsia="宋体" w:hAnsi="Times New Roman" w:cs="Times New Roman"/>
          <w:kern w:val="0"/>
          <w:sz w:val="24"/>
          <w:szCs w:val="24"/>
        </w:rPr>
        <w:t xml:space="preserve"> (0-20% SOC)</w:t>
      </w:r>
      <w:r w:rsidRPr="00451D6D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high SOC segments</w:t>
      </w:r>
      <w:r w:rsidR="00D62DE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62DE6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62DE6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="00D62DE6">
        <w:rPr>
          <w:rFonts w:ascii="Times New Roman" w:eastAsia="宋体" w:hAnsi="Times New Roman" w:cs="Times New Roman"/>
          <w:kern w:val="0"/>
          <w:sz w:val="24"/>
          <w:szCs w:val="24"/>
        </w:rPr>
        <w:t>0-</w:t>
      </w:r>
      <w:r w:rsidR="00D62DE6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="00D62DE6">
        <w:rPr>
          <w:rFonts w:ascii="Times New Roman" w:eastAsia="宋体" w:hAnsi="Times New Roman" w:cs="Times New Roman"/>
          <w:kern w:val="0"/>
          <w:sz w:val="24"/>
          <w:szCs w:val="24"/>
        </w:rPr>
        <w:t>0% SOC)</w:t>
      </w:r>
    </w:p>
    <w:p w14:paraId="7557AC90" w14:textId="446AA7C2" w:rsidR="00F84757" w:rsidRPr="00F84757" w:rsidRDefault="00F84757" w:rsidP="00F847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Bayesian Optimization Framework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4321F">
        <w:rPr>
          <w:rFonts w:ascii="Times New Roman" w:eastAsia="宋体" w:hAnsi="Times New Roman" w:cs="Times New Roman"/>
          <w:kern w:val="0"/>
          <w:sz w:val="24"/>
          <w:szCs w:val="24"/>
        </w:rPr>
        <w:t xml:space="preserve"> Scalable Constrained Bayesian Optimization</w:t>
      </w:r>
    </w:p>
    <w:p w14:paraId="3F84134A" w14:textId="77777777" w:rsidR="00F84757" w:rsidRPr="00F84757" w:rsidRDefault="00F84757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Advanced Gaussian process surrogate modeling with specialized kernels for electrochemical systems</w:t>
      </w:r>
    </w:p>
    <w:p w14:paraId="48E4C4D7" w14:textId="77777777" w:rsidR="00F84757" w:rsidRPr="00F84757" w:rsidRDefault="00F84757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Multi-point acquisition function strategy to enhance exploration efficiency</w:t>
      </w:r>
    </w:p>
    <w:p w14:paraId="0B604679" w14:textId="77777777" w:rsidR="00F84757" w:rsidRPr="00F84757" w:rsidRDefault="00F84757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Batch optimization techniques to leverage parallel computing resources</w:t>
      </w:r>
    </w:p>
    <w:p w14:paraId="077C45AF" w14:textId="77777777" w:rsidR="00F84757" w:rsidRPr="00F84757" w:rsidRDefault="00F84757" w:rsidP="00F847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Local Refinement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58A071E" w14:textId="77777777" w:rsidR="00F84757" w:rsidRPr="00F84757" w:rsidRDefault="00F84757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Adaptive interior-point method with path-following techniques</w:t>
      </w:r>
    </w:p>
    <w:p w14:paraId="5B3FDABF" w14:textId="77777777" w:rsidR="00F84757" w:rsidRPr="00F84757" w:rsidRDefault="00F84757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Modified sequential quadratic programming with trust-region strategies</w:t>
      </w:r>
    </w:p>
    <w:p w14:paraId="3BB7AADA" w14:textId="77777777" w:rsidR="00F84757" w:rsidRPr="00F84757" w:rsidRDefault="00F84757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Specialized convergence criteria for electrochemical parameter spaces</w:t>
      </w:r>
    </w:p>
    <w:p w14:paraId="10224264" w14:textId="77777777" w:rsidR="00F84757" w:rsidRPr="00F84757" w:rsidRDefault="00F84757" w:rsidP="00F847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Global-Local Synergistic Approach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D59BDF7" w14:textId="77777777" w:rsidR="00F84757" w:rsidRPr="00F84757" w:rsidRDefault="00F84757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Dynamic transition mechanism between global and local search phases</w:t>
      </w:r>
    </w:p>
    <w:p w14:paraId="46D952B8" w14:textId="77777777" w:rsidR="00F84757" w:rsidRPr="00F84757" w:rsidRDefault="00F84757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Region-aware strategy that adapts search space based on parameter sensitivity and uncertainty</w:t>
      </w:r>
    </w:p>
    <w:p w14:paraId="1A473A35" w14:textId="77777777" w:rsidR="00F84757" w:rsidRPr="00F84757" w:rsidRDefault="00F84757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Adaptive trust region definition for efficient parameter space exploration</w:t>
      </w:r>
    </w:p>
    <w:p w14:paraId="3990C32B" w14:textId="77777777" w:rsidR="00F84757" w:rsidRPr="00F84757" w:rsidRDefault="00F84757" w:rsidP="00F847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Comprehensive algorithm workflow with built-in uncertainty quantification</w:t>
      </w:r>
    </w:p>
    <w:p w14:paraId="019C2024" w14:textId="77777777" w:rsidR="00F84757" w:rsidRPr="00F84757" w:rsidRDefault="00F84757" w:rsidP="00F84757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5. Experimental Setup</w:t>
      </w:r>
    </w:p>
    <w:p w14:paraId="5D89BE8C" w14:textId="77777777" w:rsidR="00F84757" w:rsidRPr="00F84757" w:rsidRDefault="00F84757" w:rsidP="00F8475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Cell Specifications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Detailed characterization of the 280Ah lithium-ion battery including electrode composition, cell geometry, and manufacturer specifications</w:t>
      </w:r>
    </w:p>
    <w:p w14:paraId="085FE6EB" w14:textId="77777777" w:rsidR="00F84757" w:rsidRPr="00F84757" w:rsidRDefault="00F84757" w:rsidP="00F8475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Advanced Testing Infrastructure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Description of high-precision testing equipment capable of handling high-capacity cells</w:t>
      </w:r>
    </w:p>
    <w:p w14:paraId="622A6D15" w14:textId="77777777" w:rsidR="00F84757" w:rsidRPr="00F84757" w:rsidRDefault="00F84757" w:rsidP="00F8475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Comprehensive Experimental Protocol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0A7A2D0" w14:textId="443F56AA" w:rsidR="00F84757" w:rsidRPr="00F84757" w:rsidRDefault="00F84757" w:rsidP="00F8475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 xml:space="preserve">Systematic discharge tests at various C-rates (0.1C, 0.2C, 0.33C, </w:t>
      </w:r>
      <w:r w:rsidR="00BE0394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C)</w:t>
      </w:r>
    </w:p>
    <w:p w14:paraId="0A1DB36C" w14:textId="77777777" w:rsidR="00F84757" w:rsidRPr="00F84757" w:rsidRDefault="00F84757" w:rsidP="00F8475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Precision temperature control and monitoring systems</w:t>
      </w:r>
    </w:p>
    <w:p w14:paraId="3078F001" w14:textId="77777777" w:rsidR="00F84757" w:rsidRPr="00F84757" w:rsidRDefault="00F84757" w:rsidP="00F8475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Statistical design of experiments for robust validation</w:t>
      </w:r>
    </w:p>
    <w:p w14:paraId="2A9C31ED" w14:textId="77777777" w:rsidR="00F84757" w:rsidRPr="00F84757" w:rsidRDefault="00F84757" w:rsidP="00F8475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Data Processing and Validation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5342997" w14:textId="77777777" w:rsidR="00F84757" w:rsidRPr="00F84757" w:rsidRDefault="00F84757" w:rsidP="00F8475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Advanced filtering techniques tailored for high-capacity cell data</w:t>
      </w:r>
    </w:p>
    <w:p w14:paraId="7D2C4D2F" w14:textId="77777777" w:rsidR="00F84757" w:rsidRPr="00F84757" w:rsidRDefault="00F84757" w:rsidP="00F8475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Uncertainty quantification in experimental measurements</w:t>
      </w:r>
    </w:p>
    <w:p w14:paraId="279A0148" w14:textId="77777777" w:rsidR="00F84757" w:rsidRPr="00F84757" w:rsidRDefault="00F84757" w:rsidP="00F8475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Data quality assessment framework</w:t>
      </w:r>
    </w:p>
    <w:p w14:paraId="5A2FEEB6" w14:textId="77777777" w:rsidR="00F84757" w:rsidRPr="00F84757" w:rsidRDefault="00F84757" w:rsidP="00F84757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6. Results and Discussion</w:t>
      </w:r>
    </w:p>
    <w:p w14:paraId="7BE5A7DC" w14:textId="77777777" w:rsidR="00F84757" w:rsidRPr="00F84757" w:rsidRDefault="00F84757" w:rsidP="00F8475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Parameter Identification Results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465AAC5" w14:textId="77777777" w:rsidR="00F84757" w:rsidRPr="00F84757" w:rsidRDefault="00F84757" w:rsidP="00F8475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Comprehensive presentation of identified parameters with statistical confidence intervals</w:t>
      </w:r>
    </w:p>
    <w:p w14:paraId="3B55072E" w14:textId="77777777" w:rsidR="00F84757" w:rsidRPr="00F84757" w:rsidRDefault="00F84757" w:rsidP="00F8475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Comparative analysis with literature values and theoretical predictions</w:t>
      </w:r>
    </w:p>
    <w:p w14:paraId="480151B8" w14:textId="77777777" w:rsidR="00F84757" w:rsidRPr="00F84757" w:rsidRDefault="00F84757" w:rsidP="00F8475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Parameter correlation analysis revealing interdependencies specific to high-capacity cells</w:t>
      </w:r>
    </w:p>
    <w:p w14:paraId="75A8C9CC" w14:textId="77777777" w:rsidR="00F84757" w:rsidRPr="00F84757" w:rsidRDefault="00F84757" w:rsidP="00F8475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Model Validation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7527BA9" w14:textId="77777777" w:rsidR="00F84757" w:rsidRPr="00F84757" w:rsidRDefault="00F84757" w:rsidP="00F8475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Rigorous voltage prediction accuracy assessment across different C-rates</w:t>
      </w:r>
    </w:p>
    <w:p w14:paraId="625EF99B" w14:textId="77777777" w:rsidR="00F84757" w:rsidRPr="00F84757" w:rsidRDefault="00F84757" w:rsidP="00F8475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Multi-metric evaluation framework (RMSE, MAE, R², relative error distribution)</w:t>
      </w:r>
    </w:p>
    <w:p w14:paraId="709A88C5" w14:textId="77777777" w:rsidR="00F84757" w:rsidRPr="00F84757" w:rsidRDefault="00F84757" w:rsidP="00F8475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Validation against independent test data with varied discharge profiles</w:t>
      </w:r>
    </w:p>
    <w:p w14:paraId="737DE91F" w14:textId="77777777" w:rsidR="00F84757" w:rsidRPr="00F84757" w:rsidRDefault="00F84757" w:rsidP="00F8475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Algorithm Performance Analysis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0653855" w14:textId="77777777" w:rsidR="00F84757" w:rsidRPr="00F84757" w:rsidRDefault="00F84757" w:rsidP="00F8475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Convergence behavior comparison with traditional methods</w:t>
      </w:r>
    </w:p>
    <w:p w14:paraId="062EE847" w14:textId="77777777" w:rsidR="00F84757" w:rsidRPr="00F84757" w:rsidRDefault="00F84757" w:rsidP="00F8475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Computational efficiency assessment with parallel implementation details</w:t>
      </w:r>
    </w:p>
    <w:p w14:paraId="5091A5A3" w14:textId="77777777" w:rsidR="00F84757" w:rsidRPr="00F84757" w:rsidRDefault="00F84757" w:rsidP="00F8475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Robustness analysis under different initialization conditions</w:t>
      </w:r>
    </w:p>
    <w:p w14:paraId="7E8C40BE" w14:textId="77777777" w:rsidR="00F84757" w:rsidRPr="00F84757" w:rsidRDefault="00F84757" w:rsidP="00F8475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Cross-Rate Performance Evaluation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59CB3C1" w14:textId="77777777" w:rsidR="00F84757" w:rsidRPr="00F84757" w:rsidRDefault="00F84757" w:rsidP="00F8475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Comprehensive demonstration of model accuracy across all tested C-rates</w:t>
      </w:r>
    </w:p>
    <w:p w14:paraId="47A8E155" w14:textId="77777777" w:rsidR="00F84757" w:rsidRPr="00F84757" w:rsidRDefault="00F84757" w:rsidP="00F8475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Comparison with single-rate optimization approaches</w:t>
      </w:r>
    </w:p>
    <w:p w14:paraId="34D95B23" w14:textId="77777777" w:rsidR="00F84757" w:rsidRPr="00F84757" w:rsidRDefault="00F84757" w:rsidP="00F8475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Quantitative assessment of the benefits of the min-max optimization strategy</w:t>
      </w:r>
    </w:p>
    <w:p w14:paraId="118A1EB7" w14:textId="77777777" w:rsidR="00F84757" w:rsidRPr="00F84757" w:rsidRDefault="00F84757" w:rsidP="00F8475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Uncertainty Propagation Analysis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AC91384" w14:textId="77777777" w:rsidR="00F84757" w:rsidRPr="00F84757" w:rsidRDefault="00F84757" w:rsidP="00F8475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Examination of how parameter uncertainties affect model predictions</w:t>
      </w:r>
    </w:p>
    <w:p w14:paraId="0EFEA245" w14:textId="77777777" w:rsidR="00F84757" w:rsidRPr="00F84757" w:rsidRDefault="00F84757" w:rsidP="00F8475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Confidence bounds on voltage predictions across different operating conditions</w:t>
      </w:r>
    </w:p>
    <w:p w14:paraId="59A3F985" w14:textId="77777777" w:rsidR="00F84757" w:rsidRPr="00F84757" w:rsidRDefault="00F84757" w:rsidP="00F84757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7. Conclusion and Future Work</w:t>
      </w:r>
    </w:p>
    <w:p w14:paraId="02A855F6" w14:textId="77777777" w:rsidR="00F84757" w:rsidRPr="00F84757" w:rsidRDefault="00F84757" w:rsidP="00F8475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lastRenderedPageBreak/>
        <w:t>Key Findings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Synthesis of main results highlighting the superior performance of the proposed methodology</w:t>
      </w:r>
    </w:p>
    <w:p w14:paraId="0EF66E66" w14:textId="77777777" w:rsidR="00F84757" w:rsidRPr="00F84757" w:rsidRDefault="00F84757" w:rsidP="00F8475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Scientific and Practical Contributions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EF60318" w14:textId="77777777" w:rsidR="00F84757" w:rsidRPr="00F84757" w:rsidRDefault="00F84757" w:rsidP="00F8475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First comprehensive parameter identification framework for high-capacity (280Ah) cells with demonstrated cross-rate robustness</w:t>
      </w:r>
    </w:p>
    <w:p w14:paraId="5EE17780" w14:textId="77777777" w:rsidR="00F84757" w:rsidRPr="00F84757" w:rsidRDefault="00F84757" w:rsidP="00F8475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Novel min-max optimization approach that ensures consistent accuracy across multiple operating conditions</w:t>
      </w:r>
    </w:p>
    <w:p w14:paraId="0AB243CB" w14:textId="77777777" w:rsidR="00F84757" w:rsidRPr="00F84757" w:rsidRDefault="00F84757" w:rsidP="00F8475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Methodological innovation in the integration of global Bayesian search with region-aware local refinement</w:t>
      </w:r>
    </w:p>
    <w:p w14:paraId="73DF7180" w14:textId="77777777" w:rsidR="00F84757" w:rsidRPr="00F84757" w:rsidRDefault="00F84757" w:rsidP="00F8475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Practical implications for battery management systems and thermal management strategies</w:t>
      </w:r>
    </w:p>
    <w:p w14:paraId="5E122286" w14:textId="77777777" w:rsidR="00F84757" w:rsidRPr="00F84757" w:rsidRDefault="00F84757" w:rsidP="00F8475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Limitations and Challenges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 Critical assessment of the current approach, including computational complexity and experimental constraints</w:t>
      </w:r>
    </w:p>
    <w:p w14:paraId="78C36596" w14:textId="77777777" w:rsidR="00F84757" w:rsidRPr="00F84757" w:rsidRDefault="00F84757" w:rsidP="00F8475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Future Research Directions</w:t>
      </w: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B1D35CE" w14:textId="77777777" w:rsidR="00F84757" w:rsidRPr="00F84757" w:rsidRDefault="00F84757" w:rsidP="00F8475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Extension to other cell chemistries and form factors</w:t>
      </w:r>
    </w:p>
    <w:p w14:paraId="2AA62C07" w14:textId="77777777" w:rsidR="00F84757" w:rsidRPr="00F84757" w:rsidRDefault="00F84757" w:rsidP="00F8475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Integration of aging mechanisms in the parameter identification framework</w:t>
      </w:r>
    </w:p>
    <w:p w14:paraId="43F3DCB0" w14:textId="77777777" w:rsidR="00F84757" w:rsidRPr="00F84757" w:rsidRDefault="00F84757" w:rsidP="00F8475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Real-time implementation strategies for battery management systems</w:t>
      </w:r>
    </w:p>
    <w:p w14:paraId="7D662519" w14:textId="77777777" w:rsidR="00F84757" w:rsidRPr="00F84757" w:rsidRDefault="00F84757" w:rsidP="00F8475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84757">
        <w:rPr>
          <w:rFonts w:ascii="Times New Roman" w:eastAsia="宋体" w:hAnsi="Times New Roman" w:cs="Times New Roman"/>
          <w:kern w:val="0"/>
          <w:sz w:val="24"/>
          <w:szCs w:val="24"/>
        </w:rPr>
        <w:t>Multi-cell and pack-level parameter identification considerations</w:t>
      </w:r>
    </w:p>
    <w:p w14:paraId="0F0E6C86" w14:textId="77777777" w:rsidR="00AA1035" w:rsidRPr="00F84757" w:rsidRDefault="00AA1035">
      <w:pPr>
        <w:rPr>
          <w:rFonts w:ascii="Times New Roman" w:hAnsi="Times New Roman" w:cs="Times New Roman"/>
        </w:rPr>
      </w:pPr>
    </w:p>
    <w:sectPr w:rsidR="00AA1035" w:rsidRPr="00F84757" w:rsidSect="00F8475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3D702" w14:textId="77777777" w:rsidR="005E78A4" w:rsidRDefault="005E78A4" w:rsidP="00D30D81">
      <w:r>
        <w:separator/>
      </w:r>
    </w:p>
  </w:endnote>
  <w:endnote w:type="continuationSeparator" w:id="0">
    <w:p w14:paraId="7200950F" w14:textId="77777777" w:rsidR="005E78A4" w:rsidRDefault="005E78A4" w:rsidP="00D30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AF5D2" w14:textId="77777777" w:rsidR="005E78A4" w:rsidRDefault="005E78A4" w:rsidP="00D30D81">
      <w:r>
        <w:separator/>
      </w:r>
    </w:p>
  </w:footnote>
  <w:footnote w:type="continuationSeparator" w:id="0">
    <w:p w14:paraId="6CEDC427" w14:textId="77777777" w:rsidR="005E78A4" w:rsidRDefault="005E78A4" w:rsidP="00D30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494F"/>
    <w:multiLevelType w:val="multilevel"/>
    <w:tmpl w:val="4DAC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D4F20"/>
    <w:multiLevelType w:val="multilevel"/>
    <w:tmpl w:val="8F7A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13F81"/>
    <w:multiLevelType w:val="multilevel"/>
    <w:tmpl w:val="01CC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C3122"/>
    <w:multiLevelType w:val="multilevel"/>
    <w:tmpl w:val="286C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51E2F"/>
    <w:multiLevelType w:val="multilevel"/>
    <w:tmpl w:val="757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15A1E"/>
    <w:multiLevelType w:val="multilevel"/>
    <w:tmpl w:val="0306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81883"/>
    <w:multiLevelType w:val="multilevel"/>
    <w:tmpl w:val="43E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57"/>
    <w:rsid w:val="0004026B"/>
    <w:rsid w:val="00065164"/>
    <w:rsid w:val="00086E76"/>
    <w:rsid w:val="00165491"/>
    <w:rsid w:val="003621D6"/>
    <w:rsid w:val="0037164E"/>
    <w:rsid w:val="00451D6D"/>
    <w:rsid w:val="005E78A4"/>
    <w:rsid w:val="00725AB0"/>
    <w:rsid w:val="008D7290"/>
    <w:rsid w:val="0094321F"/>
    <w:rsid w:val="00AA1035"/>
    <w:rsid w:val="00BE0394"/>
    <w:rsid w:val="00C0660F"/>
    <w:rsid w:val="00C87E78"/>
    <w:rsid w:val="00CB1019"/>
    <w:rsid w:val="00CF6D1F"/>
    <w:rsid w:val="00D30D81"/>
    <w:rsid w:val="00D62DE6"/>
    <w:rsid w:val="00DD454A"/>
    <w:rsid w:val="00E24F34"/>
    <w:rsid w:val="00F8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9C1AC"/>
  <w15:chartTrackingRefBased/>
  <w15:docId w15:val="{0225951B-75C3-4F48-AAAA-BFE8ADBB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47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847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47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8475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84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84757"/>
    <w:rPr>
      <w:b/>
      <w:bCs/>
    </w:rPr>
  </w:style>
  <w:style w:type="paragraph" w:styleId="a5">
    <w:name w:val="header"/>
    <w:basedOn w:val="a"/>
    <w:link w:val="a6"/>
    <w:uiPriority w:val="99"/>
    <w:unhideWhenUsed/>
    <w:rsid w:val="00D30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D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D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2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1285</Words>
  <Characters>7328</Characters>
  <Application>Microsoft Office Word</Application>
  <DocSecurity>0</DocSecurity>
  <Lines>61</Lines>
  <Paragraphs>17</Paragraphs>
  <ScaleCrop>false</ScaleCrop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旭</dc:creator>
  <cp:keywords/>
  <dc:description/>
  <cp:lastModifiedBy>葛 旭</cp:lastModifiedBy>
  <cp:revision>13</cp:revision>
  <dcterms:created xsi:type="dcterms:W3CDTF">2025-03-30T11:17:00Z</dcterms:created>
  <dcterms:modified xsi:type="dcterms:W3CDTF">2025-04-07T05:31:00Z</dcterms:modified>
</cp:coreProperties>
</file>