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7BDA" w14:textId="313CCE09" w:rsidR="00741701" w:rsidRPr="00EE7118" w:rsidRDefault="00EE7118" w:rsidP="00B50191">
      <w:pPr>
        <w:adjustRightInd w:val="0"/>
        <w:snapToGrid w:val="0"/>
        <w:spacing w:line="360" w:lineRule="auto"/>
        <w:rPr>
          <w:rFonts w:ascii="黑体" w:eastAsia="黑体" w:hAnsi="黑体"/>
          <w:b/>
          <w:bCs/>
          <w:sz w:val="30"/>
          <w:szCs w:val="30"/>
        </w:rPr>
      </w:pPr>
      <w:r w:rsidRPr="00EE7118">
        <w:rPr>
          <w:rFonts w:ascii="黑体" w:eastAsia="黑体" w:hAnsi="黑体" w:hint="eastAsia"/>
          <w:b/>
          <w:bCs/>
          <w:sz w:val="30"/>
          <w:szCs w:val="30"/>
        </w:rPr>
        <w:t>一、基本信息</w:t>
      </w:r>
    </w:p>
    <w:tbl>
      <w:tblPr>
        <w:tblStyle w:val="a8"/>
        <w:tblW w:w="8296" w:type="dxa"/>
        <w:jc w:val="center"/>
        <w:tblLook w:val="04A0" w:firstRow="1" w:lastRow="0" w:firstColumn="1" w:lastColumn="0" w:noHBand="0" w:noVBand="1"/>
      </w:tblPr>
      <w:tblGrid>
        <w:gridCol w:w="1482"/>
        <w:gridCol w:w="1477"/>
        <w:gridCol w:w="1686"/>
        <w:gridCol w:w="1700"/>
        <w:gridCol w:w="1951"/>
      </w:tblGrid>
      <w:tr w:rsidR="00925815" w:rsidRPr="00EE7118" w14:paraId="102C19AA" w14:textId="77777777" w:rsidTr="00925815">
        <w:trPr>
          <w:jc w:val="center"/>
        </w:trPr>
        <w:tc>
          <w:tcPr>
            <w:tcW w:w="1482" w:type="dxa"/>
            <w:vMerge w:val="restart"/>
            <w:vAlign w:val="center"/>
          </w:tcPr>
          <w:p w14:paraId="6FE8ACF7" w14:textId="30CD2600"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基本信息</w:t>
            </w:r>
          </w:p>
        </w:tc>
        <w:tc>
          <w:tcPr>
            <w:tcW w:w="1477" w:type="dxa"/>
            <w:vAlign w:val="center"/>
          </w:tcPr>
          <w:p w14:paraId="4C406CAD" w14:textId="0ECA54E3"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姓名</w:t>
            </w:r>
          </w:p>
        </w:tc>
        <w:tc>
          <w:tcPr>
            <w:tcW w:w="1686" w:type="dxa"/>
          </w:tcPr>
          <w:p w14:paraId="3B554106" w14:textId="5E1A118C"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年龄</w:t>
            </w:r>
          </w:p>
        </w:tc>
        <w:tc>
          <w:tcPr>
            <w:tcW w:w="1700" w:type="dxa"/>
            <w:vAlign w:val="center"/>
          </w:tcPr>
          <w:p w14:paraId="5E9606E2" w14:textId="4E41548B"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性别</w:t>
            </w:r>
          </w:p>
        </w:tc>
        <w:tc>
          <w:tcPr>
            <w:tcW w:w="1951" w:type="dxa"/>
            <w:vAlign w:val="center"/>
          </w:tcPr>
          <w:p w14:paraId="6A4FC2F0" w14:textId="693B53EA"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样本类型</w:t>
            </w:r>
          </w:p>
        </w:tc>
      </w:tr>
      <w:tr w:rsidR="00925815" w:rsidRPr="00EE7118" w14:paraId="5246B637" w14:textId="77777777" w:rsidTr="00925815">
        <w:trPr>
          <w:jc w:val="center"/>
        </w:trPr>
        <w:tc>
          <w:tcPr>
            <w:tcW w:w="1482" w:type="dxa"/>
            <w:vMerge/>
            <w:vAlign w:val="center"/>
          </w:tcPr>
          <w:p w14:paraId="06E14921" w14:textId="1354A1BA"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p>
        </w:tc>
        <w:tc>
          <w:tcPr>
            <w:tcW w:w="1477" w:type="dxa"/>
            <w:vAlign w:val="center"/>
          </w:tcPr>
          <w:p w14:paraId="0BBF3D93" w14:textId="70A918EB" w:rsidR="00925815" w:rsidRPr="00925815" w:rsidRDefault="00925815" w:rsidP="00B50191">
            <w:pPr>
              <w:adjustRightInd w:val="0"/>
              <w:snapToGrid w:val="0"/>
              <w:spacing w:line="360" w:lineRule="auto"/>
              <w:jc w:val="center"/>
              <w:rPr>
                <w:rFonts w:ascii="Times New Roman" w:eastAsia="宋体" w:hAnsi="Times New Roman" w:cs="Times New Roman"/>
                <w:sz w:val="24"/>
                <w:szCs w:val="24"/>
                <w:highlight w:val="yellow"/>
              </w:rPr>
            </w:pPr>
            <w:r w:rsidRPr="00925815">
              <w:rPr>
                <w:rFonts w:ascii="Times New Roman" w:eastAsia="宋体" w:hAnsi="Times New Roman" w:cs="Times New Roman" w:hint="eastAsia"/>
                <w:sz w:val="24"/>
                <w:szCs w:val="24"/>
                <w:highlight w:val="yellow"/>
              </w:rPr>
              <w:t>周丽</w:t>
            </w:r>
          </w:p>
        </w:tc>
        <w:tc>
          <w:tcPr>
            <w:tcW w:w="1686" w:type="dxa"/>
          </w:tcPr>
          <w:p w14:paraId="7BF5A2F7" w14:textId="745681C4" w:rsidR="00925815" w:rsidRPr="00925815" w:rsidRDefault="00925815" w:rsidP="00B50191">
            <w:pPr>
              <w:adjustRightInd w:val="0"/>
              <w:snapToGrid w:val="0"/>
              <w:spacing w:line="360" w:lineRule="auto"/>
              <w:jc w:val="center"/>
              <w:rPr>
                <w:rFonts w:ascii="Times New Roman" w:eastAsia="宋体" w:hAnsi="Times New Roman" w:cs="Times New Roman"/>
                <w:sz w:val="24"/>
                <w:szCs w:val="24"/>
                <w:highlight w:val="yellow"/>
              </w:rPr>
            </w:pPr>
            <w:r w:rsidRPr="00925815">
              <w:rPr>
                <w:rFonts w:ascii="Times New Roman" w:eastAsia="宋体" w:hAnsi="Times New Roman" w:cs="Times New Roman" w:hint="eastAsia"/>
                <w:sz w:val="24"/>
                <w:szCs w:val="24"/>
                <w:highlight w:val="yellow"/>
              </w:rPr>
              <w:t>31</w:t>
            </w:r>
          </w:p>
        </w:tc>
        <w:tc>
          <w:tcPr>
            <w:tcW w:w="1700" w:type="dxa"/>
            <w:vAlign w:val="center"/>
          </w:tcPr>
          <w:p w14:paraId="42A9E7ED" w14:textId="50AC4591" w:rsidR="00925815" w:rsidRPr="00925815" w:rsidRDefault="00925815" w:rsidP="00B50191">
            <w:pPr>
              <w:adjustRightInd w:val="0"/>
              <w:snapToGrid w:val="0"/>
              <w:spacing w:line="360" w:lineRule="auto"/>
              <w:jc w:val="center"/>
              <w:rPr>
                <w:rFonts w:ascii="Times New Roman" w:eastAsia="宋体" w:hAnsi="Times New Roman" w:cs="Times New Roman"/>
                <w:sz w:val="24"/>
                <w:szCs w:val="24"/>
                <w:highlight w:val="yellow"/>
              </w:rPr>
            </w:pPr>
            <w:r w:rsidRPr="00925815">
              <w:rPr>
                <w:rFonts w:ascii="Times New Roman" w:eastAsia="宋体" w:hAnsi="Times New Roman" w:cs="Times New Roman"/>
                <w:sz w:val="24"/>
                <w:szCs w:val="24"/>
                <w:highlight w:val="yellow"/>
              </w:rPr>
              <w:t>女</w:t>
            </w:r>
          </w:p>
        </w:tc>
        <w:tc>
          <w:tcPr>
            <w:tcW w:w="1951" w:type="dxa"/>
            <w:vAlign w:val="center"/>
          </w:tcPr>
          <w:p w14:paraId="472EEBA1" w14:textId="1333D538" w:rsidR="00925815" w:rsidRPr="00925815" w:rsidRDefault="00925815" w:rsidP="00B50191">
            <w:pPr>
              <w:adjustRightInd w:val="0"/>
              <w:snapToGrid w:val="0"/>
              <w:spacing w:line="360" w:lineRule="auto"/>
              <w:jc w:val="center"/>
              <w:rPr>
                <w:rFonts w:ascii="Times New Roman" w:eastAsia="宋体" w:hAnsi="Times New Roman" w:cs="Times New Roman"/>
                <w:sz w:val="24"/>
                <w:szCs w:val="24"/>
                <w:highlight w:val="yellow"/>
              </w:rPr>
            </w:pPr>
            <w:r w:rsidRPr="00925815">
              <w:rPr>
                <w:rFonts w:ascii="Times New Roman" w:eastAsia="宋体" w:hAnsi="Times New Roman" w:cs="Times New Roman" w:hint="eastAsia"/>
                <w:sz w:val="24"/>
                <w:szCs w:val="24"/>
                <w:highlight w:val="yellow"/>
              </w:rPr>
              <w:t>新鲜</w:t>
            </w:r>
            <w:r w:rsidRPr="00925815">
              <w:rPr>
                <w:rFonts w:ascii="Times New Roman" w:eastAsia="宋体" w:hAnsi="Times New Roman" w:cs="Times New Roman"/>
                <w:sz w:val="24"/>
                <w:szCs w:val="24"/>
                <w:highlight w:val="yellow"/>
              </w:rPr>
              <w:t>血</w:t>
            </w:r>
          </w:p>
        </w:tc>
      </w:tr>
      <w:tr w:rsidR="00925815" w:rsidRPr="00EE7118" w14:paraId="0BFDEA88" w14:textId="77777777" w:rsidTr="00CC79F1">
        <w:trPr>
          <w:jc w:val="center"/>
        </w:trPr>
        <w:tc>
          <w:tcPr>
            <w:tcW w:w="1482" w:type="dxa"/>
            <w:vAlign w:val="center"/>
          </w:tcPr>
          <w:p w14:paraId="7DC92ABA" w14:textId="0DF548DA"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检测项目</w:t>
            </w:r>
          </w:p>
        </w:tc>
        <w:tc>
          <w:tcPr>
            <w:tcW w:w="6814" w:type="dxa"/>
            <w:gridSpan w:val="4"/>
          </w:tcPr>
          <w:p w14:paraId="21110E51" w14:textId="2FDBA17E" w:rsidR="00925815" w:rsidRPr="00B50191" w:rsidRDefault="00925815" w:rsidP="00B50191">
            <w:pPr>
              <w:adjustRightInd w:val="0"/>
              <w:snapToGrid w:val="0"/>
              <w:spacing w:line="360" w:lineRule="auto"/>
              <w:jc w:val="left"/>
              <w:rPr>
                <w:rFonts w:ascii="Times New Roman" w:eastAsia="宋体" w:hAnsi="Times New Roman" w:cs="Times New Roman"/>
                <w:sz w:val="24"/>
                <w:szCs w:val="24"/>
              </w:rPr>
            </w:pPr>
            <w:r w:rsidRPr="00B50191">
              <w:rPr>
                <w:rFonts w:ascii="Times New Roman" w:eastAsia="宋体" w:hAnsi="Times New Roman" w:cs="Times New Roman"/>
                <w:sz w:val="24"/>
                <w:szCs w:val="24"/>
              </w:rPr>
              <w:t>不孕不育相关基因检测</w:t>
            </w:r>
          </w:p>
        </w:tc>
      </w:tr>
      <w:tr w:rsidR="00925815" w:rsidRPr="00EE7118" w14:paraId="64D1DEE2" w14:textId="77777777" w:rsidTr="00CC79F1">
        <w:trPr>
          <w:jc w:val="center"/>
        </w:trPr>
        <w:tc>
          <w:tcPr>
            <w:tcW w:w="1482" w:type="dxa"/>
            <w:vAlign w:val="center"/>
          </w:tcPr>
          <w:p w14:paraId="271B1097" w14:textId="5EB46C7E"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检测方法</w:t>
            </w:r>
          </w:p>
        </w:tc>
        <w:tc>
          <w:tcPr>
            <w:tcW w:w="6814" w:type="dxa"/>
            <w:gridSpan w:val="4"/>
          </w:tcPr>
          <w:p w14:paraId="44204036" w14:textId="51E4729A" w:rsidR="00925815" w:rsidRPr="00B50191" w:rsidRDefault="00ED24D4" w:rsidP="00B50191">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全外显子组</w:t>
            </w:r>
            <w:r w:rsidR="00925815" w:rsidRPr="00B50191">
              <w:rPr>
                <w:rFonts w:ascii="Times New Roman" w:eastAsia="宋体" w:hAnsi="Times New Roman" w:cs="Times New Roman"/>
                <w:sz w:val="24"/>
                <w:szCs w:val="24"/>
              </w:rPr>
              <w:t>高通量测序</w:t>
            </w:r>
          </w:p>
        </w:tc>
      </w:tr>
      <w:tr w:rsidR="00925815" w:rsidRPr="00EE7118" w14:paraId="7F50BABD" w14:textId="77777777" w:rsidTr="00CC79F1">
        <w:trPr>
          <w:jc w:val="center"/>
        </w:trPr>
        <w:tc>
          <w:tcPr>
            <w:tcW w:w="1482" w:type="dxa"/>
            <w:vAlign w:val="center"/>
          </w:tcPr>
          <w:p w14:paraId="62608341" w14:textId="6DF14EA5" w:rsidR="00925815" w:rsidRPr="00B50191" w:rsidRDefault="00925815" w:rsidP="00B50191">
            <w:pPr>
              <w:adjustRightInd w:val="0"/>
              <w:snapToGrid w:val="0"/>
              <w:spacing w:line="360" w:lineRule="auto"/>
              <w:jc w:val="center"/>
              <w:rPr>
                <w:rFonts w:ascii="Times New Roman" w:eastAsia="宋体" w:hAnsi="Times New Roman" w:cs="Times New Roman"/>
                <w:b/>
                <w:bCs/>
                <w:sz w:val="28"/>
                <w:szCs w:val="28"/>
              </w:rPr>
            </w:pPr>
            <w:r w:rsidRPr="00B50191">
              <w:rPr>
                <w:rFonts w:ascii="Times New Roman" w:eastAsia="宋体" w:hAnsi="Times New Roman" w:cs="Times New Roman"/>
                <w:b/>
                <w:bCs/>
                <w:sz w:val="28"/>
                <w:szCs w:val="28"/>
              </w:rPr>
              <w:t>测序数据分析筛选流程</w:t>
            </w:r>
          </w:p>
        </w:tc>
        <w:tc>
          <w:tcPr>
            <w:tcW w:w="6814" w:type="dxa"/>
            <w:gridSpan w:val="4"/>
          </w:tcPr>
          <w:p w14:paraId="6A4FED36" w14:textId="6B7BFD21" w:rsidR="00925815" w:rsidRPr="00B50191" w:rsidRDefault="00925815" w:rsidP="00B50191">
            <w:pPr>
              <w:adjustRightInd w:val="0"/>
              <w:snapToGrid w:val="0"/>
              <w:spacing w:line="360" w:lineRule="auto"/>
              <w:jc w:val="left"/>
              <w:rPr>
                <w:rFonts w:ascii="Times New Roman" w:eastAsia="宋体" w:hAnsi="Times New Roman" w:cs="Times New Roman"/>
                <w:sz w:val="28"/>
                <w:szCs w:val="28"/>
              </w:rPr>
            </w:pPr>
            <w:r>
              <w:rPr>
                <w:noProof/>
              </w:rPr>
              <w:drawing>
                <wp:inline distT="0" distB="0" distL="0" distR="0" wp14:anchorId="0B1597A8" wp14:editId="25532A2D">
                  <wp:extent cx="2787698" cy="12830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476" cy="1300889"/>
                          </a:xfrm>
                          <a:prstGeom prst="rect">
                            <a:avLst/>
                          </a:prstGeom>
                        </pic:spPr>
                      </pic:pic>
                    </a:graphicData>
                  </a:graphic>
                </wp:inline>
              </w:drawing>
            </w:r>
          </w:p>
        </w:tc>
      </w:tr>
    </w:tbl>
    <w:p w14:paraId="24446F98" w14:textId="186D4A79" w:rsidR="00EE7118" w:rsidRPr="00090D3A" w:rsidRDefault="00EE7118" w:rsidP="00B50191">
      <w:pPr>
        <w:adjustRightInd w:val="0"/>
        <w:snapToGrid w:val="0"/>
        <w:spacing w:line="360" w:lineRule="auto"/>
        <w:rPr>
          <w:rFonts w:ascii="宋体" w:eastAsia="宋体" w:hAnsi="宋体"/>
          <w:sz w:val="28"/>
          <w:szCs w:val="28"/>
        </w:rPr>
      </w:pPr>
    </w:p>
    <w:p w14:paraId="45463348" w14:textId="3BCE78E6" w:rsidR="00EE7118" w:rsidRPr="00EE7118" w:rsidRDefault="00EE7118" w:rsidP="00B50191">
      <w:pPr>
        <w:adjustRightInd w:val="0"/>
        <w:snapToGrid w:val="0"/>
        <w:spacing w:line="360" w:lineRule="auto"/>
        <w:rPr>
          <w:rFonts w:ascii="黑体" w:eastAsia="黑体" w:hAnsi="黑体"/>
          <w:b/>
          <w:bCs/>
          <w:sz w:val="30"/>
          <w:szCs w:val="30"/>
        </w:rPr>
      </w:pPr>
      <w:r>
        <w:rPr>
          <w:rFonts w:ascii="黑体" w:eastAsia="黑体" w:hAnsi="黑体" w:hint="eastAsia"/>
          <w:b/>
          <w:bCs/>
          <w:sz w:val="30"/>
          <w:szCs w:val="30"/>
        </w:rPr>
        <w:t>二</w:t>
      </w:r>
      <w:r w:rsidRPr="00EE7118">
        <w:rPr>
          <w:rFonts w:ascii="黑体" w:eastAsia="黑体" w:hAnsi="黑体" w:hint="eastAsia"/>
          <w:b/>
          <w:bCs/>
          <w:sz w:val="30"/>
          <w:szCs w:val="30"/>
        </w:rPr>
        <w:t>、</w:t>
      </w:r>
      <w:r>
        <w:rPr>
          <w:rFonts w:ascii="黑体" w:eastAsia="黑体" w:hAnsi="黑体" w:hint="eastAsia"/>
          <w:b/>
          <w:bCs/>
          <w:sz w:val="30"/>
          <w:szCs w:val="30"/>
        </w:rPr>
        <w:t>变异检测注释</w:t>
      </w:r>
    </w:p>
    <w:p w14:paraId="242F37E9" w14:textId="25D30C6E" w:rsidR="00732FF2" w:rsidRDefault="00732FF2" w:rsidP="00732FF2">
      <w:pPr>
        <w:adjustRightInd w:val="0"/>
        <w:snapToGrid w:val="0"/>
        <w:spacing w:line="360" w:lineRule="auto"/>
        <w:rPr>
          <w:rFonts w:ascii="Times New Roman" w:eastAsia="宋体" w:hAnsi="Times New Roman" w:cs="Times New Roman"/>
          <w:b/>
          <w:bCs/>
          <w:sz w:val="28"/>
          <w:szCs w:val="28"/>
        </w:rPr>
      </w:pPr>
      <w:r w:rsidRPr="00EE7118">
        <w:rPr>
          <w:rFonts w:ascii="Times New Roman" w:eastAsia="宋体" w:hAnsi="Times New Roman" w:cs="Times New Roman"/>
          <w:b/>
          <w:bCs/>
          <w:sz w:val="28"/>
          <w:szCs w:val="28"/>
        </w:rPr>
        <w:t>1. SNP/INDEL</w:t>
      </w:r>
      <w:r>
        <w:rPr>
          <w:rFonts w:ascii="Times New Roman" w:eastAsia="宋体" w:hAnsi="Times New Roman" w:cs="Times New Roman" w:hint="eastAsia"/>
          <w:b/>
          <w:bCs/>
          <w:sz w:val="28"/>
          <w:szCs w:val="28"/>
        </w:rPr>
        <w:t>定位分布</w:t>
      </w:r>
      <w:r w:rsidRPr="00EE7118">
        <w:rPr>
          <w:rFonts w:ascii="Times New Roman" w:eastAsia="宋体" w:hAnsi="Times New Roman" w:cs="Times New Roman"/>
          <w:b/>
          <w:bCs/>
          <w:sz w:val="28"/>
          <w:szCs w:val="28"/>
        </w:rPr>
        <w:t>：</w:t>
      </w:r>
    </w:p>
    <w:p w14:paraId="4280A436" w14:textId="68C6D0BF" w:rsidR="00732FF2" w:rsidRDefault="00732FF2" w:rsidP="004F6B68">
      <w:pPr>
        <w:adjustRightInd w:val="0"/>
        <w:snapToGrid w:val="0"/>
        <w:spacing w:line="360" w:lineRule="auto"/>
        <w:ind w:firstLineChars="151" w:firstLine="362"/>
        <w:rPr>
          <w:rFonts w:ascii="Times New Roman" w:eastAsia="宋体" w:hAnsi="Times New Roman" w:cs="Times New Roman"/>
          <w:color w:val="000000" w:themeColor="text1"/>
          <w:sz w:val="24"/>
          <w:szCs w:val="24"/>
        </w:rPr>
      </w:pPr>
      <w:r w:rsidRPr="000B2ED9">
        <w:rPr>
          <w:rFonts w:ascii="Times New Roman" w:eastAsia="宋体" w:hAnsi="Times New Roman" w:cs="Times New Roman"/>
          <w:color w:val="FF0000"/>
          <w:sz w:val="24"/>
          <w:szCs w:val="24"/>
        </w:rPr>
        <w:t> </w:t>
      </w:r>
      <w:r w:rsidRPr="00361D9A">
        <w:rPr>
          <w:rFonts w:ascii="Times New Roman" w:eastAsia="宋体" w:hAnsi="Times New Roman" w:cs="Times New Roman"/>
          <w:color w:val="000000" w:themeColor="text1"/>
          <w:sz w:val="24"/>
          <w:szCs w:val="24"/>
        </w:rPr>
        <w:t>根据人类基因组</w:t>
      </w:r>
      <w:r w:rsidRPr="00361D9A">
        <w:rPr>
          <w:rFonts w:ascii="Times New Roman" w:eastAsia="宋体" w:hAnsi="Times New Roman" w:cs="Times New Roman"/>
          <w:color w:val="000000" w:themeColor="text1"/>
          <w:sz w:val="24"/>
          <w:szCs w:val="24"/>
        </w:rPr>
        <w:t>GFF</w:t>
      </w:r>
      <w:r w:rsidRPr="00361D9A">
        <w:rPr>
          <w:rFonts w:ascii="Times New Roman" w:eastAsia="宋体" w:hAnsi="Times New Roman" w:cs="Times New Roman"/>
          <w:color w:val="000000" w:themeColor="text1"/>
          <w:sz w:val="24"/>
          <w:szCs w:val="24"/>
        </w:rPr>
        <w:t>注释文件，利用</w:t>
      </w:r>
      <w:r w:rsidRPr="00361D9A">
        <w:rPr>
          <w:rFonts w:ascii="Times New Roman" w:eastAsia="宋体" w:hAnsi="Times New Roman" w:cs="Times New Roman"/>
          <w:color w:val="000000" w:themeColor="text1"/>
          <w:sz w:val="24"/>
          <w:szCs w:val="24"/>
        </w:rPr>
        <w:t>ANNOVAR</w:t>
      </w:r>
      <w:r w:rsidRPr="00361D9A">
        <w:rPr>
          <w:rFonts w:ascii="Times New Roman" w:eastAsia="宋体" w:hAnsi="Times New Roman" w:cs="Times New Roman"/>
          <w:color w:val="000000" w:themeColor="text1"/>
          <w:sz w:val="24"/>
          <w:szCs w:val="24"/>
        </w:rPr>
        <w:t>软件对过滤后的</w:t>
      </w:r>
      <w:r w:rsidRPr="00361D9A">
        <w:rPr>
          <w:rFonts w:ascii="Times New Roman" w:eastAsia="宋体" w:hAnsi="Times New Roman" w:cs="Times New Roman"/>
          <w:color w:val="000000" w:themeColor="text1"/>
          <w:sz w:val="24"/>
          <w:szCs w:val="24"/>
        </w:rPr>
        <w:t>SNP</w:t>
      </w:r>
      <w:r w:rsidRPr="00361D9A">
        <w:rPr>
          <w:rFonts w:ascii="Times New Roman" w:eastAsia="宋体" w:hAnsi="Times New Roman" w:cs="Times New Roman" w:hint="eastAsia"/>
          <w:color w:val="000000" w:themeColor="text1"/>
          <w:sz w:val="24"/>
          <w:szCs w:val="24"/>
        </w:rPr>
        <w:t>/</w:t>
      </w:r>
      <w:r w:rsidRPr="00361D9A">
        <w:rPr>
          <w:rFonts w:ascii="Times New Roman" w:eastAsia="宋体" w:hAnsi="Times New Roman" w:cs="Times New Roman"/>
          <w:color w:val="000000" w:themeColor="text1"/>
          <w:sz w:val="24"/>
          <w:szCs w:val="24"/>
        </w:rPr>
        <w:t>INDEL</w:t>
      </w:r>
      <w:r w:rsidRPr="00361D9A">
        <w:rPr>
          <w:rFonts w:ascii="Times New Roman" w:eastAsia="宋体" w:hAnsi="Times New Roman" w:cs="Times New Roman"/>
          <w:color w:val="000000" w:themeColor="text1"/>
          <w:sz w:val="24"/>
          <w:szCs w:val="24"/>
        </w:rPr>
        <w:t>进行注释。通过分析可以确定</w:t>
      </w:r>
      <w:r w:rsidRPr="00361D9A">
        <w:rPr>
          <w:rFonts w:ascii="Times New Roman" w:eastAsia="宋体" w:hAnsi="Times New Roman" w:cs="Times New Roman"/>
          <w:color w:val="000000" w:themeColor="text1"/>
          <w:sz w:val="24"/>
          <w:szCs w:val="24"/>
        </w:rPr>
        <w:t>SNP/INDEL</w:t>
      </w:r>
      <w:r w:rsidRPr="00361D9A">
        <w:rPr>
          <w:rFonts w:ascii="Times New Roman" w:eastAsia="宋体" w:hAnsi="Times New Roman" w:cs="Times New Roman"/>
          <w:color w:val="000000" w:themeColor="text1"/>
          <w:sz w:val="24"/>
          <w:szCs w:val="24"/>
        </w:rPr>
        <w:t>在基因组不同功能区域的分布</w:t>
      </w:r>
      <w:r w:rsidR="004F6B68">
        <w:rPr>
          <w:rFonts w:ascii="Times New Roman" w:eastAsia="宋体" w:hAnsi="Times New Roman" w:cs="Times New Roman" w:hint="eastAsia"/>
          <w:color w:val="000000" w:themeColor="text1"/>
          <w:sz w:val="24"/>
          <w:szCs w:val="24"/>
        </w:rPr>
        <w:t>，</w:t>
      </w:r>
      <w:r w:rsidR="004F6B68">
        <w:rPr>
          <w:rFonts w:ascii="Times New Roman" w:eastAsia="宋体" w:hAnsi="Times New Roman" w:cs="Times New Roman"/>
          <w:color w:val="000000" w:themeColor="text1"/>
          <w:sz w:val="24"/>
          <w:szCs w:val="24"/>
        </w:rPr>
        <w:t xml:space="preserve"> </w:t>
      </w:r>
      <w:r w:rsidRPr="00361D9A">
        <w:rPr>
          <w:rFonts w:ascii="Times New Roman" w:eastAsia="宋体" w:hAnsi="Times New Roman" w:cs="Times New Roman" w:hint="eastAsia"/>
          <w:color w:val="000000" w:themeColor="text1"/>
          <w:sz w:val="24"/>
          <w:szCs w:val="24"/>
        </w:rPr>
        <w:t>作图如下：</w:t>
      </w:r>
    </w:p>
    <w:p w14:paraId="7A54321B" w14:textId="4E7E408C" w:rsidR="00B20C11" w:rsidRPr="00B21011" w:rsidRDefault="00ED24D4" w:rsidP="00ED24D4">
      <w:pPr>
        <w:adjustRightInd w:val="0"/>
        <w:snapToGrid w:val="0"/>
        <w:spacing w:line="360" w:lineRule="auto"/>
        <w:ind w:firstLineChars="118" w:firstLine="283"/>
        <w:rPr>
          <w:rFonts w:ascii="Times New Roman" w:eastAsia="宋体" w:hAnsi="Times New Roman" w:cs="Times New Roman"/>
          <w:color w:val="000000" w:themeColor="text1"/>
          <w:sz w:val="24"/>
          <w:szCs w:val="24"/>
        </w:rPr>
      </w:pPr>
      <w:r>
        <w:rPr>
          <w:rFonts w:ascii="Times New Roman" w:eastAsia="宋体" w:hAnsi="Times New Roman" w:cs="Times New Roman"/>
          <w:noProof/>
          <w:color w:val="000000" w:themeColor="text1"/>
          <w:sz w:val="24"/>
          <w:szCs w:val="24"/>
        </w:rPr>
        <w:drawing>
          <wp:inline distT="0" distB="0" distL="0" distR="0" wp14:anchorId="590BCAB1" wp14:editId="21C1E0D7">
            <wp:extent cx="2398917" cy="2880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3.snplocate.png"/>
                    <pic:cNvPicPr/>
                  </pic:nvPicPr>
                  <pic:blipFill rotWithShape="1">
                    <a:blip r:embed="rId10" cstate="print">
                      <a:extLst>
                        <a:ext uri="{28A0092B-C50C-407E-A947-70E740481C1C}">
                          <a14:useLocalDpi xmlns:a14="http://schemas.microsoft.com/office/drawing/2010/main" val="0"/>
                        </a:ext>
                      </a:extLst>
                    </a:blip>
                    <a:srcRect l="23260" r="23429"/>
                    <a:stretch/>
                  </pic:blipFill>
                  <pic:spPr bwMode="auto">
                    <a:xfrm>
                      <a:off x="0" y="0"/>
                      <a:ext cx="2398917" cy="288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宋体" w:hAnsi="Times New Roman" w:cs="Times New Roman"/>
          <w:noProof/>
          <w:color w:val="000000" w:themeColor="text1"/>
          <w:sz w:val="24"/>
          <w:szCs w:val="24"/>
        </w:rPr>
        <w:drawing>
          <wp:inline distT="0" distB="0" distL="0" distR="0" wp14:anchorId="5C7F2BC6" wp14:editId="7AE2B3EF">
            <wp:extent cx="2626456" cy="2880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03.indellocate.png"/>
                    <pic:cNvPicPr/>
                  </pic:nvPicPr>
                  <pic:blipFill rotWithShape="1">
                    <a:blip r:embed="rId11" cstate="print">
                      <a:extLst>
                        <a:ext uri="{28A0092B-C50C-407E-A947-70E740481C1C}">
                          <a14:useLocalDpi xmlns:a14="http://schemas.microsoft.com/office/drawing/2010/main" val="0"/>
                        </a:ext>
                      </a:extLst>
                    </a:blip>
                    <a:srcRect l="21238" r="20395"/>
                    <a:stretch/>
                  </pic:blipFill>
                  <pic:spPr bwMode="auto">
                    <a:xfrm>
                      <a:off x="0" y="0"/>
                      <a:ext cx="2626456" cy="2880000"/>
                    </a:xfrm>
                    <a:prstGeom prst="rect">
                      <a:avLst/>
                    </a:prstGeom>
                    <a:ln>
                      <a:noFill/>
                    </a:ln>
                    <a:extLst>
                      <a:ext uri="{53640926-AAD7-44D8-BBD7-CCE9431645EC}">
                        <a14:shadowObscured xmlns:a14="http://schemas.microsoft.com/office/drawing/2010/main"/>
                      </a:ext>
                    </a:extLst>
                  </pic:spPr>
                </pic:pic>
              </a:graphicData>
            </a:graphic>
          </wp:inline>
        </w:drawing>
      </w:r>
    </w:p>
    <w:p w14:paraId="54991300" w14:textId="71D74101" w:rsidR="00732FF2" w:rsidRDefault="00732FF2" w:rsidP="00B20C11">
      <w:pPr>
        <w:adjustRightInd w:val="0"/>
        <w:snapToGrid w:val="0"/>
        <w:spacing w:line="360" w:lineRule="auto"/>
        <w:jc w:val="center"/>
        <w:rPr>
          <w:rFonts w:ascii="Times New Roman" w:eastAsia="宋体" w:hAnsi="Times New Roman" w:cs="Times New Roman"/>
          <w:b/>
          <w:bCs/>
          <w:szCs w:val="21"/>
        </w:rPr>
      </w:pPr>
      <w:r w:rsidRPr="00FC06EA">
        <w:rPr>
          <w:rFonts w:ascii="Times New Roman" w:eastAsia="宋体" w:hAnsi="Times New Roman" w:cs="Times New Roman"/>
          <w:b/>
          <w:bCs/>
          <w:szCs w:val="21"/>
        </w:rPr>
        <w:t>图</w:t>
      </w:r>
      <w:r w:rsidRPr="00FC06EA">
        <w:rPr>
          <w:rFonts w:ascii="Times New Roman" w:eastAsia="宋体" w:hAnsi="Times New Roman" w:cs="Times New Roman"/>
          <w:b/>
          <w:bCs/>
          <w:szCs w:val="21"/>
        </w:rPr>
        <w:t>1. SNP</w:t>
      </w:r>
      <w:r>
        <w:rPr>
          <w:rFonts w:ascii="Times New Roman" w:eastAsia="宋体" w:hAnsi="Times New Roman" w:cs="Times New Roman" w:hint="eastAsia"/>
          <w:b/>
          <w:bCs/>
          <w:szCs w:val="21"/>
        </w:rPr>
        <w:t>定位分布</w:t>
      </w:r>
      <w:r w:rsidRPr="00FC06EA">
        <w:rPr>
          <w:rFonts w:ascii="Times New Roman" w:eastAsia="宋体" w:hAnsi="Times New Roman" w:cs="Times New Roman"/>
          <w:b/>
          <w:bCs/>
          <w:szCs w:val="21"/>
        </w:rPr>
        <w:t>图</w:t>
      </w:r>
      <w:r w:rsidR="00CC79F1">
        <w:rPr>
          <w:rFonts w:ascii="Times New Roman" w:eastAsia="宋体" w:hAnsi="Times New Roman" w:cs="Times New Roman" w:hint="eastAsia"/>
          <w:b/>
          <w:bCs/>
          <w:szCs w:val="21"/>
        </w:rPr>
        <w:t xml:space="preserve">                   </w:t>
      </w:r>
      <w:r w:rsidR="00CC79F1" w:rsidRPr="00FC06EA">
        <w:rPr>
          <w:rFonts w:ascii="Times New Roman" w:eastAsia="宋体" w:hAnsi="Times New Roman" w:cs="Times New Roman"/>
          <w:b/>
          <w:bCs/>
          <w:szCs w:val="21"/>
        </w:rPr>
        <w:t>图</w:t>
      </w:r>
      <w:r w:rsidR="00CC79F1">
        <w:rPr>
          <w:rFonts w:ascii="Times New Roman" w:eastAsia="宋体" w:hAnsi="Times New Roman" w:cs="Times New Roman" w:hint="eastAsia"/>
          <w:b/>
          <w:bCs/>
          <w:szCs w:val="21"/>
        </w:rPr>
        <w:t>2</w:t>
      </w:r>
      <w:r w:rsidR="00CC79F1" w:rsidRPr="00FC06EA">
        <w:rPr>
          <w:rFonts w:ascii="Times New Roman" w:eastAsia="宋体" w:hAnsi="Times New Roman" w:cs="Times New Roman"/>
          <w:b/>
          <w:bCs/>
          <w:szCs w:val="21"/>
        </w:rPr>
        <w:t xml:space="preserve">. </w:t>
      </w:r>
      <w:r w:rsidR="00CC79F1">
        <w:rPr>
          <w:rFonts w:ascii="Times New Roman" w:eastAsia="宋体" w:hAnsi="Times New Roman" w:cs="Times New Roman"/>
          <w:b/>
          <w:bCs/>
          <w:szCs w:val="21"/>
        </w:rPr>
        <w:t>INDEL</w:t>
      </w:r>
      <w:r w:rsidR="00CC79F1">
        <w:rPr>
          <w:rFonts w:ascii="Times New Roman" w:eastAsia="宋体" w:hAnsi="Times New Roman" w:cs="Times New Roman" w:hint="eastAsia"/>
          <w:b/>
          <w:bCs/>
          <w:szCs w:val="21"/>
        </w:rPr>
        <w:t>定位分布</w:t>
      </w:r>
      <w:r w:rsidR="00CC79F1" w:rsidRPr="00FC06EA">
        <w:rPr>
          <w:rFonts w:ascii="Times New Roman" w:eastAsia="宋体" w:hAnsi="Times New Roman" w:cs="Times New Roman"/>
          <w:b/>
          <w:bCs/>
          <w:szCs w:val="21"/>
        </w:rPr>
        <w:t>图</w:t>
      </w:r>
    </w:p>
    <w:p w14:paraId="0F7AB72D" w14:textId="32525BFD" w:rsidR="00732FF2" w:rsidRDefault="00732FF2" w:rsidP="00732FF2">
      <w:pPr>
        <w:adjustRightInd w:val="0"/>
        <w:snapToGrid w:val="0"/>
        <w:spacing w:line="360" w:lineRule="auto"/>
        <w:rPr>
          <w:rFonts w:ascii="Times New Roman" w:eastAsia="宋体" w:hAnsi="Times New Roman" w:cs="Times New Roman"/>
          <w:b/>
          <w:bCs/>
          <w:sz w:val="28"/>
          <w:szCs w:val="28"/>
        </w:rPr>
      </w:pPr>
      <w:r w:rsidRPr="00EE7118">
        <w:rPr>
          <w:rFonts w:ascii="Times New Roman" w:eastAsia="宋体" w:hAnsi="Times New Roman" w:cs="Times New Roman"/>
          <w:b/>
          <w:bCs/>
          <w:sz w:val="28"/>
          <w:szCs w:val="28"/>
        </w:rPr>
        <w:t>2. SNP/INDEL</w:t>
      </w:r>
      <w:r w:rsidRPr="00EE7118">
        <w:rPr>
          <w:rFonts w:ascii="Times New Roman" w:eastAsia="宋体" w:hAnsi="Times New Roman" w:cs="Times New Roman"/>
          <w:b/>
          <w:bCs/>
          <w:sz w:val="28"/>
          <w:szCs w:val="28"/>
        </w:rPr>
        <w:t>功能分布：</w:t>
      </w:r>
    </w:p>
    <w:p w14:paraId="71D1FA75" w14:textId="2EAAEDFC" w:rsidR="00732FF2" w:rsidRDefault="00732FF2" w:rsidP="00732FF2">
      <w:pPr>
        <w:adjustRightInd w:val="0"/>
        <w:snapToGrid w:val="0"/>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Pr="00FC06EA">
        <w:rPr>
          <w:rFonts w:ascii="Times New Roman" w:eastAsia="宋体" w:hAnsi="Times New Roman" w:cs="Times New Roman" w:hint="eastAsia"/>
          <w:sz w:val="24"/>
          <w:szCs w:val="24"/>
        </w:rPr>
        <w:t>外显子区域的</w:t>
      </w:r>
      <w:r w:rsidRPr="00FC06EA">
        <w:rPr>
          <w:rFonts w:ascii="Times New Roman" w:eastAsia="宋体" w:hAnsi="Times New Roman" w:cs="Times New Roman"/>
          <w:sz w:val="24"/>
          <w:szCs w:val="24"/>
        </w:rPr>
        <w:t>SNP</w:t>
      </w:r>
      <w:r w:rsidRPr="00FC06EA">
        <w:rPr>
          <w:rFonts w:ascii="Times New Roman" w:eastAsia="宋体" w:hAnsi="Times New Roman" w:cs="Times New Roman"/>
          <w:sz w:val="24"/>
          <w:szCs w:val="24"/>
        </w:rPr>
        <w:t>突变可能会影响到氨基酸的编码，进而影响基因功</w:t>
      </w:r>
      <w:r w:rsidRPr="00FC06EA">
        <w:rPr>
          <w:rFonts w:ascii="Times New Roman" w:eastAsia="宋体" w:hAnsi="Times New Roman" w:cs="Times New Roman"/>
          <w:sz w:val="24"/>
          <w:szCs w:val="24"/>
        </w:rPr>
        <w:lastRenderedPageBreak/>
        <w:t>能。</w:t>
      </w:r>
      <w:r w:rsidRPr="00FC06EA">
        <w:rPr>
          <w:rFonts w:ascii="Times New Roman" w:eastAsia="宋体" w:hAnsi="Times New Roman" w:cs="Times New Roman" w:hint="eastAsia"/>
          <w:sz w:val="24"/>
          <w:szCs w:val="24"/>
        </w:rPr>
        <w:t>将位于外显子区域的突变根据其是否引起氨基酸的改变进行分类注释，如非同义突变、同义突变等，通常非同义突变导致相应氨基酸改变从而使得基因功能发生改变，而</w:t>
      </w:r>
      <w:proofErr w:type="spellStart"/>
      <w:r w:rsidRPr="00FC06EA">
        <w:rPr>
          <w:rFonts w:ascii="Times New Roman" w:eastAsia="宋体" w:hAnsi="Times New Roman" w:cs="Times New Roman"/>
          <w:sz w:val="24"/>
          <w:szCs w:val="24"/>
        </w:rPr>
        <w:t>Stopgain</w:t>
      </w:r>
      <w:proofErr w:type="spellEnd"/>
      <w:r w:rsidRPr="00FC06EA">
        <w:rPr>
          <w:rFonts w:ascii="Times New Roman" w:eastAsia="宋体" w:hAnsi="Times New Roman" w:cs="Times New Roman"/>
          <w:sz w:val="24"/>
          <w:szCs w:val="24"/>
        </w:rPr>
        <w:t>和</w:t>
      </w:r>
      <w:proofErr w:type="spellStart"/>
      <w:r w:rsidRPr="00FC06EA">
        <w:rPr>
          <w:rFonts w:ascii="Times New Roman" w:eastAsia="宋体" w:hAnsi="Times New Roman" w:cs="Times New Roman"/>
          <w:sz w:val="24"/>
          <w:szCs w:val="24"/>
        </w:rPr>
        <w:t>Stoploss</w:t>
      </w:r>
      <w:proofErr w:type="spellEnd"/>
      <w:r w:rsidRPr="00FC06EA">
        <w:rPr>
          <w:rFonts w:ascii="Times New Roman" w:eastAsia="宋体" w:hAnsi="Times New Roman" w:cs="Times New Roman"/>
          <w:sz w:val="24"/>
          <w:szCs w:val="24"/>
        </w:rPr>
        <w:t>导致</w:t>
      </w:r>
      <w:r w:rsidRPr="00FC06EA">
        <w:rPr>
          <w:rFonts w:ascii="Times New Roman" w:eastAsia="宋体" w:hAnsi="Times New Roman" w:cs="Times New Roman" w:hint="eastAsia"/>
          <w:sz w:val="24"/>
          <w:szCs w:val="24"/>
        </w:rPr>
        <w:t>了终止子的提前出现或缺失。对样品外显子区的</w:t>
      </w:r>
      <w:r w:rsidRPr="00FC06EA">
        <w:rPr>
          <w:rFonts w:ascii="Times New Roman" w:eastAsia="宋体" w:hAnsi="Times New Roman" w:cs="Times New Roman"/>
          <w:sz w:val="24"/>
          <w:szCs w:val="24"/>
        </w:rPr>
        <w:t>SNP</w:t>
      </w:r>
      <w:r w:rsidRPr="00FC06EA">
        <w:rPr>
          <w:rFonts w:ascii="Times New Roman" w:eastAsia="宋体" w:hAnsi="Times New Roman" w:cs="Times New Roman"/>
          <w:sz w:val="24"/>
          <w:szCs w:val="24"/>
        </w:rPr>
        <w:t>进行功能分类统计作图，可直观看出</w:t>
      </w:r>
      <w:r w:rsidRPr="00FC06EA">
        <w:rPr>
          <w:rFonts w:ascii="Times New Roman" w:eastAsia="宋体" w:hAnsi="Times New Roman" w:cs="Times New Roman" w:hint="eastAsia"/>
          <w:sz w:val="24"/>
          <w:szCs w:val="24"/>
        </w:rPr>
        <w:t>功能分布情况。</w:t>
      </w:r>
    </w:p>
    <w:p w14:paraId="1F8254CA" w14:textId="5377F025" w:rsidR="00732FF2" w:rsidRDefault="00732FF2" w:rsidP="00732FF2">
      <w:pPr>
        <w:adjustRightInd w:val="0"/>
        <w:snapToGrid w:val="0"/>
        <w:spacing w:line="360" w:lineRule="auto"/>
        <w:ind w:firstLineChars="177" w:firstLine="425"/>
        <w:rPr>
          <w:rFonts w:ascii="Times New Roman" w:eastAsia="宋体" w:hAnsi="Times New Roman" w:cs="Times New Roman"/>
          <w:sz w:val="24"/>
          <w:szCs w:val="24"/>
        </w:rPr>
      </w:pPr>
      <w:r w:rsidRPr="00FC06EA">
        <w:rPr>
          <w:rFonts w:ascii="Times New Roman" w:eastAsia="宋体" w:hAnsi="Times New Roman" w:cs="Times New Roman" w:hint="eastAsia"/>
          <w:sz w:val="24"/>
          <w:szCs w:val="24"/>
        </w:rPr>
        <w:t>对于外显子区域上的</w:t>
      </w:r>
      <w:r>
        <w:rPr>
          <w:rFonts w:ascii="Times New Roman" w:eastAsia="宋体" w:hAnsi="Times New Roman" w:cs="Times New Roman" w:hint="eastAsia"/>
          <w:sz w:val="24"/>
          <w:szCs w:val="24"/>
        </w:rPr>
        <w:t>INDEL</w:t>
      </w:r>
      <w:r w:rsidRPr="00FC06EA">
        <w:rPr>
          <w:rFonts w:ascii="Times New Roman" w:eastAsia="宋体" w:hAnsi="Times New Roman" w:cs="Times New Roman" w:hint="eastAsia"/>
          <w:sz w:val="24"/>
          <w:szCs w:val="24"/>
        </w:rPr>
        <w:t>突变，分别统计移码突变、非移码突变、</w:t>
      </w:r>
      <w:proofErr w:type="spellStart"/>
      <w:r w:rsidRPr="00FC06EA">
        <w:rPr>
          <w:rFonts w:ascii="Times New Roman" w:eastAsia="宋体" w:hAnsi="Times New Roman" w:cs="Times New Roman"/>
          <w:sz w:val="24"/>
          <w:szCs w:val="24"/>
        </w:rPr>
        <w:t>Stopgain</w:t>
      </w:r>
      <w:proofErr w:type="spellEnd"/>
      <w:r w:rsidRPr="00FC06EA">
        <w:rPr>
          <w:rFonts w:ascii="Times New Roman" w:eastAsia="宋体" w:hAnsi="Times New Roman" w:cs="Times New Roman"/>
          <w:sz w:val="24"/>
          <w:szCs w:val="24"/>
        </w:rPr>
        <w:t>（终止子的提前出现）</w:t>
      </w:r>
      <w:r w:rsidRPr="00FC06EA">
        <w:rPr>
          <w:rFonts w:ascii="Times New Roman" w:eastAsia="宋体" w:hAnsi="Times New Roman" w:cs="Times New Roman" w:hint="eastAsia"/>
          <w:sz w:val="24"/>
          <w:szCs w:val="24"/>
        </w:rPr>
        <w:t>和</w:t>
      </w:r>
      <w:proofErr w:type="spellStart"/>
      <w:r w:rsidRPr="00FC06EA">
        <w:rPr>
          <w:rFonts w:ascii="Times New Roman" w:eastAsia="宋体" w:hAnsi="Times New Roman" w:cs="Times New Roman"/>
          <w:sz w:val="24"/>
          <w:szCs w:val="24"/>
        </w:rPr>
        <w:t>Stoploss</w:t>
      </w:r>
      <w:proofErr w:type="spellEnd"/>
      <w:r w:rsidRPr="00FC06EA">
        <w:rPr>
          <w:rFonts w:ascii="Times New Roman" w:eastAsia="宋体" w:hAnsi="Times New Roman" w:cs="Times New Roman"/>
          <w:sz w:val="24"/>
          <w:szCs w:val="24"/>
        </w:rPr>
        <w:t>（终止子缺失）等功能分类相关的</w:t>
      </w:r>
      <w:proofErr w:type="spellStart"/>
      <w:r w:rsidRPr="00FC06EA">
        <w:rPr>
          <w:rFonts w:ascii="Times New Roman" w:eastAsia="宋体" w:hAnsi="Times New Roman" w:cs="Times New Roman"/>
          <w:sz w:val="24"/>
          <w:szCs w:val="24"/>
        </w:rPr>
        <w:t>InDel</w:t>
      </w:r>
      <w:proofErr w:type="spellEnd"/>
      <w:r w:rsidRPr="00FC06EA">
        <w:rPr>
          <w:rFonts w:ascii="Times New Roman" w:eastAsia="宋体" w:hAnsi="Times New Roman" w:cs="Times New Roman"/>
          <w:sz w:val="24"/>
          <w:szCs w:val="24"/>
        </w:rPr>
        <w:t>个数百分比</w:t>
      </w:r>
      <w:r>
        <w:rPr>
          <w:rFonts w:ascii="Times New Roman" w:eastAsia="宋体" w:hAnsi="Times New Roman" w:cs="Times New Roman" w:hint="eastAsia"/>
          <w:sz w:val="24"/>
          <w:szCs w:val="24"/>
        </w:rPr>
        <w:t>。</w:t>
      </w:r>
    </w:p>
    <w:p w14:paraId="65FB8DA4" w14:textId="3E254365" w:rsidR="00732FF2" w:rsidRPr="00FC06EA" w:rsidRDefault="00CC79F1" w:rsidP="00732FF2">
      <w:pPr>
        <w:adjustRightInd w:val="0"/>
        <w:snapToGrid w:val="0"/>
        <w:spacing w:line="360" w:lineRule="auto"/>
        <w:ind w:firstLineChars="177" w:firstLine="531"/>
        <w:rPr>
          <w:rFonts w:ascii="Times New Roman" w:eastAsia="宋体" w:hAnsi="Times New Roman" w:cs="Times New Roman"/>
          <w:sz w:val="24"/>
          <w:szCs w:val="24"/>
        </w:rPr>
      </w:pPr>
      <w:r>
        <w:rPr>
          <w:rFonts w:ascii="宋体" w:eastAsia="宋体" w:hAnsi="宋体"/>
          <w:noProof/>
          <w:sz w:val="30"/>
          <w:szCs w:val="30"/>
        </w:rPr>
        <w:drawing>
          <wp:anchor distT="0" distB="0" distL="114300" distR="114300" simplePos="0" relativeHeight="251660288" behindDoc="0" locked="0" layoutInCell="1" allowOverlap="1" wp14:anchorId="61245109" wp14:editId="4AC373FD">
            <wp:simplePos x="0" y="0"/>
            <wp:positionH relativeFrom="column">
              <wp:posOffset>-220980</wp:posOffset>
            </wp:positionH>
            <wp:positionV relativeFrom="paragraph">
              <wp:posOffset>299720</wp:posOffset>
            </wp:positionV>
            <wp:extent cx="3017520" cy="33756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03.snpfunc.png"/>
                    <pic:cNvPicPr/>
                  </pic:nvPicPr>
                  <pic:blipFill rotWithShape="1">
                    <a:blip r:embed="rId12" cstate="print">
                      <a:extLst>
                        <a:ext uri="{28A0092B-C50C-407E-A947-70E740481C1C}">
                          <a14:useLocalDpi xmlns:a14="http://schemas.microsoft.com/office/drawing/2010/main" val="0"/>
                        </a:ext>
                      </a:extLst>
                    </a:blip>
                    <a:srcRect l="21382" r="21406"/>
                    <a:stretch/>
                  </pic:blipFill>
                  <pic:spPr bwMode="auto">
                    <a:xfrm>
                      <a:off x="0" y="0"/>
                      <a:ext cx="3017520" cy="3375660"/>
                    </a:xfrm>
                    <a:prstGeom prst="rect">
                      <a:avLst/>
                    </a:prstGeom>
                    <a:ln>
                      <a:noFill/>
                    </a:ln>
                    <a:extLst>
                      <a:ext uri="{53640926-AAD7-44D8-BBD7-CCE9431645EC}">
                        <a14:shadowObscured xmlns:a14="http://schemas.microsoft.com/office/drawing/2010/main"/>
                      </a:ext>
                    </a:extLst>
                  </pic:spPr>
                </pic:pic>
              </a:graphicData>
            </a:graphic>
          </wp:anchor>
        </w:drawing>
      </w:r>
      <w:r>
        <w:rPr>
          <w:rFonts w:ascii="宋体" w:eastAsia="宋体" w:hAnsi="宋体"/>
          <w:noProof/>
          <w:sz w:val="30"/>
          <w:szCs w:val="30"/>
        </w:rPr>
        <w:drawing>
          <wp:anchor distT="0" distB="0" distL="114300" distR="114300" simplePos="0" relativeHeight="251661312" behindDoc="0" locked="0" layoutInCell="1" allowOverlap="1" wp14:anchorId="63112D3D" wp14:editId="61A79C2A">
            <wp:simplePos x="0" y="0"/>
            <wp:positionH relativeFrom="column">
              <wp:posOffset>2933700</wp:posOffset>
            </wp:positionH>
            <wp:positionV relativeFrom="paragraph">
              <wp:posOffset>299720</wp:posOffset>
            </wp:positionV>
            <wp:extent cx="2887980" cy="3375660"/>
            <wp:effectExtent l="0" t="0" r="762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03.indelfunc.png"/>
                    <pic:cNvPicPr/>
                  </pic:nvPicPr>
                  <pic:blipFill rotWithShape="1">
                    <a:blip r:embed="rId13" cstate="print">
                      <a:extLst>
                        <a:ext uri="{28A0092B-C50C-407E-A947-70E740481C1C}">
                          <a14:useLocalDpi xmlns:a14="http://schemas.microsoft.com/office/drawing/2010/main" val="0"/>
                        </a:ext>
                      </a:extLst>
                    </a:blip>
                    <a:srcRect l="22827" r="22418"/>
                    <a:stretch/>
                  </pic:blipFill>
                  <pic:spPr bwMode="auto">
                    <a:xfrm>
                      <a:off x="0" y="0"/>
                      <a:ext cx="2887980" cy="3375660"/>
                    </a:xfrm>
                    <a:prstGeom prst="rect">
                      <a:avLst/>
                    </a:prstGeom>
                    <a:ln>
                      <a:noFill/>
                    </a:ln>
                    <a:extLst>
                      <a:ext uri="{53640926-AAD7-44D8-BBD7-CCE9431645EC}">
                        <a14:shadowObscured xmlns:a14="http://schemas.microsoft.com/office/drawing/2010/main"/>
                      </a:ext>
                    </a:extLst>
                  </pic:spPr>
                </pic:pic>
              </a:graphicData>
            </a:graphic>
          </wp:anchor>
        </w:drawing>
      </w:r>
      <w:r w:rsidR="00732FF2">
        <w:rPr>
          <w:rFonts w:ascii="Times New Roman" w:eastAsia="宋体" w:hAnsi="Times New Roman" w:cs="Times New Roman" w:hint="eastAsia"/>
          <w:sz w:val="24"/>
          <w:szCs w:val="24"/>
        </w:rPr>
        <w:t>分别</w:t>
      </w:r>
      <w:r w:rsidR="00732FF2" w:rsidRPr="00FC06EA">
        <w:rPr>
          <w:rFonts w:ascii="Times New Roman" w:eastAsia="宋体" w:hAnsi="Times New Roman" w:cs="Times New Roman"/>
          <w:sz w:val="24"/>
          <w:szCs w:val="24"/>
        </w:rPr>
        <w:t>作图如下：</w:t>
      </w:r>
    </w:p>
    <w:p w14:paraId="005D6B02" w14:textId="40FB4DC9" w:rsidR="00B06250" w:rsidRPr="00CC79F1" w:rsidRDefault="00732FF2" w:rsidP="00CC79F1">
      <w:pPr>
        <w:adjustRightInd w:val="0"/>
        <w:snapToGrid w:val="0"/>
        <w:spacing w:line="360" w:lineRule="auto"/>
        <w:ind w:firstLineChars="100" w:firstLine="211"/>
        <w:jc w:val="left"/>
        <w:rPr>
          <w:rFonts w:ascii="Times New Roman" w:eastAsia="宋体" w:hAnsi="Times New Roman" w:cs="Times New Roman" w:hint="eastAsia"/>
          <w:b/>
          <w:bCs/>
          <w:szCs w:val="21"/>
        </w:rPr>
      </w:pPr>
      <w:r w:rsidRPr="00FC06EA">
        <w:rPr>
          <w:rFonts w:ascii="Times New Roman" w:eastAsia="宋体" w:hAnsi="Times New Roman" w:cs="Times New Roman"/>
          <w:b/>
          <w:bCs/>
          <w:szCs w:val="21"/>
        </w:rPr>
        <w:t>图</w:t>
      </w:r>
      <w:r w:rsidR="00CC79F1">
        <w:rPr>
          <w:rFonts w:ascii="Times New Roman" w:eastAsia="宋体" w:hAnsi="Times New Roman" w:cs="Times New Roman"/>
          <w:b/>
          <w:bCs/>
          <w:szCs w:val="21"/>
        </w:rPr>
        <w:t>3</w:t>
      </w:r>
      <w:r w:rsidRPr="00FC06EA">
        <w:rPr>
          <w:rFonts w:ascii="Times New Roman" w:eastAsia="宋体" w:hAnsi="Times New Roman" w:cs="Times New Roman"/>
          <w:b/>
          <w:bCs/>
          <w:szCs w:val="21"/>
        </w:rPr>
        <w:t xml:space="preserve">. </w:t>
      </w:r>
      <w:r w:rsidRPr="00FC06EA">
        <w:rPr>
          <w:rFonts w:ascii="Times New Roman" w:eastAsia="宋体" w:hAnsi="Times New Roman" w:cs="Times New Roman"/>
          <w:b/>
          <w:bCs/>
          <w:szCs w:val="21"/>
        </w:rPr>
        <w:t>基因组不同区域</w:t>
      </w:r>
      <w:r w:rsidRPr="00FC06EA">
        <w:rPr>
          <w:rFonts w:ascii="Times New Roman" w:eastAsia="宋体" w:hAnsi="Times New Roman" w:cs="Times New Roman"/>
          <w:b/>
          <w:bCs/>
          <w:szCs w:val="21"/>
        </w:rPr>
        <w:t>SNP</w:t>
      </w:r>
      <w:r w:rsidRPr="00FC06EA">
        <w:rPr>
          <w:rFonts w:ascii="Times New Roman" w:eastAsia="宋体" w:hAnsi="Times New Roman" w:cs="Times New Roman"/>
          <w:b/>
          <w:bCs/>
          <w:szCs w:val="21"/>
        </w:rPr>
        <w:t>分布</w:t>
      </w:r>
      <w:r w:rsidRPr="00FC06EA">
        <w:rPr>
          <w:rFonts w:ascii="Times New Roman" w:eastAsia="宋体" w:hAnsi="Times New Roman" w:cs="Times New Roman" w:hint="eastAsia"/>
          <w:b/>
          <w:bCs/>
          <w:szCs w:val="21"/>
        </w:rPr>
        <w:t>图</w:t>
      </w:r>
      <w:r w:rsidR="00CC79F1">
        <w:rPr>
          <w:rFonts w:ascii="Times New Roman" w:eastAsia="宋体" w:hAnsi="Times New Roman" w:cs="Times New Roman" w:hint="eastAsia"/>
          <w:b/>
          <w:bCs/>
          <w:szCs w:val="21"/>
        </w:rPr>
        <w:t xml:space="preserve"> </w:t>
      </w:r>
      <w:r w:rsidR="00CC79F1">
        <w:rPr>
          <w:rFonts w:ascii="Times New Roman" w:eastAsia="宋体" w:hAnsi="Times New Roman" w:cs="Times New Roman"/>
          <w:b/>
          <w:bCs/>
          <w:szCs w:val="21"/>
        </w:rPr>
        <w:t xml:space="preserve">               4</w:t>
      </w:r>
      <w:r w:rsidR="00CC79F1" w:rsidRPr="00FC06EA">
        <w:rPr>
          <w:rFonts w:ascii="Times New Roman" w:eastAsia="宋体" w:hAnsi="Times New Roman" w:cs="Times New Roman"/>
          <w:b/>
          <w:bCs/>
          <w:szCs w:val="21"/>
        </w:rPr>
        <w:t xml:space="preserve">. </w:t>
      </w:r>
      <w:r w:rsidR="00CC79F1" w:rsidRPr="00FC06EA">
        <w:rPr>
          <w:rFonts w:ascii="Times New Roman" w:eastAsia="宋体" w:hAnsi="Times New Roman" w:cs="Times New Roman"/>
          <w:b/>
          <w:bCs/>
          <w:szCs w:val="21"/>
        </w:rPr>
        <w:t>基因组不同区域</w:t>
      </w:r>
      <w:r w:rsidR="00CC79F1">
        <w:rPr>
          <w:rFonts w:ascii="Times New Roman" w:eastAsia="宋体" w:hAnsi="Times New Roman" w:cs="Times New Roman"/>
          <w:b/>
          <w:bCs/>
          <w:szCs w:val="21"/>
        </w:rPr>
        <w:t>INDEL</w:t>
      </w:r>
      <w:r w:rsidR="00CC79F1" w:rsidRPr="00FC06EA">
        <w:rPr>
          <w:rFonts w:ascii="Times New Roman" w:eastAsia="宋体" w:hAnsi="Times New Roman" w:cs="Times New Roman"/>
          <w:b/>
          <w:bCs/>
          <w:szCs w:val="21"/>
        </w:rPr>
        <w:t>分布</w:t>
      </w:r>
      <w:r w:rsidR="00CC79F1" w:rsidRPr="00FC06EA">
        <w:rPr>
          <w:rFonts w:ascii="Times New Roman" w:eastAsia="宋体" w:hAnsi="Times New Roman" w:cs="Times New Roman" w:hint="eastAsia"/>
          <w:b/>
          <w:bCs/>
          <w:szCs w:val="21"/>
        </w:rPr>
        <w:t>图</w:t>
      </w:r>
    </w:p>
    <w:p w14:paraId="733C9E87" w14:textId="77777777" w:rsidR="00B06250" w:rsidRDefault="00B06250" w:rsidP="001F072E">
      <w:pPr>
        <w:adjustRightInd w:val="0"/>
        <w:snapToGrid w:val="0"/>
        <w:spacing w:line="360" w:lineRule="auto"/>
        <w:jc w:val="left"/>
        <w:rPr>
          <w:rFonts w:ascii="Times New Roman" w:eastAsia="宋体" w:hAnsi="Times New Roman" w:cs="Times New Roman"/>
          <w:sz w:val="24"/>
          <w:szCs w:val="24"/>
        </w:rPr>
      </w:pPr>
    </w:p>
    <w:p w14:paraId="56B4ADF7" w14:textId="14F71B2F" w:rsidR="00CC79F1" w:rsidRDefault="00CC79F1">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8A3AC1C" w14:textId="66E52EE2" w:rsidR="001F072E" w:rsidRDefault="001F072E" w:rsidP="001F072E">
      <w:pPr>
        <w:adjustRightInd w:val="0"/>
        <w:snapToGrid w:val="0"/>
        <w:spacing w:line="360" w:lineRule="auto"/>
        <w:jc w:val="left"/>
        <w:rPr>
          <w:rFonts w:ascii="Times New Roman" w:eastAsia="宋体" w:hAnsi="Times New Roman" w:cs="Times New Roman"/>
          <w:sz w:val="24"/>
          <w:szCs w:val="24"/>
        </w:rPr>
      </w:pPr>
      <w:r w:rsidRPr="004F5D4C">
        <w:rPr>
          <w:rFonts w:ascii="Times New Roman" w:eastAsia="宋体" w:hAnsi="Times New Roman" w:cs="Times New Roman"/>
          <w:sz w:val="24"/>
          <w:szCs w:val="24"/>
        </w:rPr>
        <w:lastRenderedPageBreak/>
        <w:t>表</w:t>
      </w:r>
      <w:r w:rsidRPr="004F5D4C">
        <w:rPr>
          <w:rFonts w:ascii="Times New Roman" w:eastAsia="宋体" w:hAnsi="Times New Roman" w:cs="Times New Roman"/>
          <w:sz w:val="24"/>
          <w:szCs w:val="24"/>
        </w:rPr>
        <w:t>1.</w:t>
      </w:r>
      <w:r w:rsidRPr="004F5D4C">
        <w:rPr>
          <w:rFonts w:ascii="Times New Roman" w:eastAsia="宋体" w:hAnsi="Times New Roman" w:cs="Times New Roman"/>
          <w:sz w:val="24"/>
          <w:szCs w:val="24"/>
        </w:rPr>
        <w:t>检测到与临床表型可能相关的变异</w:t>
      </w:r>
    </w:p>
    <w:tbl>
      <w:tblPr>
        <w:tblStyle w:val="a8"/>
        <w:tblW w:w="9215" w:type="dxa"/>
        <w:tblInd w:w="-289" w:type="dxa"/>
        <w:tblLayout w:type="fixed"/>
        <w:tblLook w:val="04A0" w:firstRow="1" w:lastRow="0" w:firstColumn="1" w:lastColumn="0" w:noHBand="0" w:noVBand="1"/>
      </w:tblPr>
      <w:tblGrid>
        <w:gridCol w:w="1135"/>
        <w:gridCol w:w="1984"/>
        <w:gridCol w:w="1560"/>
        <w:gridCol w:w="1559"/>
        <w:gridCol w:w="1559"/>
        <w:gridCol w:w="1418"/>
      </w:tblGrid>
      <w:tr w:rsidR="000164A2" w:rsidRPr="004F5D4C" w14:paraId="23975C73" w14:textId="77777777" w:rsidTr="00CC79F1">
        <w:tc>
          <w:tcPr>
            <w:tcW w:w="9215" w:type="dxa"/>
            <w:gridSpan w:val="6"/>
            <w:vAlign w:val="center"/>
          </w:tcPr>
          <w:p w14:paraId="30C57E9F" w14:textId="6D4A2086" w:rsidR="000164A2" w:rsidRPr="004F5D4C" w:rsidRDefault="000164A2" w:rsidP="000164A2">
            <w:pPr>
              <w:adjustRightInd w:val="0"/>
              <w:snapToGrid w:val="0"/>
              <w:spacing w:line="360" w:lineRule="auto"/>
              <w:jc w:val="left"/>
              <w:rPr>
                <w:rFonts w:ascii="Times New Roman" w:eastAsia="宋体" w:hAnsi="Times New Roman" w:cs="Times New Roman"/>
                <w:b/>
                <w:bCs/>
                <w:sz w:val="24"/>
                <w:szCs w:val="24"/>
              </w:rPr>
            </w:pPr>
            <w:r w:rsidRPr="00DE1671">
              <w:rPr>
                <w:rFonts w:ascii="Times New Roman" w:eastAsia="宋体" w:hAnsi="Times New Roman" w:cs="Times New Roman" w:hint="eastAsia"/>
                <w:b/>
                <w:bCs/>
                <w:color w:val="00B0F0"/>
                <w:sz w:val="24"/>
                <w:szCs w:val="24"/>
              </w:rPr>
              <w:t>与临床表型相关的致病性变异</w:t>
            </w:r>
            <w:r w:rsidRPr="00DE1671">
              <w:rPr>
                <w:rFonts w:ascii="Times New Roman" w:eastAsia="宋体" w:hAnsi="Times New Roman" w:cs="Times New Roman" w:hint="eastAsia"/>
                <w:b/>
                <w:bCs/>
                <w:color w:val="00B0F0"/>
                <w:sz w:val="24"/>
                <w:szCs w:val="24"/>
              </w:rPr>
              <w:t>/</w:t>
            </w:r>
            <w:r w:rsidRPr="00DE1671">
              <w:rPr>
                <w:rFonts w:ascii="Times New Roman" w:eastAsia="宋体" w:hAnsi="Times New Roman" w:cs="Times New Roman" w:hint="eastAsia"/>
                <w:b/>
                <w:bCs/>
                <w:color w:val="00B0F0"/>
                <w:sz w:val="24"/>
                <w:szCs w:val="24"/>
              </w:rPr>
              <w:t>疑似致病性变异</w:t>
            </w:r>
          </w:p>
        </w:tc>
      </w:tr>
      <w:tr w:rsidR="001F072E" w:rsidRPr="004F5D4C" w14:paraId="661CCAF2" w14:textId="77777777" w:rsidTr="001F072E">
        <w:tc>
          <w:tcPr>
            <w:tcW w:w="1135" w:type="dxa"/>
            <w:vMerge w:val="restart"/>
            <w:vAlign w:val="center"/>
          </w:tcPr>
          <w:p w14:paraId="4A0E8B15"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基因名</w:t>
            </w:r>
          </w:p>
        </w:tc>
        <w:tc>
          <w:tcPr>
            <w:tcW w:w="1984" w:type="dxa"/>
            <w:vMerge w:val="restart"/>
            <w:vAlign w:val="center"/>
          </w:tcPr>
          <w:p w14:paraId="2AFA8776"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突变类型</w:t>
            </w:r>
          </w:p>
        </w:tc>
        <w:tc>
          <w:tcPr>
            <w:tcW w:w="3119" w:type="dxa"/>
            <w:gridSpan w:val="2"/>
            <w:vAlign w:val="center"/>
          </w:tcPr>
          <w:p w14:paraId="682B83BF"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基因型频率</w:t>
            </w:r>
          </w:p>
        </w:tc>
        <w:tc>
          <w:tcPr>
            <w:tcW w:w="1559" w:type="dxa"/>
            <w:vMerge w:val="restart"/>
            <w:vAlign w:val="center"/>
          </w:tcPr>
          <w:p w14:paraId="686A13F8" w14:textId="1CF85FFE"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SIFT_pred</w:t>
            </w:r>
            <w:proofErr w:type="spellEnd"/>
            <w:r w:rsidRPr="004F5D4C">
              <w:rPr>
                <w:rFonts w:ascii="Times New Roman" w:eastAsia="宋体" w:hAnsi="Times New Roman" w:cs="Times New Roman"/>
                <w:b/>
                <w:bCs/>
                <w:sz w:val="24"/>
                <w:szCs w:val="24"/>
              </w:rPr>
              <w:t xml:space="preserve"> </w:t>
            </w:r>
            <w:r w:rsidR="00883F2B">
              <w:rPr>
                <w:rFonts w:ascii="Times New Roman" w:eastAsia="宋体" w:hAnsi="Times New Roman" w:cs="Times New Roman" w:hint="eastAsia"/>
                <w:b/>
                <w:bCs/>
                <w:sz w:val="24"/>
                <w:szCs w:val="24"/>
              </w:rPr>
              <w:t>保守</w:t>
            </w:r>
            <w:proofErr w:type="gramStart"/>
            <w:r>
              <w:rPr>
                <w:rFonts w:ascii="Times New Roman" w:eastAsia="宋体" w:hAnsi="Times New Roman" w:cs="Times New Roman" w:hint="eastAsia"/>
                <w:b/>
                <w:bCs/>
                <w:sz w:val="24"/>
                <w:szCs w:val="24"/>
              </w:rPr>
              <w:t>性</w:t>
            </w:r>
            <w:r w:rsidRPr="004F5D4C">
              <w:rPr>
                <w:rFonts w:ascii="Times New Roman" w:eastAsia="宋体" w:hAnsi="Times New Roman" w:cs="Times New Roman" w:hint="eastAsia"/>
                <w:b/>
                <w:bCs/>
                <w:sz w:val="24"/>
                <w:szCs w:val="24"/>
              </w:rPr>
              <w:t>预测</w:t>
            </w:r>
            <w:proofErr w:type="gramEnd"/>
          </w:p>
        </w:tc>
        <w:tc>
          <w:tcPr>
            <w:tcW w:w="1418" w:type="dxa"/>
            <w:vMerge w:val="restart"/>
            <w:vAlign w:val="center"/>
          </w:tcPr>
          <w:p w14:paraId="488D0C47"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Polyphen2</w:t>
            </w:r>
            <w:r w:rsidRPr="004F5D4C">
              <w:rPr>
                <w:rFonts w:ascii="Times New Roman" w:eastAsia="宋体" w:hAnsi="Times New Roman" w:cs="Times New Roman"/>
                <w:b/>
                <w:bCs/>
                <w:sz w:val="24"/>
                <w:szCs w:val="24"/>
              </w:rPr>
              <w:t>预测</w:t>
            </w:r>
          </w:p>
        </w:tc>
      </w:tr>
      <w:tr w:rsidR="001F072E" w:rsidRPr="004F5D4C" w14:paraId="7663C856" w14:textId="77777777" w:rsidTr="001F072E">
        <w:tc>
          <w:tcPr>
            <w:tcW w:w="1135" w:type="dxa"/>
            <w:vMerge/>
            <w:vAlign w:val="center"/>
          </w:tcPr>
          <w:p w14:paraId="79A286DE" w14:textId="77777777" w:rsidR="001F072E" w:rsidRPr="004F5D4C" w:rsidRDefault="001F072E" w:rsidP="00CC79F1">
            <w:pPr>
              <w:adjustRightInd w:val="0"/>
              <w:snapToGrid w:val="0"/>
              <w:spacing w:line="360" w:lineRule="auto"/>
              <w:jc w:val="center"/>
              <w:rPr>
                <w:rFonts w:ascii="Times New Roman" w:eastAsia="宋体" w:hAnsi="Times New Roman" w:cs="Times New Roman"/>
                <w:sz w:val="24"/>
                <w:szCs w:val="24"/>
              </w:rPr>
            </w:pPr>
          </w:p>
        </w:tc>
        <w:tc>
          <w:tcPr>
            <w:tcW w:w="1984" w:type="dxa"/>
            <w:vMerge/>
            <w:vAlign w:val="center"/>
          </w:tcPr>
          <w:p w14:paraId="6B1CF47F" w14:textId="77777777" w:rsidR="001F072E" w:rsidRPr="004F5D4C" w:rsidRDefault="001F072E" w:rsidP="00CC79F1">
            <w:pPr>
              <w:adjustRightInd w:val="0"/>
              <w:snapToGrid w:val="0"/>
              <w:spacing w:line="360" w:lineRule="auto"/>
              <w:jc w:val="center"/>
              <w:rPr>
                <w:rFonts w:ascii="Times New Roman" w:eastAsia="宋体" w:hAnsi="Times New Roman" w:cs="Times New Roman"/>
                <w:sz w:val="24"/>
                <w:szCs w:val="24"/>
              </w:rPr>
            </w:pPr>
          </w:p>
        </w:tc>
        <w:tc>
          <w:tcPr>
            <w:tcW w:w="1560" w:type="dxa"/>
            <w:vAlign w:val="center"/>
          </w:tcPr>
          <w:p w14:paraId="50DCA419"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1000G_EAS</w:t>
            </w:r>
          </w:p>
        </w:tc>
        <w:tc>
          <w:tcPr>
            <w:tcW w:w="1559" w:type="dxa"/>
            <w:vAlign w:val="center"/>
          </w:tcPr>
          <w:p w14:paraId="3B902594" w14:textId="77777777" w:rsidR="001F072E" w:rsidRPr="004F5D4C" w:rsidRDefault="001F072E"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ExAC_EAS</w:t>
            </w:r>
            <w:proofErr w:type="spellEnd"/>
          </w:p>
        </w:tc>
        <w:tc>
          <w:tcPr>
            <w:tcW w:w="1559" w:type="dxa"/>
            <w:vMerge/>
            <w:vAlign w:val="center"/>
          </w:tcPr>
          <w:p w14:paraId="23FE7815" w14:textId="77777777" w:rsidR="001F072E" w:rsidRPr="004F5D4C" w:rsidRDefault="001F072E" w:rsidP="00CC79F1">
            <w:pPr>
              <w:adjustRightInd w:val="0"/>
              <w:snapToGrid w:val="0"/>
              <w:spacing w:line="360" w:lineRule="auto"/>
              <w:jc w:val="center"/>
              <w:rPr>
                <w:rFonts w:ascii="Times New Roman" w:eastAsia="宋体" w:hAnsi="Times New Roman" w:cs="Times New Roman"/>
                <w:sz w:val="24"/>
                <w:szCs w:val="24"/>
              </w:rPr>
            </w:pPr>
          </w:p>
        </w:tc>
        <w:tc>
          <w:tcPr>
            <w:tcW w:w="1418" w:type="dxa"/>
            <w:vMerge/>
            <w:vAlign w:val="center"/>
          </w:tcPr>
          <w:p w14:paraId="745184E2" w14:textId="77777777" w:rsidR="001F072E" w:rsidRPr="004F5D4C" w:rsidRDefault="001F072E" w:rsidP="00CC79F1">
            <w:pPr>
              <w:adjustRightInd w:val="0"/>
              <w:snapToGrid w:val="0"/>
              <w:spacing w:line="360" w:lineRule="auto"/>
              <w:jc w:val="center"/>
              <w:rPr>
                <w:rFonts w:ascii="Times New Roman" w:eastAsia="宋体" w:hAnsi="Times New Roman" w:cs="Times New Roman"/>
                <w:sz w:val="24"/>
                <w:szCs w:val="24"/>
              </w:rPr>
            </w:pPr>
          </w:p>
        </w:tc>
      </w:tr>
      <w:tr w:rsidR="00883F2B" w:rsidRPr="004F5D4C" w14:paraId="4912439E" w14:textId="77777777" w:rsidTr="00883F2B">
        <w:tc>
          <w:tcPr>
            <w:tcW w:w="1135" w:type="dxa"/>
            <w:vAlign w:val="center"/>
          </w:tcPr>
          <w:p w14:paraId="781D2B48" w14:textId="5C24A4B8" w:rsidR="00883F2B" w:rsidRPr="00883F2B" w:rsidRDefault="00883F2B" w:rsidP="00FC0934">
            <w:pPr>
              <w:adjustRightInd w:val="0"/>
              <w:snapToGrid w:val="0"/>
              <w:spacing w:line="360" w:lineRule="auto"/>
              <w:jc w:val="center"/>
              <w:rPr>
                <w:rFonts w:ascii="Times New Roman" w:eastAsia="宋体" w:hAnsi="Times New Roman" w:cs="Times New Roman"/>
                <w:sz w:val="24"/>
                <w:szCs w:val="24"/>
                <w:highlight w:val="yellow"/>
              </w:rPr>
            </w:pPr>
            <w:r w:rsidRPr="00883F2B">
              <w:rPr>
                <w:rFonts w:ascii="Times New Roman" w:eastAsia="宋体" w:hAnsi="Times New Roman" w:cs="Times New Roman" w:hint="eastAsia"/>
                <w:sz w:val="24"/>
                <w:szCs w:val="24"/>
                <w:highlight w:val="yellow"/>
              </w:rPr>
              <w:t>PANX1</w:t>
            </w:r>
          </w:p>
        </w:tc>
        <w:tc>
          <w:tcPr>
            <w:tcW w:w="1984" w:type="dxa"/>
            <w:vAlign w:val="center"/>
          </w:tcPr>
          <w:p w14:paraId="121270DB" w14:textId="7C58BEC5" w:rsidR="00883F2B" w:rsidRPr="00883F2B" w:rsidRDefault="00883F2B" w:rsidP="00883F2B">
            <w:pPr>
              <w:widowControl/>
              <w:jc w:val="center"/>
              <w:rPr>
                <w:rFonts w:ascii="Times New Roman" w:eastAsia="宋体" w:hAnsi="Times New Roman" w:cs="Times New Roman"/>
                <w:sz w:val="24"/>
                <w:szCs w:val="24"/>
                <w:highlight w:val="yellow"/>
              </w:rPr>
            </w:pPr>
            <w:r w:rsidRPr="00883F2B">
              <w:rPr>
                <w:rFonts w:ascii="Times New Roman" w:eastAsia="宋体" w:hAnsi="Times New Roman" w:cs="Times New Roman" w:hint="eastAsia"/>
                <w:sz w:val="24"/>
                <w:szCs w:val="24"/>
                <w:highlight w:val="yellow"/>
              </w:rPr>
              <w:t>nonsynonymous SNV</w:t>
            </w:r>
          </w:p>
        </w:tc>
        <w:tc>
          <w:tcPr>
            <w:tcW w:w="1560" w:type="dxa"/>
            <w:vAlign w:val="center"/>
          </w:tcPr>
          <w:p w14:paraId="6880333C" w14:textId="2F6DCBD6" w:rsidR="00883F2B" w:rsidRPr="00883F2B" w:rsidRDefault="00883F2B" w:rsidP="00FC0934">
            <w:pPr>
              <w:adjustRightInd w:val="0"/>
              <w:snapToGrid w:val="0"/>
              <w:spacing w:line="360" w:lineRule="auto"/>
              <w:jc w:val="center"/>
              <w:rPr>
                <w:rFonts w:ascii="Times New Roman" w:eastAsia="宋体" w:hAnsi="Times New Roman" w:cs="Times New Roman"/>
                <w:sz w:val="24"/>
                <w:szCs w:val="24"/>
                <w:highlight w:val="yellow"/>
              </w:rPr>
            </w:pPr>
            <w:r w:rsidRPr="00883F2B">
              <w:rPr>
                <w:rFonts w:ascii="Times New Roman" w:eastAsia="宋体" w:hAnsi="Times New Roman" w:cs="Times New Roman" w:hint="eastAsia"/>
                <w:sz w:val="24"/>
                <w:szCs w:val="24"/>
                <w:highlight w:val="yellow"/>
              </w:rPr>
              <w:t>NA</w:t>
            </w:r>
          </w:p>
        </w:tc>
        <w:tc>
          <w:tcPr>
            <w:tcW w:w="1559" w:type="dxa"/>
            <w:vAlign w:val="center"/>
          </w:tcPr>
          <w:p w14:paraId="193A6F0C" w14:textId="66026C74" w:rsidR="00883F2B" w:rsidRPr="00883F2B" w:rsidRDefault="00883F2B" w:rsidP="00FC0934">
            <w:pPr>
              <w:adjustRightInd w:val="0"/>
              <w:snapToGrid w:val="0"/>
              <w:spacing w:line="360" w:lineRule="auto"/>
              <w:jc w:val="center"/>
              <w:rPr>
                <w:rFonts w:ascii="Times New Roman" w:eastAsia="宋体" w:hAnsi="Times New Roman" w:cs="Times New Roman"/>
                <w:sz w:val="24"/>
                <w:szCs w:val="24"/>
                <w:highlight w:val="yellow"/>
              </w:rPr>
            </w:pPr>
            <w:r w:rsidRPr="00883F2B">
              <w:rPr>
                <w:rFonts w:ascii="Times New Roman" w:eastAsia="宋体" w:hAnsi="Times New Roman" w:cs="Times New Roman" w:hint="eastAsia"/>
                <w:sz w:val="24"/>
                <w:szCs w:val="24"/>
                <w:highlight w:val="yellow"/>
              </w:rPr>
              <w:t>NA</w:t>
            </w:r>
          </w:p>
        </w:tc>
        <w:tc>
          <w:tcPr>
            <w:tcW w:w="1559" w:type="dxa"/>
            <w:vAlign w:val="center"/>
          </w:tcPr>
          <w:p w14:paraId="71C2E890" w14:textId="3499C0B9" w:rsidR="00883F2B" w:rsidRPr="004F5D4C" w:rsidRDefault="00883F2B" w:rsidP="00FC0934">
            <w:pPr>
              <w:adjustRightInd w:val="0"/>
              <w:snapToGrid w:val="0"/>
              <w:spacing w:line="360" w:lineRule="auto"/>
              <w:jc w:val="center"/>
              <w:rPr>
                <w:rFonts w:ascii="Times New Roman" w:eastAsia="宋体" w:hAnsi="Times New Roman" w:cs="Times New Roman"/>
                <w:sz w:val="24"/>
                <w:szCs w:val="24"/>
              </w:rPr>
            </w:pPr>
            <w:r w:rsidRPr="008A75A2">
              <w:rPr>
                <w:rFonts w:ascii="Times New Roman" w:eastAsia="宋体" w:hAnsi="Times New Roman" w:cs="Times New Roman" w:hint="eastAsia"/>
                <w:sz w:val="24"/>
                <w:szCs w:val="24"/>
                <w:highlight w:val="yellow"/>
              </w:rPr>
              <w:t>D</w:t>
            </w:r>
            <w:r w:rsidRPr="008A75A2">
              <w:rPr>
                <w:rFonts w:ascii="Times New Roman" w:eastAsia="宋体" w:hAnsi="Times New Roman" w:cs="Times New Roman"/>
                <w:sz w:val="24"/>
                <w:szCs w:val="24"/>
                <w:highlight w:val="yellow"/>
              </w:rPr>
              <w:t>amage</w:t>
            </w:r>
          </w:p>
        </w:tc>
        <w:tc>
          <w:tcPr>
            <w:tcW w:w="1418" w:type="dxa"/>
            <w:vAlign w:val="center"/>
          </w:tcPr>
          <w:p w14:paraId="69E9CAB4" w14:textId="09835380" w:rsidR="00883F2B" w:rsidRPr="004F5D4C" w:rsidRDefault="00883F2B" w:rsidP="00FC0934">
            <w:pPr>
              <w:adjustRightInd w:val="0"/>
              <w:snapToGrid w:val="0"/>
              <w:spacing w:line="360" w:lineRule="auto"/>
              <w:jc w:val="center"/>
              <w:rPr>
                <w:rFonts w:ascii="Times New Roman" w:eastAsia="宋体" w:hAnsi="Times New Roman" w:cs="Times New Roman"/>
                <w:sz w:val="24"/>
                <w:szCs w:val="24"/>
              </w:rPr>
            </w:pPr>
            <w:r w:rsidRPr="008A75A2">
              <w:rPr>
                <w:rFonts w:ascii="Times New Roman" w:eastAsia="宋体" w:hAnsi="Times New Roman" w:cs="Times New Roman" w:hint="eastAsia"/>
                <w:sz w:val="24"/>
                <w:szCs w:val="24"/>
                <w:highlight w:val="yellow"/>
              </w:rPr>
              <w:t>D</w:t>
            </w:r>
            <w:r w:rsidRPr="008A75A2">
              <w:rPr>
                <w:rFonts w:ascii="Times New Roman" w:eastAsia="宋体" w:hAnsi="Times New Roman" w:cs="Times New Roman"/>
                <w:sz w:val="24"/>
                <w:szCs w:val="24"/>
                <w:highlight w:val="yellow"/>
              </w:rPr>
              <w:t>amage</w:t>
            </w:r>
          </w:p>
        </w:tc>
      </w:tr>
      <w:tr w:rsidR="000164A2" w:rsidRPr="004F5D4C" w14:paraId="1658B75E" w14:textId="77777777" w:rsidTr="00CC79F1">
        <w:tc>
          <w:tcPr>
            <w:tcW w:w="9215" w:type="dxa"/>
            <w:gridSpan w:val="6"/>
            <w:vAlign w:val="center"/>
          </w:tcPr>
          <w:p w14:paraId="72CBFA92" w14:textId="7BD34FF9" w:rsidR="000164A2" w:rsidRPr="000164A2" w:rsidRDefault="000164A2" w:rsidP="000164A2">
            <w:pPr>
              <w:adjustRightInd w:val="0"/>
              <w:snapToGrid w:val="0"/>
              <w:spacing w:line="360" w:lineRule="auto"/>
              <w:jc w:val="left"/>
              <w:rPr>
                <w:rFonts w:ascii="Times New Roman" w:eastAsia="宋体" w:hAnsi="Times New Roman" w:cs="Times New Roman"/>
                <w:b/>
                <w:bCs/>
                <w:sz w:val="24"/>
                <w:szCs w:val="24"/>
              </w:rPr>
            </w:pPr>
            <w:r w:rsidRPr="00DE1671">
              <w:rPr>
                <w:rFonts w:ascii="Times New Roman" w:eastAsia="宋体" w:hAnsi="Times New Roman" w:cs="Times New Roman" w:hint="eastAsia"/>
                <w:b/>
                <w:bCs/>
                <w:color w:val="00B0F0"/>
                <w:sz w:val="24"/>
                <w:szCs w:val="24"/>
              </w:rPr>
              <w:t>与临床表型相关的临床意义未明的变异</w:t>
            </w:r>
          </w:p>
        </w:tc>
      </w:tr>
      <w:tr w:rsidR="000164A2" w:rsidRPr="004F5D4C" w14:paraId="71C34234" w14:textId="77777777" w:rsidTr="00CC79F1">
        <w:tc>
          <w:tcPr>
            <w:tcW w:w="1135" w:type="dxa"/>
            <w:vMerge w:val="restart"/>
            <w:vAlign w:val="center"/>
          </w:tcPr>
          <w:p w14:paraId="32E08CFC"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基因名</w:t>
            </w:r>
          </w:p>
        </w:tc>
        <w:tc>
          <w:tcPr>
            <w:tcW w:w="1984" w:type="dxa"/>
            <w:vMerge w:val="restart"/>
            <w:vAlign w:val="center"/>
          </w:tcPr>
          <w:p w14:paraId="6B8D80A7"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突变类型</w:t>
            </w:r>
          </w:p>
        </w:tc>
        <w:tc>
          <w:tcPr>
            <w:tcW w:w="3119" w:type="dxa"/>
            <w:gridSpan w:val="2"/>
            <w:vAlign w:val="center"/>
          </w:tcPr>
          <w:p w14:paraId="2E8D7018"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基因型频率</w:t>
            </w:r>
          </w:p>
        </w:tc>
        <w:tc>
          <w:tcPr>
            <w:tcW w:w="1559" w:type="dxa"/>
            <w:vMerge w:val="restart"/>
            <w:vAlign w:val="center"/>
          </w:tcPr>
          <w:p w14:paraId="03121214" w14:textId="45B534CD"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SIFT_pred</w:t>
            </w:r>
            <w:proofErr w:type="spellEnd"/>
            <w:r w:rsidRPr="004F5D4C">
              <w:rPr>
                <w:rFonts w:ascii="Times New Roman" w:eastAsia="宋体" w:hAnsi="Times New Roman" w:cs="Times New Roman"/>
                <w:b/>
                <w:bCs/>
                <w:sz w:val="24"/>
                <w:szCs w:val="24"/>
              </w:rPr>
              <w:t xml:space="preserve"> </w:t>
            </w:r>
            <w:r w:rsidR="00883F2B">
              <w:rPr>
                <w:rFonts w:ascii="Times New Roman" w:eastAsia="宋体" w:hAnsi="Times New Roman" w:cs="Times New Roman" w:hint="eastAsia"/>
                <w:b/>
                <w:bCs/>
                <w:sz w:val="24"/>
                <w:szCs w:val="24"/>
              </w:rPr>
              <w:t>保守</w:t>
            </w:r>
            <w:proofErr w:type="gramStart"/>
            <w:r>
              <w:rPr>
                <w:rFonts w:ascii="Times New Roman" w:eastAsia="宋体" w:hAnsi="Times New Roman" w:cs="Times New Roman" w:hint="eastAsia"/>
                <w:b/>
                <w:bCs/>
                <w:sz w:val="24"/>
                <w:szCs w:val="24"/>
              </w:rPr>
              <w:t>性</w:t>
            </w:r>
            <w:r w:rsidRPr="004F5D4C">
              <w:rPr>
                <w:rFonts w:ascii="Times New Roman" w:eastAsia="宋体" w:hAnsi="Times New Roman" w:cs="Times New Roman" w:hint="eastAsia"/>
                <w:b/>
                <w:bCs/>
                <w:sz w:val="24"/>
                <w:szCs w:val="24"/>
              </w:rPr>
              <w:t>预测</w:t>
            </w:r>
            <w:proofErr w:type="gramEnd"/>
          </w:p>
        </w:tc>
        <w:tc>
          <w:tcPr>
            <w:tcW w:w="1418" w:type="dxa"/>
            <w:vMerge w:val="restart"/>
            <w:vAlign w:val="center"/>
          </w:tcPr>
          <w:p w14:paraId="674C3612"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Polyphen2</w:t>
            </w:r>
            <w:r w:rsidRPr="004F5D4C">
              <w:rPr>
                <w:rFonts w:ascii="Times New Roman" w:eastAsia="宋体" w:hAnsi="Times New Roman" w:cs="Times New Roman"/>
                <w:b/>
                <w:bCs/>
                <w:sz w:val="24"/>
                <w:szCs w:val="24"/>
              </w:rPr>
              <w:t>预测</w:t>
            </w:r>
          </w:p>
        </w:tc>
      </w:tr>
      <w:tr w:rsidR="000164A2" w:rsidRPr="004F5D4C" w14:paraId="48E8ED9A" w14:textId="77777777" w:rsidTr="00CC79F1">
        <w:tc>
          <w:tcPr>
            <w:tcW w:w="1135" w:type="dxa"/>
            <w:vMerge/>
            <w:vAlign w:val="center"/>
          </w:tcPr>
          <w:p w14:paraId="6ACFCAC9"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984" w:type="dxa"/>
            <w:vMerge/>
            <w:vAlign w:val="center"/>
          </w:tcPr>
          <w:p w14:paraId="40A371A3"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560" w:type="dxa"/>
            <w:vAlign w:val="center"/>
          </w:tcPr>
          <w:p w14:paraId="594B545A"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1000G_EAS</w:t>
            </w:r>
          </w:p>
        </w:tc>
        <w:tc>
          <w:tcPr>
            <w:tcW w:w="1559" w:type="dxa"/>
            <w:vAlign w:val="center"/>
          </w:tcPr>
          <w:p w14:paraId="39EFEE3E"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ExAC_EAS</w:t>
            </w:r>
            <w:proofErr w:type="spellEnd"/>
          </w:p>
        </w:tc>
        <w:tc>
          <w:tcPr>
            <w:tcW w:w="1559" w:type="dxa"/>
            <w:vMerge/>
            <w:vAlign w:val="center"/>
          </w:tcPr>
          <w:p w14:paraId="4493896E"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418" w:type="dxa"/>
            <w:vMerge/>
            <w:vAlign w:val="center"/>
          </w:tcPr>
          <w:p w14:paraId="6B0C10AF"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r>
      <w:tr w:rsidR="00D4792E" w:rsidRPr="004F5D4C" w14:paraId="3DA408AB" w14:textId="77777777" w:rsidTr="00CC79F1">
        <w:tc>
          <w:tcPr>
            <w:tcW w:w="9215" w:type="dxa"/>
            <w:gridSpan w:val="6"/>
            <w:vAlign w:val="center"/>
          </w:tcPr>
          <w:p w14:paraId="4CD5B596" w14:textId="6CE28134" w:rsidR="00D4792E" w:rsidRPr="004F5D4C" w:rsidRDefault="00D4792E" w:rsidP="00CC79F1">
            <w:pPr>
              <w:adjustRightInd w:val="0"/>
              <w:snapToGrid w:val="0"/>
              <w:spacing w:line="360" w:lineRule="auto"/>
              <w:jc w:val="center"/>
              <w:rPr>
                <w:rFonts w:ascii="Times New Roman" w:eastAsia="宋体" w:hAnsi="Times New Roman" w:cs="Times New Roman"/>
                <w:sz w:val="24"/>
                <w:szCs w:val="24"/>
              </w:rPr>
            </w:pPr>
            <w:r w:rsidRPr="008A75A2">
              <w:rPr>
                <w:rFonts w:ascii="Times New Roman" w:eastAsia="宋体" w:hAnsi="Times New Roman" w:cs="Times New Roman" w:hint="eastAsia"/>
                <w:sz w:val="24"/>
                <w:szCs w:val="24"/>
                <w:highlight w:val="yellow"/>
              </w:rPr>
              <w:t>无</w:t>
            </w:r>
          </w:p>
        </w:tc>
        <w:bookmarkStart w:id="0" w:name="_GoBack"/>
        <w:bookmarkEnd w:id="0"/>
      </w:tr>
      <w:tr w:rsidR="000164A2" w:rsidRPr="004F5D4C" w14:paraId="37217CE9" w14:textId="77777777" w:rsidTr="00CC79F1">
        <w:tc>
          <w:tcPr>
            <w:tcW w:w="9215" w:type="dxa"/>
            <w:gridSpan w:val="6"/>
            <w:vAlign w:val="center"/>
          </w:tcPr>
          <w:p w14:paraId="4A123253" w14:textId="53347F5D" w:rsidR="000164A2" w:rsidRPr="00DE1671" w:rsidRDefault="000164A2" w:rsidP="000164A2">
            <w:pPr>
              <w:adjustRightInd w:val="0"/>
              <w:snapToGrid w:val="0"/>
              <w:spacing w:line="360" w:lineRule="auto"/>
              <w:jc w:val="left"/>
              <w:rPr>
                <w:rFonts w:ascii="Times New Roman" w:eastAsia="宋体" w:hAnsi="Times New Roman" w:cs="Times New Roman"/>
                <w:b/>
                <w:bCs/>
                <w:color w:val="00B0F0"/>
                <w:sz w:val="24"/>
                <w:szCs w:val="24"/>
              </w:rPr>
            </w:pPr>
            <w:r w:rsidRPr="00DE1671">
              <w:rPr>
                <w:rFonts w:ascii="Times New Roman" w:eastAsia="宋体" w:hAnsi="Times New Roman" w:cs="Times New Roman" w:hint="eastAsia"/>
                <w:b/>
                <w:bCs/>
                <w:color w:val="00B0F0"/>
                <w:sz w:val="24"/>
                <w:szCs w:val="24"/>
              </w:rPr>
              <w:t>与临床表型可能或部分相关的基因变异的临床意义未明变异</w:t>
            </w:r>
          </w:p>
        </w:tc>
      </w:tr>
      <w:tr w:rsidR="000164A2" w:rsidRPr="004F5D4C" w14:paraId="64879408" w14:textId="77777777" w:rsidTr="00CC79F1">
        <w:tc>
          <w:tcPr>
            <w:tcW w:w="1135" w:type="dxa"/>
            <w:vMerge w:val="restart"/>
            <w:vAlign w:val="center"/>
          </w:tcPr>
          <w:p w14:paraId="33C4D476"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基因名</w:t>
            </w:r>
          </w:p>
        </w:tc>
        <w:tc>
          <w:tcPr>
            <w:tcW w:w="1984" w:type="dxa"/>
            <w:vMerge w:val="restart"/>
            <w:vAlign w:val="center"/>
          </w:tcPr>
          <w:p w14:paraId="2117921A"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突变类型</w:t>
            </w:r>
          </w:p>
        </w:tc>
        <w:tc>
          <w:tcPr>
            <w:tcW w:w="3119" w:type="dxa"/>
            <w:gridSpan w:val="2"/>
            <w:vAlign w:val="center"/>
          </w:tcPr>
          <w:p w14:paraId="204CC41E"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基因型频率</w:t>
            </w:r>
          </w:p>
        </w:tc>
        <w:tc>
          <w:tcPr>
            <w:tcW w:w="1559" w:type="dxa"/>
            <w:vMerge w:val="restart"/>
            <w:vAlign w:val="center"/>
          </w:tcPr>
          <w:p w14:paraId="3C0C701E" w14:textId="146F6110"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SIFT_pred</w:t>
            </w:r>
            <w:proofErr w:type="spellEnd"/>
            <w:r w:rsidRPr="004F5D4C">
              <w:rPr>
                <w:rFonts w:ascii="Times New Roman" w:eastAsia="宋体" w:hAnsi="Times New Roman" w:cs="Times New Roman"/>
                <w:b/>
                <w:bCs/>
                <w:sz w:val="24"/>
                <w:szCs w:val="24"/>
              </w:rPr>
              <w:t xml:space="preserve"> </w:t>
            </w:r>
            <w:r w:rsidR="00883F2B">
              <w:rPr>
                <w:rFonts w:ascii="Times New Roman" w:eastAsia="宋体" w:hAnsi="Times New Roman" w:cs="Times New Roman" w:hint="eastAsia"/>
                <w:b/>
                <w:bCs/>
                <w:sz w:val="24"/>
                <w:szCs w:val="24"/>
              </w:rPr>
              <w:t>保守</w:t>
            </w:r>
            <w:proofErr w:type="gramStart"/>
            <w:r>
              <w:rPr>
                <w:rFonts w:ascii="Times New Roman" w:eastAsia="宋体" w:hAnsi="Times New Roman" w:cs="Times New Roman" w:hint="eastAsia"/>
                <w:b/>
                <w:bCs/>
                <w:sz w:val="24"/>
                <w:szCs w:val="24"/>
              </w:rPr>
              <w:t>性</w:t>
            </w:r>
            <w:r w:rsidRPr="004F5D4C">
              <w:rPr>
                <w:rFonts w:ascii="Times New Roman" w:eastAsia="宋体" w:hAnsi="Times New Roman" w:cs="Times New Roman" w:hint="eastAsia"/>
                <w:b/>
                <w:bCs/>
                <w:sz w:val="24"/>
                <w:szCs w:val="24"/>
              </w:rPr>
              <w:t>预测</w:t>
            </w:r>
            <w:proofErr w:type="gramEnd"/>
          </w:p>
        </w:tc>
        <w:tc>
          <w:tcPr>
            <w:tcW w:w="1418" w:type="dxa"/>
            <w:vMerge w:val="restart"/>
            <w:vAlign w:val="center"/>
          </w:tcPr>
          <w:p w14:paraId="4435F1BC"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Polyphen2</w:t>
            </w:r>
            <w:r w:rsidRPr="004F5D4C">
              <w:rPr>
                <w:rFonts w:ascii="Times New Roman" w:eastAsia="宋体" w:hAnsi="Times New Roman" w:cs="Times New Roman"/>
                <w:b/>
                <w:bCs/>
                <w:sz w:val="24"/>
                <w:szCs w:val="24"/>
              </w:rPr>
              <w:t>预测</w:t>
            </w:r>
          </w:p>
        </w:tc>
      </w:tr>
      <w:tr w:rsidR="000164A2" w:rsidRPr="004F5D4C" w14:paraId="20B3275B" w14:textId="77777777" w:rsidTr="00CC79F1">
        <w:tc>
          <w:tcPr>
            <w:tcW w:w="1135" w:type="dxa"/>
            <w:vMerge/>
            <w:vAlign w:val="center"/>
          </w:tcPr>
          <w:p w14:paraId="4046F5D6"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984" w:type="dxa"/>
            <w:vMerge/>
            <w:vAlign w:val="center"/>
          </w:tcPr>
          <w:p w14:paraId="7D51E10A"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560" w:type="dxa"/>
            <w:vAlign w:val="center"/>
          </w:tcPr>
          <w:p w14:paraId="493335B7"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r w:rsidRPr="004F5D4C">
              <w:rPr>
                <w:rFonts w:ascii="Times New Roman" w:eastAsia="宋体" w:hAnsi="Times New Roman" w:cs="Times New Roman"/>
                <w:b/>
                <w:bCs/>
                <w:sz w:val="24"/>
                <w:szCs w:val="24"/>
              </w:rPr>
              <w:t>1000G_EAS</w:t>
            </w:r>
          </w:p>
        </w:tc>
        <w:tc>
          <w:tcPr>
            <w:tcW w:w="1559" w:type="dxa"/>
            <w:vAlign w:val="center"/>
          </w:tcPr>
          <w:p w14:paraId="4CA09BB3" w14:textId="77777777" w:rsidR="000164A2" w:rsidRPr="004F5D4C" w:rsidRDefault="000164A2" w:rsidP="00CC79F1">
            <w:pPr>
              <w:adjustRightInd w:val="0"/>
              <w:snapToGrid w:val="0"/>
              <w:spacing w:line="360" w:lineRule="auto"/>
              <w:jc w:val="center"/>
              <w:rPr>
                <w:rFonts w:ascii="Times New Roman" w:eastAsia="宋体" w:hAnsi="Times New Roman" w:cs="Times New Roman"/>
                <w:b/>
                <w:bCs/>
                <w:sz w:val="24"/>
                <w:szCs w:val="24"/>
              </w:rPr>
            </w:pPr>
            <w:proofErr w:type="spellStart"/>
            <w:r w:rsidRPr="004F5D4C">
              <w:rPr>
                <w:rFonts w:ascii="Times New Roman" w:eastAsia="宋体" w:hAnsi="Times New Roman" w:cs="Times New Roman"/>
                <w:b/>
                <w:bCs/>
                <w:sz w:val="24"/>
                <w:szCs w:val="24"/>
              </w:rPr>
              <w:t>ExAC_EAS</w:t>
            </w:r>
            <w:proofErr w:type="spellEnd"/>
          </w:p>
        </w:tc>
        <w:tc>
          <w:tcPr>
            <w:tcW w:w="1559" w:type="dxa"/>
            <w:vMerge/>
            <w:vAlign w:val="center"/>
          </w:tcPr>
          <w:p w14:paraId="48820349"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c>
          <w:tcPr>
            <w:tcW w:w="1418" w:type="dxa"/>
            <w:vMerge/>
            <w:vAlign w:val="center"/>
          </w:tcPr>
          <w:p w14:paraId="3EC4D884" w14:textId="77777777" w:rsidR="000164A2" w:rsidRPr="004F5D4C" w:rsidRDefault="000164A2" w:rsidP="00CC79F1">
            <w:pPr>
              <w:adjustRightInd w:val="0"/>
              <w:snapToGrid w:val="0"/>
              <w:spacing w:line="360" w:lineRule="auto"/>
              <w:jc w:val="center"/>
              <w:rPr>
                <w:rFonts w:ascii="Times New Roman" w:eastAsia="宋体" w:hAnsi="Times New Roman" w:cs="Times New Roman"/>
                <w:sz w:val="24"/>
                <w:szCs w:val="24"/>
              </w:rPr>
            </w:pPr>
          </w:p>
        </w:tc>
      </w:tr>
      <w:tr w:rsidR="00ED24D4" w:rsidRPr="004F5D4C" w14:paraId="49E3FF6D" w14:textId="77777777" w:rsidTr="00ED24D4">
        <w:tc>
          <w:tcPr>
            <w:tcW w:w="1135" w:type="dxa"/>
            <w:vAlign w:val="center"/>
          </w:tcPr>
          <w:p w14:paraId="34263748" w14:textId="0BD06A69" w:rsidR="00ED24D4" w:rsidRPr="008A75A2" w:rsidRDefault="00ED24D4"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sz w:val="24"/>
                <w:szCs w:val="24"/>
                <w:highlight w:val="yellow"/>
              </w:rPr>
              <w:t>CDC25B</w:t>
            </w:r>
          </w:p>
        </w:tc>
        <w:tc>
          <w:tcPr>
            <w:tcW w:w="1984" w:type="dxa"/>
            <w:vAlign w:val="center"/>
          </w:tcPr>
          <w:p w14:paraId="39239CD3" w14:textId="6822EF12" w:rsidR="00ED24D4" w:rsidRPr="008A75A2" w:rsidRDefault="00ED24D4"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sz w:val="24"/>
                <w:szCs w:val="24"/>
                <w:highlight w:val="yellow"/>
              </w:rPr>
              <w:t>nonsynonymous SNV</w:t>
            </w:r>
          </w:p>
        </w:tc>
        <w:tc>
          <w:tcPr>
            <w:tcW w:w="1560" w:type="dxa"/>
            <w:vAlign w:val="center"/>
          </w:tcPr>
          <w:p w14:paraId="26441210" w14:textId="6151A086" w:rsidR="00ED24D4" w:rsidRPr="008A75A2" w:rsidRDefault="00ED24D4"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hint="eastAsia"/>
                <w:sz w:val="24"/>
                <w:szCs w:val="24"/>
                <w:highlight w:val="yellow"/>
              </w:rPr>
              <w:t>0</w:t>
            </w:r>
            <w:r w:rsidRPr="008A75A2">
              <w:rPr>
                <w:rFonts w:ascii="Times New Roman" w:eastAsia="宋体" w:hAnsi="Times New Roman" w:cs="Times New Roman"/>
                <w:sz w:val="24"/>
                <w:szCs w:val="24"/>
                <w:highlight w:val="yellow"/>
              </w:rPr>
              <w:t>.0069</w:t>
            </w:r>
          </w:p>
        </w:tc>
        <w:tc>
          <w:tcPr>
            <w:tcW w:w="1559" w:type="dxa"/>
            <w:vAlign w:val="center"/>
          </w:tcPr>
          <w:p w14:paraId="1C75A743" w14:textId="2C0B2E95" w:rsidR="00ED24D4" w:rsidRPr="008A75A2" w:rsidRDefault="008A75A2"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hint="eastAsia"/>
                <w:sz w:val="24"/>
                <w:szCs w:val="24"/>
                <w:highlight w:val="yellow"/>
              </w:rPr>
              <w:t>0</w:t>
            </w:r>
            <w:r w:rsidRPr="008A75A2">
              <w:rPr>
                <w:rFonts w:ascii="Times New Roman" w:eastAsia="宋体" w:hAnsi="Times New Roman" w:cs="Times New Roman"/>
                <w:sz w:val="24"/>
                <w:szCs w:val="24"/>
                <w:highlight w:val="yellow"/>
              </w:rPr>
              <w:t>.0075</w:t>
            </w:r>
          </w:p>
        </w:tc>
        <w:tc>
          <w:tcPr>
            <w:tcW w:w="1559" w:type="dxa"/>
            <w:vAlign w:val="center"/>
          </w:tcPr>
          <w:p w14:paraId="689E78B3" w14:textId="39CA8AB3" w:rsidR="00ED24D4" w:rsidRPr="008A75A2" w:rsidRDefault="008A75A2"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hint="eastAsia"/>
                <w:sz w:val="24"/>
                <w:szCs w:val="24"/>
                <w:highlight w:val="yellow"/>
              </w:rPr>
              <w:t>D</w:t>
            </w:r>
            <w:r w:rsidRPr="008A75A2">
              <w:rPr>
                <w:rFonts w:ascii="Times New Roman" w:eastAsia="宋体" w:hAnsi="Times New Roman" w:cs="Times New Roman"/>
                <w:sz w:val="24"/>
                <w:szCs w:val="24"/>
                <w:highlight w:val="yellow"/>
              </w:rPr>
              <w:t>amage</w:t>
            </w:r>
          </w:p>
        </w:tc>
        <w:tc>
          <w:tcPr>
            <w:tcW w:w="1418" w:type="dxa"/>
            <w:vAlign w:val="center"/>
          </w:tcPr>
          <w:p w14:paraId="1268647E" w14:textId="726FF584" w:rsidR="00ED24D4" w:rsidRPr="008A75A2" w:rsidRDefault="008A75A2" w:rsidP="00CC79F1">
            <w:pPr>
              <w:adjustRightInd w:val="0"/>
              <w:snapToGrid w:val="0"/>
              <w:spacing w:line="360" w:lineRule="auto"/>
              <w:jc w:val="center"/>
              <w:rPr>
                <w:rFonts w:ascii="Times New Roman" w:eastAsia="宋体" w:hAnsi="Times New Roman" w:cs="Times New Roman"/>
                <w:sz w:val="24"/>
                <w:szCs w:val="24"/>
                <w:highlight w:val="yellow"/>
              </w:rPr>
            </w:pPr>
            <w:r w:rsidRPr="008A75A2">
              <w:rPr>
                <w:rFonts w:ascii="Times New Roman" w:eastAsia="宋体" w:hAnsi="Times New Roman" w:cs="Times New Roman" w:hint="eastAsia"/>
                <w:sz w:val="24"/>
                <w:szCs w:val="24"/>
                <w:highlight w:val="yellow"/>
              </w:rPr>
              <w:t>D</w:t>
            </w:r>
            <w:r w:rsidRPr="008A75A2">
              <w:rPr>
                <w:rFonts w:ascii="Times New Roman" w:eastAsia="宋体" w:hAnsi="Times New Roman" w:cs="Times New Roman"/>
                <w:sz w:val="24"/>
                <w:szCs w:val="24"/>
                <w:highlight w:val="yellow"/>
              </w:rPr>
              <w:t>amage</w:t>
            </w:r>
          </w:p>
        </w:tc>
      </w:tr>
    </w:tbl>
    <w:p w14:paraId="2254BD32" w14:textId="2ED1656F" w:rsidR="00883F2B" w:rsidRDefault="008A75A2" w:rsidP="008A75A2">
      <w:pPr>
        <w:adjustRightInd w:val="0"/>
        <w:snapToGrid w:val="0"/>
        <w:spacing w:beforeLines="50" w:before="156" w:line="360" w:lineRule="auto"/>
        <w:jc w:val="left"/>
        <w:rPr>
          <w:rFonts w:ascii="Times New Roman" w:eastAsia="宋体" w:hAnsi="Times New Roman" w:cs="Times New Roman"/>
          <w:sz w:val="24"/>
          <w:szCs w:val="24"/>
          <w:highlight w:val="yellow"/>
        </w:rPr>
      </w:pPr>
      <w:r w:rsidRPr="008A75A2">
        <w:rPr>
          <w:rFonts w:ascii="Times New Roman" w:eastAsia="宋体" w:hAnsi="Times New Roman" w:cs="Times New Roman" w:hint="eastAsia"/>
          <w:b/>
          <w:bCs/>
          <w:color w:val="00B0F0"/>
          <w:sz w:val="24"/>
          <w:szCs w:val="24"/>
        </w:rPr>
        <w:t>遗传解析</w:t>
      </w:r>
      <w:r w:rsidRPr="008A75A2">
        <w:rPr>
          <w:rFonts w:ascii="Times New Roman" w:eastAsia="宋体" w:hAnsi="Times New Roman" w:cs="Times New Roman" w:hint="eastAsia"/>
          <w:b/>
          <w:bCs/>
          <w:color w:val="00B0F0"/>
          <w:sz w:val="24"/>
          <w:szCs w:val="24"/>
        </w:rPr>
        <w:t xml:space="preserve">: </w:t>
      </w:r>
      <w:r w:rsidR="00883F2B" w:rsidRPr="00883F2B">
        <w:rPr>
          <w:rFonts w:ascii="Times New Roman" w:eastAsia="宋体" w:hAnsi="Times New Roman" w:cs="Times New Roman" w:hint="eastAsia"/>
          <w:sz w:val="24"/>
          <w:szCs w:val="24"/>
          <w:highlight w:val="yellow"/>
        </w:rPr>
        <w:t>根据</w:t>
      </w:r>
      <w:r w:rsidRPr="008A75A2">
        <w:rPr>
          <w:rFonts w:ascii="Times New Roman" w:eastAsia="宋体" w:hAnsi="Times New Roman" w:cs="Times New Roman" w:hint="eastAsia"/>
          <w:sz w:val="24"/>
          <w:szCs w:val="24"/>
          <w:highlight w:val="yellow"/>
        </w:rPr>
        <w:t>已有研究报道</w:t>
      </w:r>
      <w:r w:rsidRPr="008A75A2">
        <w:rPr>
          <w:rFonts w:ascii="Times New Roman" w:eastAsia="宋体" w:hAnsi="Times New Roman" w:cs="Times New Roman" w:hint="eastAsia"/>
          <w:sz w:val="24"/>
          <w:szCs w:val="24"/>
          <w:highlight w:val="yellow"/>
        </w:rPr>
        <w:t>,</w:t>
      </w:r>
      <w:r w:rsidR="00883F2B">
        <w:rPr>
          <w:rFonts w:ascii="Times New Roman" w:eastAsia="宋体" w:hAnsi="Times New Roman" w:cs="Times New Roman" w:hint="eastAsia"/>
          <w:sz w:val="24"/>
          <w:szCs w:val="24"/>
          <w:highlight w:val="yellow"/>
        </w:rPr>
        <w:t xml:space="preserve"> </w:t>
      </w:r>
      <w:r w:rsidR="00883F2B">
        <w:rPr>
          <w:rFonts w:ascii="Times New Roman" w:eastAsia="宋体" w:hAnsi="Times New Roman" w:cs="Times New Roman"/>
          <w:sz w:val="24"/>
          <w:szCs w:val="24"/>
          <w:highlight w:val="yellow"/>
        </w:rPr>
        <w:t>PANX1</w:t>
      </w:r>
      <w:r w:rsidR="00883F2B">
        <w:rPr>
          <w:rFonts w:ascii="Times New Roman" w:eastAsia="宋体" w:hAnsi="Times New Roman" w:cs="Times New Roman" w:hint="eastAsia"/>
          <w:sz w:val="24"/>
          <w:szCs w:val="24"/>
          <w:highlight w:val="yellow"/>
        </w:rPr>
        <w:t>突变与人卵子死亡高度相关；</w:t>
      </w:r>
    </w:p>
    <w:p w14:paraId="5CB8D146" w14:textId="2A873D52" w:rsidR="001F072E" w:rsidRPr="008A75A2" w:rsidRDefault="00883F2B" w:rsidP="008A75A2">
      <w:pPr>
        <w:adjustRightInd w:val="0"/>
        <w:snapToGrid w:val="0"/>
        <w:spacing w:beforeLines="50" w:before="156"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highlight w:val="yellow"/>
        </w:rPr>
        <w:t xml:space="preserve">         </w:t>
      </w:r>
      <w:r w:rsidR="008A75A2" w:rsidRPr="008A75A2">
        <w:rPr>
          <w:rFonts w:ascii="Times New Roman" w:eastAsia="宋体" w:hAnsi="Times New Roman" w:cs="Times New Roman" w:hint="eastAsia"/>
          <w:sz w:val="24"/>
          <w:szCs w:val="24"/>
          <w:highlight w:val="yellow"/>
        </w:rPr>
        <w:t xml:space="preserve"> </w:t>
      </w:r>
      <w:r>
        <w:rPr>
          <w:rFonts w:ascii="Times New Roman" w:eastAsia="宋体" w:hAnsi="Times New Roman" w:cs="Times New Roman" w:hint="eastAsia"/>
          <w:sz w:val="24"/>
          <w:szCs w:val="24"/>
          <w:highlight w:val="yellow"/>
        </w:rPr>
        <w:t>另</w:t>
      </w:r>
      <w:r>
        <w:rPr>
          <w:rFonts w:ascii="Times New Roman" w:eastAsia="宋体" w:hAnsi="Times New Roman" w:cs="Times New Roman" w:hint="eastAsia"/>
          <w:sz w:val="24"/>
          <w:szCs w:val="24"/>
          <w:highlight w:val="yellow"/>
        </w:rPr>
        <w:t xml:space="preserve"> </w:t>
      </w:r>
      <w:r w:rsidR="008A75A2" w:rsidRPr="008A75A2">
        <w:rPr>
          <w:rFonts w:ascii="Times New Roman" w:eastAsia="宋体" w:hAnsi="Times New Roman" w:cs="Times New Roman"/>
          <w:sz w:val="24"/>
          <w:szCs w:val="24"/>
          <w:highlight w:val="yellow"/>
        </w:rPr>
        <w:t>cdc25b</w:t>
      </w:r>
      <w:r w:rsidR="008A75A2" w:rsidRPr="008A75A2">
        <w:rPr>
          <w:rFonts w:ascii="Times New Roman" w:eastAsia="宋体" w:hAnsi="Times New Roman" w:cs="Times New Roman" w:hint="eastAsia"/>
          <w:sz w:val="24"/>
          <w:szCs w:val="24"/>
          <w:highlight w:val="yellow"/>
        </w:rPr>
        <w:t>在小鼠植入前胚胎发育中发挥作用</w:t>
      </w:r>
      <w:r w:rsidR="008A75A2" w:rsidRPr="008A75A2">
        <w:rPr>
          <w:rFonts w:ascii="Times New Roman" w:eastAsia="宋体" w:hAnsi="Times New Roman" w:cs="Times New Roman" w:hint="eastAsia"/>
          <w:sz w:val="24"/>
          <w:szCs w:val="24"/>
          <w:highlight w:val="yellow"/>
        </w:rPr>
        <w:t>,</w:t>
      </w:r>
      <w:r w:rsidR="008A75A2" w:rsidRPr="008A75A2">
        <w:rPr>
          <w:rFonts w:ascii="Times New Roman" w:eastAsia="宋体" w:hAnsi="Times New Roman" w:cs="Times New Roman" w:hint="eastAsia"/>
          <w:sz w:val="24"/>
          <w:szCs w:val="24"/>
          <w:highlight w:val="yellow"/>
        </w:rPr>
        <w:t>但临床意义不明。</w:t>
      </w:r>
    </w:p>
    <w:sectPr w:rsidR="001F072E" w:rsidRPr="008A75A2">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C2AF" w14:textId="77777777" w:rsidR="007F4958" w:rsidRDefault="007F4958" w:rsidP="001F64F5">
      <w:r>
        <w:separator/>
      </w:r>
    </w:p>
  </w:endnote>
  <w:endnote w:type="continuationSeparator" w:id="0">
    <w:p w14:paraId="18D6C6E7" w14:textId="77777777" w:rsidR="007F4958" w:rsidRDefault="007F4958" w:rsidP="001F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0EEB" w14:textId="77777777" w:rsidR="007F4958" w:rsidRDefault="007F4958" w:rsidP="001F64F5">
      <w:r>
        <w:separator/>
      </w:r>
    </w:p>
  </w:footnote>
  <w:footnote w:type="continuationSeparator" w:id="0">
    <w:p w14:paraId="082103CC" w14:textId="77777777" w:rsidR="007F4958" w:rsidRDefault="007F4958" w:rsidP="001F6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C79A" w14:textId="6B95E522" w:rsidR="00CC79F1" w:rsidRDefault="00CC79F1">
    <w:pPr>
      <w:pStyle w:val="a5"/>
    </w:pPr>
  </w:p>
  <w:p w14:paraId="32D7FB3F" w14:textId="404C1ACF" w:rsidR="00CC79F1" w:rsidRPr="00AB494B" w:rsidRDefault="00CC79F1">
    <w:pPr>
      <w:pStyle w:val="a5"/>
      <w:rPr>
        <w:rFonts w:ascii="宋体" w:eastAsia="宋体" w:hAnsi="宋体"/>
      </w:rPr>
    </w:pPr>
    <w:r w:rsidRPr="00AB494B">
      <w:rPr>
        <w:rFonts w:ascii="宋体" w:eastAsia="宋体" w:hAnsi="宋体" w:hint="eastAsia"/>
      </w:rPr>
      <w:t>此报告仅供临床医生参考，不具诊断意义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C79BB"/>
    <w:multiLevelType w:val="hybridMultilevel"/>
    <w:tmpl w:val="64545010"/>
    <w:lvl w:ilvl="0" w:tplc="0938F4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7B8"/>
    <w:rsid w:val="CB7767E3"/>
    <w:rsid w:val="E37EFE87"/>
    <w:rsid w:val="EBFA403F"/>
    <w:rsid w:val="EDDD6691"/>
    <w:rsid w:val="F5AF2C2F"/>
    <w:rsid w:val="FF7FFB42"/>
    <w:rsid w:val="00015A70"/>
    <w:rsid w:val="000164A2"/>
    <w:rsid w:val="00053257"/>
    <w:rsid w:val="00085855"/>
    <w:rsid w:val="00090D3A"/>
    <w:rsid w:val="000A0327"/>
    <w:rsid w:val="000B7D2C"/>
    <w:rsid w:val="000D3906"/>
    <w:rsid w:val="000E087B"/>
    <w:rsid w:val="000F44ED"/>
    <w:rsid w:val="001012CC"/>
    <w:rsid w:val="00111EE0"/>
    <w:rsid w:val="00113963"/>
    <w:rsid w:val="00121CCC"/>
    <w:rsid w:val="00140FF9"/>
    <w:rsid w:val="00155B3E"/>
    <w:rsid w:val="001607BE"/>
    <w:rsid w:val="00170C3F"/>
    <w:rsid w:val="00187AF2"/>
    <w:rsid w:val="001F072E"/>
    <w:rsid w:val="001F64F5"/>
    <w:rsid w:val="002743C4"/>
    <w:rsid w:val="002B0739"/>
    <w:rsid w:val="002C4982"/>
    <w:rsid w:val="002D7533"/>
    <w:rsid w:val="002D7CEE"/>
    <w:rsid w:val="002F0645"/>
    <w:rsid w:val="0034380D"/>
    <w:rsid w:val="00362A1B"/>
    <w:rsid w:val="00390ED5"/>
    <w:rsid w:val="003A35FB"/>
    <w:rsid w:val="003A450E"/>
    <w:rsid w:val="003C0A8A"/>
    <w:rsid w:val="003F268A"/>
    <w:rsid w:val="00412982"/>
    <w:rsid w:val="00456A61"/>
    <w:rsid w:val="00464187"/>
    <w:rsid w:val="004749DD"/>
    <w:rsid w:val="004B3778"/>
    <w:rsid w:val="004D6ADD"/>
    <w:rsid w:val="004E4E8D"/>
    <w:rsid w:val="004E77E5"/>
    <w:rsid w:val="004E7E2E"/>
    <w:rsid w:val="004F5D4C"/>
    <w:rsid w:val="004F6B68"/>
    <w:rsid w:val="005049AB"/>
    <w:rsid w:val="0055019B"/>
    <w:rsid w:val="005633CB"/>
    <w:rsid w:val="00572454"/>
    <w:rsid w:val="00572F68"/>
    <w:rsid w:val="005A330A"/>
    <w:rsid w:val="005B2DA3"/>
    <w:rsid w:val="005C7E39"/>
    <w:rsid w:val="005E2915"/>
    <w:rsid w:val="00601D7A"/>
    <w:rsid w:val="00605ADB"/>
    <w:rsid w:val="0062171E"/>
    <w:rsid w:val="00654E05"/>
    <w:rsid w:val="00655298"/>
    <w:rsid w:val="006B0AA2"/>
    <w:rsid w:val="006D3B48"/>
    <w:rsid w:val="006D6C7D"/>
    <w:rsid w:val="006D78DA"/>
    <w:rsid w:val="006F3D6A"/>
    <w:rsid w:val="006F44A7"/>
    <w:rsid w:val="006F6C48"/>
    <w:rsid w:val="00732FF2"/>
    <w:rsid w:val="007411C3"/>
    <w:rsid w:val="00741701"/>
    <w:rsid w:val="0076319A"/>
    <w:rsid w:val="007B4E51"/>
    <w:rsid w:val="007C4FC5"/>
    <w:rsid w:val="007F0310"/>
    <w:rsid w:val="007F109D"/>
    <w:rsid w:val="007F4958"/>
    <w:rsid w:val="007F4E57"/>
    <w:rsid w:val="00812321"/>
    <w:rsid w:val="00815ADA"/>
    <w:rsid w:val="00827AF0"/>
    <w:rsid w:val="008309C3"/>
    <w:rsid w:val="00833E96"/>
    <w:rsid w:val="00883F2B"/>
    <w:rsid w:val="008A75A2"/>
    <w:rsid w:val="008F6A5B"/>
    <w:rsid w:val="00910B0B"/>
    <w:rsid w:val="00925815"/>
    <w:rsid w:val="00931AED"/>
    <w:rsid w:val="00954ECF"/>
    <w:rsid w:val="00956D9C"/>
    <w:rsid w:val="00967F6F"/>
    <w:rsid w:val="00970407"/>
    <w:rsid w:val="00971A31"/>
    <w:rsid w:val="00990DE1"/>
    <w:rsid w:val="009D0B62"/>
    <w:rsid w:val="009E171C"/>
    <w:rsid w:val="009E4B4E"/>
    <w:rsid w:val="009E4FBC"/>
    <w:rsid w:val="009E5451"/>
    <w:rsid w:val="009F6D34"/>
    <w:rsid w:val="00A417A8"/>
    <w:rsid w:val="00A817EA"/>
    <w:rsid w:val="00AB24BD"/>
    <w:rsid w:val="00AB494B"/>
    <w:rsid w:val="00B06250"/>
    <w:rsid w:val="00B06A8E"/>
    <w:rsid w:val="00B20C11"/>
    <w:rsid w:val="00B21011"/>
    <w:rsid w:val="00B50191"/>
    <w:rsid w:val="00B50B8E"/>
    <w:rsid w:val="00B60414"/>
    <w:rsid w:val="00B61411"/>
    <w:rsid w:val="00B86A30"/>
    <w:rsid w:val="00BA3AFD"/>
    <w:rsid w:val="00BB6A66"/>
    <w:rsid w:val="00BC312E"/>
    <w:rsid w:val="00BD6119"/>
    <w:rsid w:val="00BF0167"/>
    <w:rsid w:val="00C04213"/>
    <w:rsid w:val="00C1723A"/>
    <w:rsid w:val="00C41698"/>
    <w:rsid w:val="00C461C4"/>
    <w:rsid w:val="00C876FE"/>
    <w:rsid w:val="00CB69CA"/>
    <w:rsid w:val="00CB6F59"/>
    <w:rsid w:val="00CC79F1"/>
    <w:rsid w:val="00CF4D55"/>
    <w:rsid w:val="00D20FD4"/>
    <w:rsid w:val="00D4792E"/>
    <w:rsid w:val="00D47EDD"/>
    <w:rsid w:val="00D508E2"/>
    <w:rsid w:val="00D509CF"/>
    <w:rsid w:val="00DB3C7F"/>
    <w:rsid w:val="00DC0780"/>
    <w:rsid w:val="00DC27F5"/>
    <w:rsid w:val="00DE1671"/>
    <w:rsid w:val="00DE5CBE"/>
    <w:rsid w:val="00E13210"/>
    <w:rsid w:val="00E23DA0"/>
    <w:rsid w:val="00E41BEB"/>
    <w:rsid w:val="00E6228A"/>
    <w:rsid w:val="00E6243D"/>
    <w:rsid w:val="00E63535"/>
    <w:rsid w:val="00E7185E"/>
    <w:rsid w:val="00EC780C"/>
    <w:rsid w:val="00EC78E9"/>
    <w:rsid w:val="00ED24D4"/>
    <w:rsid w:val="00EE7118"/>
    <w:rsid w:val="00F047B8"/>
    <w:rsid w:val="00F13F1F"/>
    <w:rsid w:val="00F209E9"/>
    <w:rsid w:val="00F3001B"/>
    <w:rsid w:val="00F349BC"/>
    <w:rsid w:val="00F44E21"/>
    <w:rsid w:val="00F53ECB"/>
    <w:rsid w:val="00F62AF9"/>
    <w:rsid w:val="00F66925"/>
    <w:rsid w:val="00F7367B"/>
    <w:rsid w:val="00F74866"/>
    <w:rsid w:val="00FA5616"/>
    <w:rsid w:val="00FA6733"/>
    <w:rsid w:val="00FB359A"/>
    <w:rsid w:val="00FC06EA"/>
    <w:rsid w:val="00FC0934"/>
    <w:rsid w:val="3F65D514"/>
    <w:rsid w:val="7AEE97F9"/>
    <w:rsid w:val="7F1F1B39"/>
    <w:rsid w:val="7FB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608D"/>
  <w15:docId w15:val="{D9291F0F-875E-42FD-9E21-AF5007C7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99"/>
    <w:rsid w:val="00B50B8E"/>
    <w:pPr>
      <w:ind w:firstLineChars="200" w:firstLine="420"/>
    </w:pPr>
  </w:style>
  <w:style w:type="table" w:styleId="a8">
    <w:name w:val="Table Grid"/>
    <w:basedOn w:val="a1"/>
    <w:uiPriority w:val="39"/>
    <w:rsid w:val="00741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4438">
      <w:bodyDiv w:val="1"/>
      <w:marLeft w:val="0"/>
      <w:marRight w:val="0"/>
      <w:marTop w:val="0"/>
      <w:marBottom w:val="0"/>
      <w:divBdr>
        <w:top w:val="none" w:sz="0" w:space="0" w:color="auto"/>
        <w:left w:val="none" w:sz="0" w:space="0" w:color="auto"/>
        <w:bottom w:val="none" w:sz="0" w:space="0" w:color="auto"/>
        <w:right w:val="none" w:sz="0" w:space="0" w:color="auto"/>
      </w:divBdr>
    </w:div>
    <w:div w:id="603342483">
      <w:bodyDiv w:val="1"/>
      <w:marLeft w:val="0"/>
      <w:marRight w:val="0"/>
      <w:marTop w:val="0"/>
      <w:marBottom w:val="0"/>
      <w:divBdr>
        <w:top w:val="none" w:sz="0" w:space="0" w:color="auto"/>
        <w:left w:val="none" w:sz="0" w:space="0" w:color="auto"/>
        <w:bottom w:val="none" w:sz="0" w:space="0" w:color="auto"/>
        <w:right w:val="none" w:sz="0" w:space="0" w:color="auto"/>
      </w:divBdr>
    </w:div>
    <w:div w:id="11114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6CECE-56DE-43AA-92DE-F353C813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haha</dc:creator>
  <cp:lastModifiedBy>lenovo</cp:lastModifiedBy>
  <cp:revision>4</cp:revision>
  <cp:lastPrinted>2020-05-29T01:39:00Z</cp:lastPrinted>
  <dcterms:created xsi:type="dcterms:W3CDTF">2020-07-10T03:19:00Z</dcterms:created>
  <dcterms:modified xsi:type="dcterms:W3CDTF">2020-07-10T10:32:00Z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