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Microsoft YaHei"/>
          <w:b/>
          <w:color w:val="0B2545"/>
          <w:sz w:val="48"/>
        </w:rPr>
        <w:t>开发者声音（VOD）建议材料</w:t>
      </w:r>
    </w:p>
    <w:p>
      <w:pPr>
        <w:spacing w:after="320"/>
      </w:pPr>
      <w:r>
        <w:rPr>
          <w:rFonts w:ascii="Calibri" w:hAnsi="Calibri" w:eastAsia="Microsoft YaHei"/>
          <w:color w:val="5B6E85"/>
          <w:sz w:val="25"/>
        </w:rPr>
        <w:t>聚焦 Flexus 应用服务器 L 实例容器化部署体验优化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520"/>
            <w:shd w:fill="E7EE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/>
                <w:color w:val="0D2B4C"/>
                <w:sz w:val="19"/>
              </w:rPr>
            </w:r>
            <w:r>
              <w:rPr>
                <w:rFonts w:ascii="微软雅黑" w:hAnsi="微软雅黑" w:eastAsia="微软雅黑"/>
                <w:b/>
                <w:color w:val="0D2B4C"/>
                <w:sz w:val="19"/>
              </w:rPr>
              <w:t>关联产品</w:t>
            </w:r>
          </w:p>
        </w:tc>
        <w:tc>
          <w:tcPr>
            <w:tcW w:type="dxa" w:w="6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华为云 Flexus 云服务 / Flexus 应用服务器 L 实例</w:t>
            </w:r>
          </w:p>
        </w:tc>
      </w:tr>
      <w:tr>
        <w:tc>
          <w:tcPr>
            <w:tcW w:type="dxa" w:w="2520"/>
            <w:shd w:fill="E7EE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/>
                <w:color w:val="0D2B4C"/>
                <w:sz w:val="19"/>
              </w:rPr>
            </w:r>
            <w:r>
              <w:rPr>
                <w:rFonts w:ascii="微软雅黑" w:hAnsi="微软雅黑" w:eastAsia="微软雅黑"/>
                <w:b/>
                <w:color w:val="0D2B4C"/>
                <w:sz w:val="19"/>
              </w:rPr>
              <w:t>建议类型</w:t>
            </w:r>
          </w:p>
        </w:tc>
        <w:tc>
          <w:tcPr>
            <w:tcW w:type="dxa" w:w="6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用户体验与功能优化建议</w:t>
            </w:r>
          </w:p>
        </w:tc>
      </w:tr>
      <w:tr>
        <w:tc>
          <w:tcPr>
            <w:tcW w:type="dxa" w:w="2520"/>
            <w:shd w:fill="E7EE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/>
                <w:color w:val="0D2B4C"/>
                <w:sz w:val="19"/>
              </w:rPr>
            </w:r>
            <w:r>
              <w:rPr>
                <w:rFonts w:ascii="微软雅黑" w:hAnsi="微软雅黑" w:eastAsia="微软雅黑"/>
                <w:b/>
                <w:color w:val="0D2B4C"/>
                <w:sz w:val="19"/>
              </w:rPr>
              <w:t>项目名称</w:t>
            </w:r>
          </w:p>
        </w:tc>
        <w:tc>
          <w:tcPr>
            <w:tcW w:type="dxa" w:w="6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开发者留存雷达（Developer Retention Radar）</w:t>
            </w:r>
          </w:p>
        </w:tc>
      </w:tr>
      <w:tr>
        <w:tc>
          <w:tcPr>
            <w:tcW w:type="dxa" w:w="2520"/>
            <w:shd w:fill="E7EE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/>
                <w:color w:val="0D2B4C"/>
                <w:sz w:val="19"/>
              </w:rPr>
            </w:r>
            <w:r>
              <w:rPr>
                <w:rFonts w:ascii="微软雅黑" w:hAnsi="微软雅黑" w:eastAsia="微软雅黑"/>
                <w:b/>
                <w:color w:val="0D2B4C"/>
                <w:sz w:val="19"/>
              </w:rPr>
              <w:t>参赛者</w:t>
            </w:r>
          </w:p>
        </w:tc>
        <w:tc>
          <w:tcPr>
            <w:tcW w:type="dxa" w:w="6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葛禹贡 / 20243121880</w:t>
            </w:r>
          </w:p>
        </w:tc>
      </w:tr>
      <w:t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shd w:fill="E7EEF5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/>
                <w:color w:val="0D2B4C"/>
                <w:sz w:val="19"/>
              </w:rPr>
              <w:t>公网地址</w:t>
            </w:r>
          </w:p>
        </w:tc>
        <w:tc>
          <w:tcPr>
            <w:tcW w:type="dxa" w:w="626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http://123.60.220.148</w:t>
            </w:r>
          </w:p>
        </w:tc>
      </w:tr>
      <w:t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shd w:fill="E7EEF5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/>
                <w:color w:val="0D2B4C"/>
                <w:sz w:val="19"/>
              </w:rPr>
              <w:t>代码仓库</w:t>
            </w:r>
          </w:p>
        </w:tc>
        <w:tc>
          <w:tcPr>
            <w:tcW w:type="dxa" w:w="626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https://atomgit.com/GeYugong/developer-retention-radar</w:t>
            </w:r>
          </w:p>
        </w:tc>
      </w:tr>
    </w:tbl>
    <w:p>
      <w:pPr>
        <w:spacing w:before="280" w:after="120"/>
      </w:pPr>
      <w:r>
        <w:rPr>
          <w:rFonts w:ascii="Calibri" w:hAnsi="Calibri" w:eastAsia="Microsoft YaHei"/>
          <w:b/>
          <w:color w:val="2E74B5"/>
          <w:sz w:val="28"/>
        </w:rPr>
        <w:t>一、使用场景与问题记录</w:t>
      </w:r>
    </w:p>
    <w:p>
      <w:pPr>
        <w:spacing w:after="140" w:line="276" w:lineRule="auto"/>
      </w:pPr>
      <w:r>
        <w:rPr>
          <w:rFonts w:ascii="Calibri" w:hAnsi="Calibri" w:eastAsia="Microsoft YaHei"/>
          <w:sz w:val="22"/>
        </w:rPr>
        <w:t>在华为云 Flexus 应用服务器 L 实例上使用 Docker 可视化 Portainer 镜像部署“开发者留存雷达”时，需要通过 Docker Compose 将 Web 服务映射到 80 端口。实际部署发现宿主机 Nginx 默认占用了 80 端口，Compose 启动时返回 address already in use，需要自行排查并停止宿主机服务后才能完成上线。</w:t>
      </w:r>
    </w:p>
    <w:p>
      <w:pPr>
        <w:spacing w:before="280" w:after="120"/>
      </w:pPr>
      <w:r>
        <w:rPr>
          <w:rFonts w:ascii="Calibri" w:hAnsi="Calibri" w:eastAsia="Microsoft YaHei"/>
          <w:b/>
          <w:color w:val="2E74B5"/>
          <w:sz w:val="28"/>
        </w:rPr>
        <w:t>二、优化建议</w:t>
      </w:r>
    </w:p>
    <w:p>
      <w:pPr>
        <w:spacing w:after="140" w:line="276" w:lineRule="auto"/>
      </w:pPr>
      <w:r>
        <w:rPr>
          <w:rFonts w:ascii="Calibri" w:hAnsi="Calibri" w:eastAsia="Microsoft YaHei"/>
          <w:sz w:val="22"/>
        </w:rPr>
        <w:t>建议在 Flexus 镜像购买页、实例首次登录指引和 Portainer 控制台中明确展示宿主机默认端口占用情况，并提供端口清单、端口冲突检测和“一键释放 80 端口”入口。对于常见的 Docker Compose Web 应用，可增加“标准 Web 部署”预检提示，提前告知端口映射冲突与推荐处理方式。</w:t>
      </w:r>
    </w:p>
    <w:p>
      <w:pPr>
        <w:spacing w:before="280" w:after="120"/>
      </w:pPr>
      <w:r>
        <w:rPr>
          <w:rFonts w:ascii="Calibri" w:hAnsi="Calibri" w:eastAsia="Microsoft YaHei"/>
          <w:b/>
          <w:color w:val="2E74B5"/>
          <w:sz w:val="28"/>
        </w:rPr>
        <w:t>三、预期价值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减少初次使用 Flexus 容器镜像的排障时间，降低新手部署门槛。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避免用户因端口冲突误判 Docker、Compose 或应用配置异常。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提升从购买实例到公网访问 Web 应用的端到端体验。</w:t>
      </w:r>
    </w:p>
    <w:p>
      <w:pPr>
        <w:spacing w:before="280" w:after="120"/>
      </w:pPr>
      <w:r>
        <w:rPr>
          <w:rFonts w:ascii="Calibri" w:hAnsi="Calibri" w:eastAsia="Microsoft YaHei"/>
          <w:b/>
          <w:color w:val="2E74B5"/>
          <w:sz w:val="28"/>
        </w:rPr>
        <w:t>四、项目验证信息</w:t>
      </w:r>
    </w:p>
    <w:p>
      <w:pPr>
        <w:spacing w:after="140" w:line="276" w:lineRule="auto"/>
      </w:pPr>
      <w:r>
        <w:rPr>
          <w:rFonts w:ascii="Calibri" w:hAnsi="Calibri" w:eastAsia="Microsoft YaHei"/>
          <w:sz w:val="22"/>
        </w:rPr>
        <w:t>本建议来自真实竞赛项目部署过程。项目采用 React、Node.js、PostgreSQL 与 Docker Compose，已部署在华为云 Flexus 应用服务器 L 实例，并完成公网访问、签到、漏斗统计、作品提交与导出等流程验证。</w:t>
      </w:r>
    </w:p>
    <w:p>
      <w:pPr>
        <w:spacing w:after="200"/>
      </w:pPr>
      <w:r>
        <w:rPr>
          <w:rFonts w:ascii="微软雅黑" w:hAnsi="微软雅黑" w:eastAsia="微软雅黑"/>
          <w:b/>
          <w:color w:val="2779BD"/>
          <w:sz w:val="32"/>
        </w:rPr>
        <w:t>五、可直接录制的 VOD 口播稿</w:t>
      </w:r>
    </w:p>
    <w:p>
      <w:pPr>
        <w:spacing w:after="200"/>
      </w:pPr>
      <w:r>
        <w:rPr>
          <w:b/>
          <w:color w:val="5A6C80"/>
        </w:rPr>
        <w:t>建议时长：约 90 秒。录制时同时展示 Flexus 实例、Docker Compose 配置和公网作品页面。</w:t>
      </w:r>
    </w:p>
    <w:p>
      <w:pPr>
        <w:spacing w:line="312" w:lineRule="auto" w:after="100"/>
        <w:ind w:firstLine="440"/>
      </w:pPr>
      <w:r>
        <w:rPr>
          <w:rFonts w:ascii="微软雅黑" w:hAnsi="微软雅黑" w:eastAsia="微软雅黑"/>
          <w:sz w:val="21"/>
        </w:rPr>
        <w:t>大家好，我是大连理工大学的葛禹贡。在使用华为云 Flexus 应用服务器 L 实例部署开发者留存雷达时，我选择了带 Portainer 的 Docker 可视化镜像，并通过 Docker Compose 将 Web 服务映射到 80 端口。</w:t>
      </w:r>
    </w:p>
    <w:p>
      <w:pPr>
        <w:spacing w:line="312" w:lineRule="auto" w:after="100"/>
        <w:ind w:firstLine="440"/>
      </w:pPr>
      <w:r>
        <w:rPr>
          <w:rFonts w:ascii="微软雅黑" w:hAnsi="微软雅黑" w:eastAsia="微软雅黑"/>
          <w:sz w:val="21"/>
        </w:rPr>
        <w:t>实际部署过程中，Compose 返回 address already in use。排查后发现宿主机预置的 Nginx 已经占用了 80 端口。对于第一次使用容器镜像的开发者来说，这个现象很容易被误判为 Docker、Compose 或项目配置错误，而且当前购买页和首次登录指引没有提前说明默认端口占用情况。</w:t>
      </w:r>
    </w:p>
    <w:p>
      <w:pPr>
        <w:spacing w:line="312" w:lineRule="auto" w:after="100"/>
        <w:ind w:firstLine="440"/>
      </w:pPr>
      <w:r>
        <w:rPr>
          <w:rFonts w:ascii="微软雅黑" w:hAnsi="微软雅黑" w:eastAsia="微软雅黑"/>
          <w:sz w:val="21"/>
        </w:rPr>
        <w:t>我建议在 Flexus 镜像购买页、实例首次登录引导和 Portainer 控制台中，直接展示宿主机端口占用清单，并在部署常见 Web 应用前自动检测端口冲突。针对 80 和 443 等常用端口，可以提供明确的释放步骤、推荐映射方案，或者一键释放入口。</w:t>
      </w:r>
    </w:p>
    <w:p>
      <w:pPr>
        <w:spacing w:line="312" w:lineRule="auto" w:after="100"/>
        <w:ind w:firstLine="440"/>
      </w:pPr>
      <w:r>
        <w:rPr>
          <w:rFonts w:ascii="微软雅黑" w:hAnsi="微软雅黑" w:eastAsia="微软雅黑"/>
          <w:sz w:val="21"/>
        </w:rPr>
        <w:t>这样能够减少新用户从购买实例到完成公网部署的排障时间，降低容器化应用的上手门槛。以上建议来自真实项目部署过程，目前项目已经在该实例上稳定运行，并通过公网完成报名、签到、漏斗统计、作品提交和数据导出验证。谢谢。</w:t>
      </w:r>
    </w:p>
    <w:p>
      <w:pPr>
        <w:spacing w:before="120" w:after="140"/>
      </w:pPr>
      <w:r>
        <w:rPr>
          <w:rFonts w:ascii="微软雅黑" w:hAnsi="微软雅黑" w:eastAsia="微软雅黑"/>
          <w:b/>
          <w:color w:val="2779BD"/>
          <w:sz w:val="28"/>
        </w:rPr>
        <w:t>六、提交时建议填写</w:t>
      </w:r>
    </w:p>
    <w:p>
      <w:pPr>
        <w:spacing w:after="60"/>
      </w:pPr>
      <w:r>
        <w:rPr>
          <w:rFonts w:ascii="微软雅黑" w:hAnsi="微软雅黑" w:eastAsia="微软雅黑"/>
          <w:b/>
          <w:sz w:val="21"/>
        </w:rPr>
        <w:t>标题：</w:t>
      </w:r>
      <w:r>
        <w:rPr>
          <w:rFonts w:ascii="微软雅黑" w:hAnsi="微软雅黑" w:eastAsia="微软雅黑"/>
          <w:sz w:val="21"/>
        </w:rPr>
        <w:t>Flexus 应用服务器 L 实例的默认端口占用缺少前置提示</w:t>
      </w:r>
    </w:p>
    <w:p>
      <w:pPr>
        <w:spacing w:after="60"/>
      </w:pPr>
      <w:r>
        <w:rPr>
          <w:rFonts w:ascii="微软雅黑" w:hAnsi="微软雅黑" w:eastAsia="微软雅黑"/>
          <w:b/>
          <w:sz w:val="21"/>
        </w:rPr>
        <w:t>关联产品：</w:t>
      </w:r>
      <w:r>
        <w:rPr>
          <w:rFonts w:ascii="微软雅黑" w:hAnsi="微软雅黑" w:eastAsia="微软雅黑"/>
          <w:sz w:val="21"/>
        </w:rPr>
        <w:t>Flexus 应用服务器 L 实例 / Portainer 镜像</w:t>
      </w:r>
    </w:p>
    <w:p>
      <w:pPr>
        <w:spacing w:after="60"/>
      </w:pPr>
      <w:r>
        <w:rPr>
          <w:rFonts w:ascii="微软雅黑" w:hAnsi="微软雅黑" w:eastAsia="微软雅黑"/>
          <w:b/>
          <w:sz w:val="21"/>
        </w:rPr>
        <w:t>问题类型：</w:t>
      </w:r>
      <w:r>
        <w:rPr>
          <w:rFonts w:ascii="微软雅黑" w:hAnsi="微软雅黑" w:eastAsia="微软雅黑"/>
          <w:sz w:val="21"/>
        </w:rPr>
        <w:t>用户体验与功能优化建议</w:t>
      </w:r>
    </w:p>
    <w:p>
      <w:pPr>
        <w:spacing w:after="60"/>
      </w:pPr>
      <w:r>
        <w:rPr>
          <w:rFonts w:ascii="微软雅黑" w:hAnsi="微软雅黑" w:eastAsia="微软雅黑"/>
          <w:b/>
          <w:sz w:val="21"/>
        </w:rPr>
        <w:t>核心诉求：</w:t>
      </w:r>
      <w:r>
        <w:rPr>
          <w:rFonts w:ascii="微软雅黑" w:hAnsi="微软雅黑" w:eastAsia="微软雅黑"/>
          <w:sz w:val="21"/>
        </w:rPr>
        <w:t>展示端口占用、部署前冲突检测并提供常用端口释放指引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5B6E85"/>
        <w:sz w:val="18"/>
      </w:rPr>
      <w:t>开发者留存雷达 · 华为云赛事交付佐证材料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5B6E85"/>
        <w:sz w:val="18"/>
      </w:rPr>
      <w:t>Developer Retention Radar | Competition Evidence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开发者声音VOD建议材料</dc:title>
  <dc:subject/>
  <dc:creator>Developer Retention Radar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