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Foreign Exchange Policy</w:t>
      </w:r>
    </w:p>
    <w:p>
      <w:r>
        <w:rPr>
          <w:color w:val="6B7280"/>
        </w:rPr>
        <w:t>Aurelia Werke GmbH · 14 March 2023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72" w:type="dxa"/>
          <w:bottom w:w="72" w:type="dxa"/>
        </w:tblCellMar>
      </w:tblPr>
      <w:tblGrid>
        <w:gridCol w:w="4394"/>
        <w:gridCol w:w="4394"/>
      </w:tblGrid>
      <w:tr>
        <w:trPr>
          <w:tblHeader w:val="true"/>
        </w:trPr>
        <w:tc>
          <w:tcPr>
            <w:tcW w:type="dxa" w:w="3511"/>
            <w:shd w:val="clear" w:color="auto" w:fill="1DB88D"/>
            <w:tcBorders>
              <w:top w:val="nil"/>
              <w:left w:val="nil"/>
              <w:right w:val="nil"/>
              <w:bottom w:val="single" w:sz="8" w:space="0" w:color="1F2A37"/>
            </w:tcBorders>
          </w:tcPr>
          <w:p>
            <w:r>
              <w:rPr>
                <w:b/>
                <w:color w:val="FFFFFF"/>
              </w:rPr>
              <w:t>Document control</w:t>
            </w:r>
          </w:p>
        </w:tc>
        <w:tc>
          <w:tcPr>
            <w:tcW w:type="dxa" w:w="3292"/>
            <w:shd w:val="clear" w:color="auto" w:fill="1DB88D"/>
            <w:tcBorders>
              <w:top w:val="nil"/>
              <w:left w:val="nil"/>
              <w:right w:val="nil"/>
              <w:bottom w:val="single" w:sz="8" w:space="0" w:color="1F2A37"/>
            </w:tcBorders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3511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Version</w:t>
            </w:r>
          </w:p>
        </w:tc>
        <w:tc>
          <w:tcPr>
            <w:tcW w:type="dxa" w:w="3292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3</w:t>
            </w:r>
          </w:p>
        </w:tc>
      </w:tr>
      <w:tr>
        <w:tc>
          <w:tcPr>
            <w:tcW w:type="dxa" w:w="3511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Policy owner</w:t>
            </w:r>
          </w:p>
        </w:tc>
        <w:tc>
          <w:tcPr>
            <w:tcW w:type="dxa" w:w="3292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To be confirmed</w:t>
            </w:r>
          </w:p>
        </w:tc>
      </w:tr>
      <w:tr>
        <w:tc>
          <w:tcPr>
            <w:tcW w:type="dxa" w:w="3511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Approved by</w:t>
            </w:r>
          </w:p>
        </w:tc>
        <w:tc>
          <w:tcPr>
            <w:tcW w:type="dxa" w:w="3292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To be confirmed</w:t>
            </w:r>
          </w:p>
        </w:tc>
      </w:tr>
      <w:tr>
        <w:tc>
          <w:tcPr>
            <w:tcW w:type="dxa" w:w="3511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Approval date</w:t>
            </w:r>
          </w:p>
        </w:tc>
        <w:tc>
          <w:tcPr>
            <w:tcW w:type="dxa" w:w="3292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To be confirmed</w:t>
            </w:r>
          </w:p>
        </w:tc>
      </w:tr>
      <w:tr>
        <w:tc>
          <w:tcPr>
            <w:tcW w:type="dxa" w:w="3511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Next review</w:t>
            </w:r>
          </w:p>
        </w:tc>
        <w:tc>
          <w:tcPr>
            <w:tcW w:type="dxa" w:w="3292"/>
            <w:tcBorders>
              <w:top w:val="nil"/>
              <w:left w:val="nil"/>
              <w:right w:val="nil"/>
              <w:bottom w:val="single" w:sz="4" w:space="0" w:color="D1D5DB"/>
            </w:tcBorders>
          </w:tcPr>
          <w:p>
            <w:r>
              <w:rPr/>
              <w:t>To be confirmed</w:t>
            </w:r>
          </w:p>
        </w:tc>
      </w:tr>
    </w:tbl>
    <w:p/>
    <w:p>
      <w:pPr>
        <w:pStyle w:val="Heading1"/>
      </w:pPr>
      <w:r>
        <w:rPr/>
        <w:t>Purpose</w:t>
      </w:r>
    </w:p>
    <w:p>
      <w:r>
        <w:rPr/>
        <w:t>This policy sets out how the company manages foreign exchange risk. It applies to Aurelia Werke GmbH and its subsidiaries.</w:t>
      </w:r>
    </w:p>
    <w:p>
      <w:pPr>
        <w:pStyle w:val="Heading1"/>
      </w:pPr>
      <w:r>
        <w:rPr/>
        <w:t>Responsibilities</w:t>
      </w:r>
    </w:p>
    <w:p>
      <w:r>
        <w:rPr/>
        <w:t>The Finance Director is responsible for foreign exchange management, supported by the finance team. Transactions are approved under the usual authorities.</w:t>
      </w:r>
    </w:p>
    <w:p>
      <w:pPr>
        <w:pStyle w:val="Heading1"/>
      </w:pPr>
      <w:r>
        <w:rPr/>
        <w:t>Hedging approach</w:t>
      </w:r>
    </w:p>
    <w:p>
      <w:r>
        <w:rPr/>
        <w:t>The company hedges a proportion of forecast exposures. Hedging is carried out using forward contracts with the company's principal bank.</w:t>
      </w:r>
    </w:p>
    <w:p>
      <w:r>
        <w:rPr/>
        <w:t>The company does not enter into transactions for speculative purposes.</w:t>
      </w:r>
    </w:p>
    <w:p>
      <w:pPr>
        <w:pStyle w:val="Heading1"/>
      </w:pPr>
      <w:r>
        <w:rPr/>
        <w:t>Banking arrangements</w:t>
      </w:r>
    </w:p>
    <w:p>
      <w:r>
        <w:rPr/>
        <w:t>The company maintains accounts with its principal bank and with such other banks as the Finance Director considers appropriate.</w:t>
      </w:r>
    </w:p>
    <w:p>
      <w:pPr>
        <w:pStyle w:val="Heading1"/>
      </w:pPr>
      <w:r>
        <w:rPr/>
        <w:t>Review</w:t>
      </w:r>
    </w:p>
    <w:p>
      <w:r>
        <w:rPr/>
        <w:t>This policy is reviewed periodically.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   Prepared with the Hedj CFO Toolkit · hedj.eu</w:t>
    </w:r>
  </w:p>
  <w:p>
    <w:r>
      <w:rPr>
        <w:color w:val="6B7280"/>
        <w:sz w:val="14"/>
      </w:rPr>
      <w:t>Information only, not financial, legal, tax or investment advice. Check every figure against your own records and take professional advice before acting.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Foreign Exchange Policy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/>
    </w:pPr>
    <w:rPr>
      <w:rFonts w:ascii="Times New Roman" w:hAnsi="Times New Roman" w:eastAsia="Times New Roman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1F2A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 w:eastAsia="Cambria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