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CareConnect</w:t>
      </w:r>
      <w:r>
        <w:t xml:space="preserve"> </w:t>
      </w:r>
      <w:r>
        <w:t xml:space="preserve">Telehealth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  <w:r>
        <w:t xml:space="preserve"> </w:t>
      </w:r>
      <w:r>
        <w:t xml:space="preserve">(PRD)</w:t>
      </w:r>
    </w:p>
    <w:p>
      <w:pPr>
        <w:pStyle w:val="Author"/>
      </w:pP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Getachew</w:t>
      </w:r>
      <w:r>
        <w:t xml:space="preserve"> </w:t>
      </w:r>
      <w:r>
        <w:t xml:space="preserve">Ekubay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br w:type="page"/>
      </w:r>
    </w:p>
    <w:bookmarkStart w:id="20" w:name="document-control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Document control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Field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Value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Product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CareConnect Telehealth Platform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Document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Product Requirements Document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Version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1.0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Status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Build-ready 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Owner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Getachew Ekubay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Target release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MVP after security, clinical, and legal review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Primary market assumption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United States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Primary client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mobile application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Supporting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 web portal and operations/admin portal</w:t>
            </w:r>
          </w:p>
        </w:tc>
      </w:tr>
    </w:tbl>
    <w:p>
      <w:pPr>
        <w:pStyle w:val="BlockText"/>
        <w:shd w:fill="EEF5FF"/>
        <w:pBdr>
          <w:left w:val="single" w:sz="20" w:space="8" w:color="0B5FC6"/>
        </w:pBdr>
      </w:pPr>
      <w:r>
        <w:rPr>
          <w:rFonts w:ascii="Liberation Sans" w:hAnsi="Liberation Sans" w:eastAsia="Liberation Sans" w:cs="Liberation Sans"/>
          <w:b/>
          <w:bCs/>
        </w:rPr>
        <w:t xml:space="preserve">Important: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This PRD is an engineering and product-planning baseline, not a legal certification. A production launch requires healthcare counsel, clinical governance, security risk analysis, vendor Business Associate Agreements (BAAs), operational policies, workforce training, and jurisdiction-specific review. The UI must not claim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HIPAA compliant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until the full organization and deployed system have been independently validated.</w:t>
      </w:r>
    </w:p>
    <w:bookmarkEnd w:id="20"/>
    <w:bookmarkStart w:id="22" w:name="executive-summary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1. Executive summary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CareConnect is a patient-centered telehealth platform that lets users discover licensed clinicians, book virtual visits, complete a pre-call connection check, join secure video consultations, exchange messages, view health records, manage prescriptions, and maintain profile and insurance information.</w:t>
      </w:r>
    </w:p>
    <w:p>
      <w:pPr>
        <w:pStyle w:val="BodyText"/>
      </w:pPr>
      <w:r>
        <w:rPr>
          <w:rFonts w:ascii="Liberation Sans" w:hAnsi="Liberation Sans" w:eastAsia="Liberation Sans" w:cs="Liberation Sans"/>
        </w:rPr>
        <w:t xml:space="preserve">The supplied Figma screens already cover the core patient experience: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onboarding and health-concern selection;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clinician discovery, search, filters, and profile;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appointment date and time selection;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upcoming and past appointments;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waiting room and active call;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secure inbox;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records and prescription details;</w:t>
      </w:r>
    </w:p>
    <w:p>
      <w:pPr>
        <w:pStyle w:val="Compact"/>
        <w:numPr>
          <w:ilvl w:val="0"/>
          <w:numId w:val="1001"/>
        </w:numPr>
      </w:pPr>
      <w:r>
        <w:rPr>
          <w:rFonts w:ascii="Liberation Sans" w:hAnsi="Liberation Sans" w:eastAsia="Liberation Sans" w:cs="Liberation Sans"/>
        </w:rPr>
        <w:t xml:space="preserve">patient profile and preferences.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The production product must add the backend, provider workflows, secure identity, consent, auditability, error states, interoperability adapters, accessibility, testing, observability, and deployment controls required to operate safely.</w:t>
      </w:r>
    </w:p>
    <w:bookmarkStart w:id="21" w:name="product-decision-summar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1.1 Product decision summary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Decision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Product name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bCs/>
                <w:color w:val="1F2937"/>
                <w:sz w:val="16"/>
              </w:rPr>
              <w:t xml:space="preserve">CareConnect Telehealth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; replace mixed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“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TeleHealth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”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and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“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CareConnect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”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branding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Platform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React Native patient app, Next.js clinician/admin web, FastAPI backend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Data store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PostgreSQL with encrypted object storage for documents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Vendor-neutral video adapter with a production provider that signs a BAA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Interoperability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HL7 FHIR R4 adapter for patient, appointment, encounter, record, and medication exchange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Identity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Managed OpenID Connect provider; MFA required for workforce accounts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Security target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OWASP ASVS Level 2 and OWASP MASVS 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Accessibility target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WCAG 2.2 AA, including mobile guidance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MVP prescribing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Display and manage non-controlled prescriptions; exclude EPCS and controlled substances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Compliance language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“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Designed to support a HIPAA-compliant deployment,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”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never an unverified compliance claim</w:t>
            </w:r>
          </w:p>
        </w:tc>
      </w:tr>
    </w:tbl>
    <w:bookmarkEnd w:id="21"/>
    <w:bookmarkEnd w:id="22"/>
    <w:bookmarkStart w:id="31" w:name="design-baseline-and-readiness-review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2. Design baseline and readiness review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The following screens were reviewed as the product-design baseline.</w:t>
      </w:r>
    </w:p>
    <w:p>
      <w:pPr>
        <w:pStyle w:val="CaptionedFigure"/>
        <w:spacing w:after="4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120640" cy="4915813"/>
            <wp:effectExtent b="0" l="0" r="0" t="0"/>
            <wp:docPr descr="CareConnect design screens, part 1" title="" id="24" name="Picture"/>
            <a:graphic>
              <a:graphicData uri="http://schemas.openxmlformats.org/drawingml/2006/picture">
                <pic:pic>
                  <pic:nvPicPr>
                    <pic:cNvPr descr="/mnt/data/careconnect_screens_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9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CareConnect design screens, part 1</w:t>
      </w:r>
    </w:p>
    <w:p>
      <w:pPr>
        <w:pStyle w:val="CaptionedFigure"/>
        <w:spacing w:after="40"/>
        <w:jc w:val="center"/>
      </w:pPr>
      <w:r>
        <w:rPr>
          <w:rFonts w:ascii="Liberation Sans" w:hAnsi="Liberation Sans" w:eastAsia="Liberation Sans" w:cs="Liberation Sans"/>
        </w:rPr>
        <w:drawing>
          <wp:inline>
            <wp:extent cx="5120640" cy="4915813"/>
            <wp:effectExtent b="0" l="0" r="0" t="0"/>
            <wp:docPr descr="CareConnect design screens, part 2" title="" id="27" name="Picture"/>
            <a:graphic>
              <a:graphicData uri="http://schemas.openxmlformats.org/drawingml/2006/picture">
                <pic:pic>
                  <pic:nvPicPr>
                    <pic:cNvPr descr="/mnt/data/careconnect_screens_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915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Liberation Sans" w:hAnsi="Liberation Sans" w:eastAsia="Liberation Sans" w:cs="Liberation Sans"/>
        </w:rPr>
        <w:t xml:space="preserve">CareConnect design screens, part 2</w:t>
      </w:r>
    </w:p>
    <w:bookmarkStart w:id="29" w:name="screen-inventor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2.1 Screen inventory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Area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Existing design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Brand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Logo/splash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Onboarding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Welcome and health-concern selection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Discovery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Search, specialties, recommendations, filters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Profile, reviews, availability, booking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Slot selector, upcoming/past list, reschedule/cancel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Visit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Waiting room, device/network check, active call, weak-connection state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Communication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Inbox and notification cards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Records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Searchable records list and downloads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Prescription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Medication instructions, pharmacy pickup/home delivery, previous prescriptions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Account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profile, insurance, security, support, sign out</w:t>
            </w:r>
          </w:p>
        </w:tc>
      </w:tr>
    </w:tbl>
    <w:bookmarkEnd w:id="29"/>
    <w:bookmarkStart w:id="30" w:name="X0d1b3315cee474ed25ce73a4b21868932564583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2.2 Required design corrections before implementation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Unify branding.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Use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CareConnect Telehealth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consistently in the logo, onboarding, app header, metadata, emails, and notifications.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Fix identity conflicts.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Sarah Jenkins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appears as both clinician and patient. Use distinct seeded identities.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Fix clinician inconsistencies.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The appointment list references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Dr. Emily Chen,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while discovery shows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Dr. Michael Chen.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Seed data must be coherent.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Remove stale dates.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Replace October 2023 and fixed timestamps with dynamic, timezone-aware dates.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Fix selection mismatch.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The slot screen displays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2:00 PM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as selected although that visible slot is not selected.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Prevent text clipping.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Headers such as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Messa…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and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Appoin…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and specialty chips must adapt to device width and dynamic text size.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Remove unverified compliance claims.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Replace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Secure &amp; HIPAA Compliant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with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Secure telehealth experience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until a verified deployment supports the claim.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Add missing system states.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Loading, empty, offline, permissions denied, retry, expired session, failed payment, appointment conflict, provider cancellation, document upload failure, and record unavailable.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Add missing safety flows.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Emergency disclaimer, crisis routing, informed consent, privacy notice, location confirmation before a visit, and clear limits of telehealth.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Improve call UI.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Remove duplicate controls shown inside the video image, provide connection recovery, audio-only fallback, and clear device-permission states.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Improve accessibility.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Minimum touch targets, scalable text, screen-reader labels, non-color status indicators, focus order, captions/interpretation support, and reduced-motion support.</w:t>
      </w:r>
    </w:p>
    <w:p>
      <w:pPr>
        <w:pStyle w:val="Compact"/>
        <w:numPr>
          <w:ilvl w:val="0"/>
          <w:numId w:val="1002"/>
        </w:numPr>
      </w:pPr>
      <w:r>
        <w:rPr>
          <w:rFonts w:ascii="Liberation Sans" w:hAnsi="Liberation Sans" w:eastAsia="Liberation Sans" w:cs="Liberation Sans"/>
          <w:b/>
          <w:bCs/>
        </w:rPr>
        <w:t xml:space="preserve">Add confirmation steps.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Appointment confirmation, cancellation reason, reschedule confirmation, prescription fulfillment confirmation, and sign-out confirmation.</w:t>
      </w:r>
    </w:p>
    <w:bookmarkEnd w:id="30"/>
    <w:bookmarkEnd w:id="31"/>
    <w:bookmarkStart w:id="35" w:name="product-vision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3. Product vision</w:t>
      </w:r>
    </w:p>
    <w:bookmarkStart w:id="32" w:name="vision-state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3.1 Vision statement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Enable patients to access trusted virtual care, understand the next action, and manage follow-up information from one secure, accessible application.</w:t>
      </w:r>
    </w:p>
    <w:bookmarkEnd w:id="32"/>
    <w:bookmarkStart w:id="33" w:name="problem-state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3.2 Problem statement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Patients commonly face fragmented discovery, scheduling, video, messaging, record, and prescription experiences. This causes abandoned bookings, missed appointments, repeated data entry, poor follow-up, and reduced trust. Clinicians and support teams also need a consistent workflow for availability, patient context, communication, and audit history.</w:t>
      </w:r>
    </w:p>
    <w:bookmarkEnd w:id="33"/>
    <w:bookmarkStart w:id="34" w:name="product-principl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3.3 Product principles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Safety before speed: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emergency and clinical limits must be visible.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One clear next action: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each screen should prioritize the next task.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Trust through transparency: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explain data use, permissions, statuses, and failures.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Accessible by default: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do not treat accessibility as a later enhancement.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Privacy by design: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collect, display, and retain only necessary information.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Interoperable, not isolated: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use standard adapters for EHR, laboratory, and pharmacy connections.</w:t>
      </w:r>
    </w:p>
    <w:p>
      <w:pPr>
        <w:pStyle w:val="Compact"/>
        <w:numPr>
          <w:ilvl w:val="0"/>
          <w:numId w:val="1003"/>
        </w:numPr>
      </w:pPr>
      <w:r>
        <w:rPr>
          <w:rFonts w:ascii="Liberation Sans" w:hAnsi="Liberation Sans" w:eastAsia="Liberation Sans" w:cs="Liberation Sans"/>
          <w:b/>
          <w:bCs/>
        </w:rPr>
        <w:t xml:space="preserve">Resilient on weak networks: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support reconnect, low-bandwidth mode, and recoverable workflows.</w:t>
      </w:r>
    </w:p>
    <w:bookmarkEnd w:id="34"/>
    <w:bookmarkEnd w:id="35"/>
    <w:bookmarkStart w:id="39" w:name="target-users-and-persona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4. Target users and personas</w:t>
      </w:r>
    </w:p>
    <w:bookmarkStart w:id="36" w:name="primary-persona-pati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4.1 Primary persona: patient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Name: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Maya Johnson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Context: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Working adult managing routine care and occasional specialist visits.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Needs: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Find an appropriate clinician, compare availability and price, book quickly, join without technical difficulty, receive follow-up messages, and access records.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Pain points: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Unclear availability, forgotten appointments, unreliable video, repeated form entry, fragmented records.</w:t>
      </w:r>
    </w:p>
    <w:bookmarkEnd w:id="36"/>
    <w:bookmarkStart w:id="37" w:name="secondary-persona-clinicia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4.2 Secondary persona: clinician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Name: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Dr. Daniel Bekele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Context: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Licensed clinician providing virtual consultations alongside in-person work.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Needs: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Control availability, review patient-submitted information, start visits on time, document outcomes, send follow-up instructions, and avoid duplicate messages.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Pain points: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Incomplete patient context, no-shows, poor device readiness, excessive administrative work.</w:t>
      </w:r>
    </w:p>
    <w:bookmarkEnd w:id="37"/>
    <w:bookmarkStart w:id="38" w:name="X035023283a8d2bfb33c0c65c042ab933fe4feb8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4.3 Secondary persona: operations administrator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Name: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Helen Brooks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Context: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Supports patients and clinicians, resolves scheduling and account issues, and monitors service quality.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Needs: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Search users and appointments, view permitted audit information, manage escalations, and monitor integration health.</w:t>
      </w:r>
      <w:r>
        <w:rPr>
          <w:rFonts w:ascii="Liberation Sans" w:hAnsi="Liberation Sans" w:eastAsia="Liberation Sans" w:cs="Liberation Sans"/>
        </w:rPr>
        <w:br/>
      </w:r>
      <w:r>
        <w:rPr>
          <w:rFonts w:ascii="Liberation Sans" w:hAnsi="Liberation Sans" w:eastAsia="Liberation Sans" w:cs="Liberation Sans"/>
          <w:b/>
          <w:bCs/>
        </w:rPr>
        <w:t xml:space="preserve">Pain points: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Insufficient traceability, manual coordination, and inability to distinguish user error from system failure.</w:t>
      </w:r>
    </w:p>
    <w:bookmarkEnd w:id="38"/>
    <w:bookmarkEnd w:id="39"/>
    <w:bookmarkStart w:id="43" w:name="goals-non-goals-and-metric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5. Goals, non-goals, and metrics</w:t>
      </w:r>
    </w:p>
    <w:bookmarkStart w:id="40" w:name="mvp-goal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5.1 MVP goals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A patient can discover and book an eligible clinician in fewer than three minutes.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A confirmed patient can join a scheduled visit with a successful device check.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Patients and clinicians can exchange secure messages tied to care context.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Patients can view and download authorized records and prescription information.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Every sensitive action is authorized, logged, and auditable.</w:t>
      </w:r>
    </w:p>
    <w:p>
      <w:pPr>
        <w:pStyle w:val="Compact"/>
        <w:numPr>
          <w:ilvl w:val="0"/>
          <w:numId w:val="1004"/>
        </w:numPr>
      </w:pPr>
      <w:r>
        <w:rPr>
          <w:rFonts w:ascii="Liberation Sans" w:hAnsi="Liberation Sans" w:eastAsia="Liberation Sans" w:cs="Liberation Sans"/>
        </w:rPr>
        <w:t xml:space="preserve">The system can be deployed with synthetic data in a production-like environment.</w:t>
      </w:r>
    </w:p>
    <w:bookmarkEnd w:id="40"/>
    <w:bookmarkStart w:id="41" w:name="non-goals-for-mvp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5.2 Non-goals for MVP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emergency diagnosis or emergency dispatch;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autonomous symptom diagnosis;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controlled-substance prescribing or EPCS;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insurance claim adjudication;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full hospital electronic health record replacement;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medical-device functionality;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AI-generated clinical decisions;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recording video visits by default;</w:t>
      </w:r>
    </w:p>
    <w:p>
      <w:pPr>
        <w:pStyle w:val="Compact"/>
        <w:numPr>
          <w:ilvl w:val="0"/>
          <w:numId w:val="1005"/>
        </w:numPr>
      </w:pPr>
      <w:r>
        <w:rPr>
          <w:rFonts w:ascii="Liberation Sans" w:hAnsi="Liberation Sans" w:eastAsia="Liberation Sans" w:cs="Liberation Sans"/>
        </w:rPr>
        <w:t xml:space="preserve">multi-country regulatory support in the first release.</w:t>
      </w:r>
    </w:p>
    <w:bookmarkEnd w:id="41"/>
    <w:bookmarkStart w:id="42" w:name="north-star-and-supporting-metric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5.3 North-star and supporting metrics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Metric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MVP target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Completed bookings / started booking flows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≥ 70%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Median time from discovery to confirmed booking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&lt; 3 minutes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Visit join success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≥ 97%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Video sessions requiring support intervention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&lt; 3%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Appointment no-show rate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Reduce by 15% from 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Crash-free mobile sessions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≥ 99.5%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API availability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≥ 99.9% monthly, excluding planned maintenance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task success in usability tests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≥ 90% for booking and joining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Accessibility critical defects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0 at release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Unauthorized data access defects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0 at release</w:t>
            </w:r>
          </w:p>
        </w:tc>
      </w:tr>
    </w:tbl>
    <w:bookmarkEnd w:id="42"/>
    <w:bookmarkEnd w:id="43"/>
    <w:bookmarkStart w:id="51" w:name="scope-and-release-plan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6. Scope and release plan</w:t>
      </w:r>
    </w:p>
    <w:bookmarkStart w:id="48" w:name="mvp-scope-p0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6.1 MVP scope: P0</w:t>
      </w:r>
    </w:p>
    <w:bookmarkStart w:id="44" w:name="patient-mobile-app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Patient mobile app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registration, sign-in, password recovery, device session management;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consent, privacy acknowledgement, emergency disclaimer, communication preferences;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health-concern and specialty selection;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clinician search, filters, profile, reviews, pricing, and next availability;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date/time selection and appointment confirmation;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upcoming/past appointments, cancellation, and rescheduling;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reminders and push notifications without PHI in notification text;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waiting room, microphone/camera/network checks, document upload;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secure video session with reconnect and audio-only fallback;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secure message threads;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records list, details, and authorized download;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prescription details and fulfillment preference;</w:t>
      </w:r>
    </w:p>
    <w:p>
      <w:pPr>
        <w:pStyle w:val="Compact"/>
        <w:numPr>
          <w:ilvl w:val="0"/>
          <w:numId w:val="1006"/>
        </w:numPr>
      </w:pPr>
      <w:r>
        <w:rPr>
          <w:rFonts w:ascii="Liberation Sans" w:hAnsi="Liberation Sans" w:eastAsia="Liberation Sans" w:cs="Liberation Sans"/>
        </w:rPr>
        <w:t xml:space="preserve">patient profile, insurance, security, privacy, support, and sign out.</w:t>
      </w:r>
    </w:p>
    <w:bookmarkEnd w:id="44"/>
    <w:bookmarkStart w:id="45" w:name="clinician-web-portal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Clinician web portal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secure workforce sign-in with MFA;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profile and license metadata;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availability management;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appointment queue and patient-provided pre-visit information;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start/end virtual visit;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secure messaging;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upload or link visit summary, document, and prescription record;</w:t>
      </w:r>
    </w:p>
    <w:p>
      <w:pPr>
        <w:pStyle w:val="Compact"/>
        <w:numPr>
          <w:ilvl w:val="0"/>
          <w:numId w:val="1007"/>
        </w:numPr>
      </w:pPr>
      <w:r>
        <w:rPr>
          <w:rFonts w:ascii="Liberation Sans" w:hAnsi="Liberation Sans" w:eastAsia="Liberation Sans" w:cs="Liberation Sans"/>
        </w:rPr>
        <w:t xml:space="preserve">basic appointment status management.</w:t>
      </w:r>
    </w:p>
    <w:bookmarkEnd w:id="45"/>
    <w:bookmarkStart w:id="46" w:name="operationsadmin-portal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Operations/admin portal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user and appointment lookup;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clinician activation/suspension;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support case notes that exclude unnecessary clinical content;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audit-event search based on least privilege;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system and integration health dashboard;</w:t>
      </w:r>
    </w:p>
    <w:p>
      <w:pPr>
        <w:pStyle w:val="Compact"/>
        <w:numPr>
          <w:ilvl w:val="0"/>
          <w:numId w:val="1008"/>
        </w:numPr>
      </w:pPr>
      <w:r>
        <w:rPr>
          <w:rFonts w:ascii="Liberation Sans" w:hAnsi="Liberation Sans" w:eastAsia="Liberation Sans" w:cs="Liberation Sans"/>
        </w:rPr>
        <w:t xml:space="preserve">configurable specialty, cancellation, and notification settings.</w:t>
      </w:r>
    </w:p>
    <w:bookmarkEnd w:id="46"/>
    <w:bookmarkStart w:id="47" w:name="platform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Platform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REST API and event-driven background jobs;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PostgreSQL persistence;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encrypted object storage;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managed identity integration;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audit trail;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FHIR R4 adapter;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video provider adapter;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email/SMS/push adapters;</w:t>
      </w:r>
    </w:p>
    <w:p>
      <w:pPr>
        <w:pStyle w:val="Compact"/>
        <w:numPr>
          <w:ilvl w:val="0"/>
          <w:numId w:val="1009"/>
        </w:numPr>
      </w:pPr>
      <w:r>
        <w:rPr>
          <w:rFonts w:ascii="Liberation Sans" w:hAnsi="Liberation Sans" w:eastAsia="Liberation Sans" w:cs="Liberation Sans"/>
        </w:rPr>
        <w:t xml:space="preserve">CI/CD, infrastructure as code, monitoring, backup, and recovery procedures.</w:t>
      </w:r>
    </w:p>
    <w:bookmarkEnd w:id="47"/>
    <w:bookmarkEnd w:id="48"/>
    <w:bookmarkStart w:id="49" w:name="p1-after-mvp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6.2 P1 after MVP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dependents and caregiver access;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integrated copay and payment;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electronic intake forms and e-signatures;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multilingual content and interpretation scheduling;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insurance eligibility verification;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richer laboratory result views;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provider ratings moderation;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patient-generated device data;</w:t>
      </w:r>
    </w:p>
    <w:p>
      <w:pPr>
        <w:pStyle w:val="Compact"/>
        <w:numPr>
          <w:ilvl w:val="0"/>
          <w:numId w:val="1010"/>
        </w:numPr>
      </w:pPr>
      <w:r>
        <w:rPr>
          <w:rFonts w:ascii="Liberation Sans" w:hAnsi="Liberation Sans" w:eastAsia="Liberation Sans" w:cs="Liberation Sans"/>
        </w:rPr>
        <w:t xml:space="preserve">EHR SMART-on-FHIR launch.</w:t>
      </w:r>
    </w:p>
    <w:bookmarkEnd w:id="49"/>
    <w:bookmarkStart w:id="50" w:name="p2-futur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6.3 P2 future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cross-organization referrals;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AI-assisted navigation with human review;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remote patient monitoring;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regional regulatory packs;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advanced analytics;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claims workflows;</w:t>
      </w:r>
    </w:p>
    <w:p>
      <w:pPr>
        <w:pStyle w:val="Compact"/>
        <w:numPr>
          <w:ilvl w:val="0"/>
          <w:numId w:val="1011"/>
        </w:numPr>
      </w:pPr>
      <w:r>
        <w:rPr>
          <w:rFonts w:ascii="Liberation Sans" w:hAnsi="Liberation Sans" w:eastAsia="Liberation Sans" w:cs="Liberation Sans"/>
        </w:rPr>
        <w:t xml:space="preserve">approved e-prescribing integration for controlled substances.</w:t>
      </w:r>
    </w:p>
    <w:bookmarkEnd w:id="50"/>
    <w:bookmarkEnd w:id="51"/>
    <w:bookmarkStart w:id="55" w:name="core-user-journey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7. Core user journeys</w:t>
      </w:r>
    </w:p>
    <w:bookmarkStart w:id="52" w:name="new-patient-books-a-visi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7.1 New patient books a visit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Install/open application.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Review welcome, privacy summary, emergency limitation, and consent.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Create account and verify email/phone.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Complete minimum profile and timezone.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Select health concern or search.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Review eligible clinicians.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Open clinician profile.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Select visit type, date, and available slot.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Confirm price/coverage information and appointment details.</w:t>
      </w:r>
    </w:p>
    <w:p>
      <w:pPr>
        <w:pStyle w:val="Compact"/>
        <w:numPr>
          <w:ilvl w:val="0"/>
          <w:numId w:val="1012"/>
        </w:numPr>
      </w:pPr>
      <w:r>
        <w:rPr>
          <w:rFonts w:ascii="Liberation Sans" w:hAnsi="Liberation Sans" w:eastAsia="Liberation Sans" w:cs="Liberation Sans"/>
        </w:rPr>
        <w:t xml:space="preserve">Receive confirmation and calendar/reminder options.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Success condition: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Appointment is persisted, conflict-free, visible to patient and clinician, and confirmed by notification.</w:t>
      </w:r>
    </w:p>
    <w:bookmarkEnd w:id="52"/>
    <w:bookmarkStart w:id="53" w:name="patient-joins-a-video-consultatio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7.2 Patient joins a video consultation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Open upcoming appointment.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Confirm current physical location and emergency contact.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Review telehealth consent if expired or changed.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Enter waiting room.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Grant microphone/camera permissions.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Run device and network checks.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Upload optional documents.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Join when clinician starts.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Recover from connection degradation or switch to audio.</w:t>
      </w:r>
    </w:p>
    <w:p>
      <w:pPr>
        <w:pStyle w:val="Compact"/>
        <w:numPr>
          <w:ilvl w:val="0"/>
          <w:numId w:val="1013"/>
        </w:numPr>
      </w:pPr>
      <w:r>
        <w:rPr>
          <w:rFonts w:ascii="Liberation Sans" w:hAnsi="Liberation Sans" w:eastAsia="Liberation Sans" w:cs="Liberation Sans"/>
        </w:rPr>
        <w:t xml:space="preserve">End visit and view follow-up summary.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Success condition: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Encounter status and timestamps are recorded, media tokens expire, and patient receives follow-up actions.</w:t>
      </w:r>
    </w:p>
    <w:bookmarkEnd w:id="53"/>
    <w:bookmarkStart w:id="54" w:name="patient-reviews-a-prescriptio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7.3 Patient reviews a prescription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Receive generic notification that a new item is available.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Authenticate and open prescription.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Review medication, instructions, prescriber, warnings, and status.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Choose supported pharmacy pickup or home-delivery option.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Confirm preference.</w:t>
      </w:r>
    </w:p>
    <w:p>
      <w:pPr>
        <w:pStyle w:val="Compact"/>
        <w:numPr>
          <w:ilvl w:val="0"/>
          <w:numId w:val="1014"/>
        </w:numPr>
      </w:pPr>
      <w:r>
        <w:rPr>
          <w:rFonts w:ascii="Liberation Sans" w:hAnsi="Liberation Sans" w:eastAsia="Liberation Sans" w:cs="Liberation Sans"/>
        </w:rPr>
        <w:t xml:space="preserve">Track fulfillment status or contact care team if unavailable.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Success condition: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Only authorized prescription data is displayed, and fulfillment preference is recorded with an audit event.</w:t>
      </w:r>
    </w:p>
    <w:bookmarkEnd w:id="54"/>
    <w:bookmarkEnd w:id="55"/>
    <w:bookmarkStart w:id="77" w:name="product-epics-and-user-storie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8. Product epics and user stories</w:t>
      </w:r>
    </w:p>
    <w:bookmarkStart w:id="58" w:name="epic-a-identity-consent-and-onboarding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A: Identity, consent, and onboarding</w:t>
      </w:r>
    </w:p>
    <w:bookmarkStart w:id="56" w:name="a1.-account-creation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A1. Account creation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Story: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As a patient, I want to create and verify an account so that only I can access my health information.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Email or phone verification is required before protected data is shown.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Password policy and breached-password checks are enforced by the identity provider.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The user can review active sessions and revoke other sessions.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Sensitive profile changes trigger re-authentication.</w:t>
      </w:r>
    </w:p>
    <w:p>
      <w:pPr>
        <w:pStyle w:val="Compact"/>
        <w:numPr>
          <w:ilvl w:val="0"/>
          <w:numId w:val="1015"/>
        </w:numPr>
      </w:pPr>
      <w:r>
        <w:rPr>
          <w:rFonts w:ascii="Liberation Sans" w:hAnsi="Liberation Sans" w:eastAsia="Liberation Sans" w:cs="Liberation Sans"/>
        </w:rPr>
        <w:t xml:space="preserve">Authentication errors do not reveal whether an account exists.</w:t>
      </w:r>
    </w:p>
    <w:bookmarkEnd w:id="56"/>
    <w:bookmarkStart w:id="57" w:name="a2.-consent-and-safety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A2. Consent and safety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Story: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As a patient, I want to understand what telehealth can and cannot do before I use it.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The user accepts Terms, Privacy Notice, Telehealth Consent, and communication preferences with version and timestamp.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The app displays a persistent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not for emergencies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message at appropriate entry points.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High-risk symptom content presents jurisdiction-configured emergency guidance instead of continuing normal booking.</w:t>
      </w:r>
    </w:p>
    <w:p>
      <w:pPr>
        <w:pStyle w:val="Compact"/>
        <w:numPr>
          <w:ilvl w:val="0"/>
          <w:numId w:val="1016"/>
        </w:numPr>
      </w:pPr>
      <w:r>
        <w:rPr>
          <w:rFonts w:ascii="Liberation Sans" w:hAnsi="Liberation Sans" w:eastAsia="Liberation Sans" w:cs="Liberation Sans"/>
        </w:rPr>
        <w:t xml:space="preserve">The system records consent history and supports withdrawal where legally permitted.</w:t>
      </w:r>
    </w:p>
    <w:bookmarkEnd w:id="57"/>
    <w:bookmarkEnd w:id="58"/>
    <w:bookmarkStart w:id="61" w:name="epic-b-clinician-discover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B: Clinician discovery</w:t>
      </w:r>
    </w:p>
    <w:bookmarkStart w:id="59" w:name="b1.-search-and-filter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B1. Search and filter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Story: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As a patient, I want to find an appropriate clinician based on specialty, availability, language, price, and visit type.</w:t>
      </w:r>
    </w:p>
    <w:p>
      <w:pPr>
        <w:pStyle w:val="BodyText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Search supports name, specialty, and configured condition synonyms.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Filters are combinable and removable.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Results show licensing/service-area eligibility for the patient’s confirmed location.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Sorting supports recommended, soonest availability, rating, and price.</w:t>
      </w:r>
    </w:p>
    <w:p>
      <w:pPr>
        <w:pStyle w:val="Compact"/>
        <w:numPr>
          <w:ilvl w:val="0"/>
          <w:numId w:val="1017"/>
        </w:numPr>
      </w:pPr>
      <w:r>
        <w:rPr>
          <w:rFonts w:ascii="Liberation Sans" w:hAnsi="Liberation Sans" w:eastAsia="Liberation Sans" w:cs="Liberation Sans"/>
        </w:rPr>
        <w:t xml:space="preserve">Empty results offer clear alternatives without inventing clinicians.</w:t>
      </w:r>
    </w:p>
    <w:bookmarkEnd w:id="59"/>
    <w:bookmarkStart w:id="60" w:name="b2.-clinician-profile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B2. Clinician profile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Profile includes verified name, credentials, specialty, organization, languages, years of experience, visit types, price range, rating summary, and availability.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Review counts and ratings are based only on approved records.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Book appointment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remains reachable without obscuring content.</w:t>
      </w:r>
    </w:p>
    <w:p>
      <w:pPr>
        <w:pStyle w:val="Compact"/>
        <w:numPr>
          <w:ilvl w:val="0"/>
          <w:numId w:val="1018"/>
        </w:numPr>
      </w:pPr>
      <w:r>
        <w:rPr>
          <w:rFonts w:ascii="Liberation Sans" w:hAnsi="Liberation Sans" w:eastAsia="Liberation Sans" w:cs="Liberation Sans"/>
        </w:rPr>
        <w:t xml:space="preserve">The app does not expose private clinician contact information.</w:t>
      </w:r>
    </w:p>
    <w:bookmarkEnd w:id="60"/>
    <w:bookmarkEnd w:id="61"/>
    <w:bookmarkStart w:id="64" w:name="epic-c-scheduling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C: Scheduling</w:t>
      </w:r>
    </w:p>
    <w:bookmarkStart w:id="62" w:name="c1.-slot-selection-and-booking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C1. Slot selection and booking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Availability is loaded in the patient’s timezone and displays the clinician timezone where useful.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A temporary slot hold prevents double booking during confirmation.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Booking is idempotent; retries cannot create duplicate appointments.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The final confirmation includes clinician, date/time, timezone, visit type, estimated charge, cancellation policy, and preparation instructions.</w:t>
      </w:r>
    </w:p>
    <w:p>
      <w:pPr>
        <w:pStyle w:val="Compact"/>
        <w:numPr>
          <w:ilvl w:val="0"/>
          <w:numId w:val="1019"/>
        </w:numPr>
      </w:pPr>
      <w:r>
        <w:rPr>
          <w:rFonts w:ascii="Liberation Sans" w:hAnsi="Liberation Sans" w:eastAsia="Liberation Sans" w:cs="Liberation Sans"/>
        </w:rPr>
        <w:t xml:space="preserve">Calendar export excludes sensitive medical details.</w:t>
      </w:r>
    </w:p>
    <w:bookmarkEnd w:id="62"/>
    <w:bookmarkStart w:id="63" w:name="c2.-reschedule-and-cancellation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C2. Reschedule and cancellation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The user sees policy impact before confirmation.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Rescheduling creates an audit history and preserves the appointment relationship.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Clinician cancellation triggers alternative options and support escalation.</w:t>
      </w:r>
    </w:p>
    <w:p>
      <w:pPr>
        <w:pStyle w:val="Compact"/>
        <w:numPr>
          <w:ilvl w:val="0"/>
          <w:numId w:val="1020"/>
        </w:numPr>
      </w:pPr>
      <w:r>
        <w:rPr>
          <w:rFonts w:ascii="Liberation Sans" w:hAnsi="Liberation Sans" w:eastAsia="Liberation Sans" w:cs="Liberation Sans"/>
        </w:rPr>
        <w:t xml:space="preserve">The user receives confirmation through configured channels.</w:t>
      </w:r>
    </w:p>
    <w:bookmarkEnd w:id="63"/>
    <w:bookmarkEnd w:id="64"/>
    <w:bookmarkStart w:id="67" w:name="epic-d-visit-readiness-and-video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D: Visit readiness and video</w:t>
      </w:r>
    </w:p>
    <w:bookmarkStart w:id="65" w:name="d1.-waiting-room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D1. Waiting room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The user can test microphone, camera, speaker, and network.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Permission denial includes device-specific instructions.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The user can upload allowed document types with malware scanning and size limits.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The screen shows appointment identity and estimated delay.</w:t>
      </w:r>
    </w:p>
    <w:p>
      <w:pPr>
        <w:pStyle w:val="Compact"/>
        <w:numPr>
          <w:ilvl w:val="0"/>
          <w:numId w:val="1021"/>
        </w:numPr>
      </w:pPr>
      <w:r>
        <w:rPr>
          <w:rFonts w:ascii="Liberation Sans" w:hAnsi="Liberation Sans" w:eastAsia="Liberation Sans" w:cs="Liberation Sans"/>
        </w:rPr>
        <w:t xml:space="preserve">The patient can leave without cancelling the appointment.</w:t>
      </w:r>
    </w:p>
    <w:bookmarkEnd w:id="65"/>
    <w:bookmarkStart w:id="66" w:name="d2.-active-call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D2. Active call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Media access uses short-lived, single-session tokens.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Controls include mute, camera, chat, switch camera, audio route, and end call.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A connection-quality banner provides retry and audio-only actions.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Reconnection preserves the encounter and shows the user what is happening.</w:t>
      </w:r>
    </w:p>
    <w:p>
      <w:pPr>
        <w:pStyle w:val="Compact"/>
        <w:numPr>
          <w:ilvl w:val="0"/>
          <w:numId w:val="1022"/>
        </w:numPr>
      </w:pPr>
      <w:r>
        <w:rPr>
          <w:rFonts w:ascii="Liberation Sans" w:hAnsi="Liberation Sans" w:eastAsia="Liberation Sans" w:cs="Liberation Sans"/>
        </w:rPr>
        <w:t xml:space="preserve">Video is not recorded unless a separately reviewed feature and explicit consent are introduced.</w:t>
      </w:r>
    </w:p>
    <w:bookmarkEnd w:id="66"/>
    <w:bookmarkEnd w:id="67"/>
    <w:bookmarkStart w:id="69" w:name="epic-e-messaging-and-notification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E: Messaging and notifications</w:t>
      </w:r>
    </w:p>
    <w:bookmarkStart w:id="68" w:name="e1.-secure-messaging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E1. Secure messaging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Threads are limited to authorized participants and care context.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Attachments are scanned, encrypted, and downloaded with expiring links.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Read/unread and delivery status are supported.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Users can report inappropriate content and contact support.</w:t>
      </w:r>
    </w:p>
    <w:p>
      <w:pPr>
        <w:pStyle w:val="Compact"/>
        <w:numPr>
          <w:ilvl w:val="0"/>
          <w:numId w:val="1023"/>
        </w:numPr>
      </w:pPr>
      <w:r>
        <w:rPr>
          <w:rFonts w:ascii="Liberation Sans" w:hAnsi="Liberation Sans" w:eastAsia="Liberation Sans" w:cs="Liberation Sans"/>
        </w:rPr>
        <w:t xml:space="preserve">Notification previews contain no diagnosis, medication name, or laboratory result.</w:t>
      </w:r>
    </w:p>
    <w:bookmarkEnd w:id="68"/>
    <w:bookmarkEnd w:id="69"/>
    <w:bookmarkStart w:id="71" w:name="epic-f-record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F: Records</w:t>
      </w:r>
    </w:p>
    <w:bookmarkStart w:id="70" w:name="f1.-record-list-and-detail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F1. Record list and detail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Records can be filtered by type and date.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Each item displays source, service date, status, and document type.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Downloads require active authorization and produce an audit event.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Unsupported or unavailable documents show a clear explanation and support route.</w:t>
      </w:r>
    </w:p>
    <w:p>
      <w:pPr>
        <w:pStyle w:val="Compact"/>
        <w:numPr>
          <w:ilvl w:val="0"/>
          <w:numId w:val="1024"/>
        </w:numPr>
      </w:pPr>
      <w:r>
        <w:rPr>
          <w:rFonts w:ascii="Liberation Sans" w:hAnsi="Liberation Sans" w:eastAsia="Liberation Sans" w:cs="Liberation Sans"/>
        </w:rPr>
        <w:t xml:space="preserve">Imported records preserve source provenance.</w:t>
      </w:r>
    </w:p>
    <w:bookmarkEnd w:id="70"/>
    <w:bookmarkEnd w:id="71"/>
    <w:bookmarkStart w:id="74" w:name="epic-g-prescriptions-and-fulfillmen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G: Prescriptions and fulfillment</w:t>
      </w:r>
    </w:p>
    <w:bookmarkStart w:id="72" w:name="g1.-prescription-display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G1. Prescription display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Display medication name, strength, form, quantity, instructions, prescriber, status, refills, and safety text supplied by the source.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The product does not independently calculate or modify dosage.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Expired, cancelled, or unavailable prescriptions are clearly distinguished.</w:t>
      </w:r>
    </w:p>
    <w:p>
      <w:pPr>
        <w:pStyle w:val="Compact"/>
        <w:numPr>
          <w:ilvl w:val="0"/>
          <w:numId w:val="1025"/>
        </w:numPr>
      </w:pPr>
      <w:r>
        <w:rPr>
          <w:rFonts w:ascii="Liberation Sans" w:hAnsi="Liberation Sans" w:eastAsia="Liberation Sans" w:cs="Liberation Sans"/>
        </w:rPr>
        <w:t xml:space="preserve">Controlled-substance prescribing and EPCS are excluded from MVP.</w:t>
      </w:r>
    </w:p>
    <w:bookmarkEnd w:id="72"/>
    <w:bookmarkStart w:id="73" w:name="g2.-fulfillment-choice"/>
    <w:p>
      <w:pPr>
        <w:pStyle w:val="Heading3"/>
      </w:pPr>
      <w:r>
        <w:rPr>
          <w:rFonts w:ascii="Liberation Sans" w:hAnsi="Liberation Sans" w:eastAsia="Liberation Sans" w:cs="Liberation Sans"/>
        </w:rPr>
        <w:t xml:space="preserve">G2. Fulfillment choice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Available pharmacy and delivery options are obtained from an integration or marked as demo data.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The user confirms the selected option.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Failures do not alter the underlying prescription.</w:t>
      </w:r>
    </w:p>
    <w:p>
      <w:pPr>
        <w:pStyle w:val="Compact"/>
        <w:numPr>
          <w:ilvl w:val="0"/>
          <w:numId w:val="1026"/>
        </w:numPr>
      </w:pPr>
      <w:r>
        <w:rPr>
          <w:rFonts w:ascii="Liberation Sans" w:hAnsi="Liberation Sans" w:eastAsia="Liberation Sans" w:cs="Liberation Sans"/>
        </w:rPr>
        <w:t xml:space="preserve">The system records request status separately from medication status.</w:t>
      </w:r>
    </w:p>
    <w:bookmarkEnd w:id="73"/>
    <w:bookmarkEnd w:id="74"/>
    <w:bookmarkStart w:id="75" w:name="epic-h-profile-and-preferenc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H: Profile and preferences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Users can manage personal information, communication preferences, insurance, language, accessibility preferences, and security settings.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Changes to legal name, birth date, phone, or email use elevated verification.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The user can request an export or account closure subject to retention rules.</w:t>
      </w:r>
    </w:p>
    <w:p>
      <w:pPr>
        <w:pStyle w:val="Compact"/>
        <w:numPr>
          <w:ilvl w:val="0"/>
          <w:numId w:val="1027"/>
        </w:numPr>
      </w:pPr>
      <w:r>
        <w:rPr>
          <w:rFonts w:ascii="Liberation Sans" w:hAnsi="Liberation Sans" w:eastAsia="Liberation Sans" w:cs="Liberation Sans"/>
        </w:rPr>
        <w:t xml:space="preserve">Sign-out removes locally cached protected data and invalidates the session token.</w:t>
      </w:r>
    </w:p>
    <w:bookmarkEnd w:id="75"/>
    <w:bookmarkStart w:id="76" w:name="X1d4036c84c7a5c5055f48021ce920112fdc0156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Epic I: Clinician and operations workflows</w:t>
      </w:r>
    </w:p>
    <w:p>
      <w:pPr>
        <w:pStyle w:val="FirstParagraph"/>
      </w:pPr>
      <w:r>
        <w:rPr>
          <w:rFonts w:ascii="Liberation Sans" w:hAnsi="Liberation Sans" w:eastAsia="Liberation Sans" w:cs="Liberation Sans"/>
          <w:b/>
          <w:bCs/>
        </w:rPr>
        <w:t xml:space="preserve">Acceptance criteria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Workforce users use role-based access and MFA.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Clinicians can manage only their authorized appointments and patients.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Support users see only the minimum information needed for the support task.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Every privileged view and modification produces an audit event.</w:t>
      </w:r>
    </w:p>
    <w:p>
      <w:pPr>
        <w:pStyle w:val="Compact"/>
        <w:numPr>
          <w:ilvl w:val="0"/>
          <w:numId w:val="1028"/>
        </w:numPr>
      </w:pPr>
      <w:r>
        <w:rPr>
          <w:rFonts w:ascii="Liberation Sans" w:hAnsi="Liberation Sans" w:eastAsia="Liberation Sans" w:cs="Liberation Sans"/>
        </w:rPr>
        <w:t xml:space="preserve">Administrators cannot silently edit clinical records.</w:t>
      </w:r>
    </w:p>
    <w:bookmarkEnd w:id="76"/>
    <w:bookmarkEnd w:id="77"/>
    <w:bookmarkStart w:id="82" w:name="Xdaeb27c80fd9469321d4f3d1ed8aa26fcec4d3e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9. UX, content, and design-system requirements</w:t>
      </w:r>
    </w:p>
    <w:bookmarkStart w:id="78" w:name="information-architectur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9.1 Information architecture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Primary patient navigation: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Home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Calendar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Messages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Records</w:t>
      </w:r>
    </w:p>
    <w:p>
      <w:pPr>
        <w:pStyle w:val="Compact"/>
        <w:numPr>
          <w:ilvl w:val="0"/>
          <w:numId w:val="1029"/>
        </w:numPr>
      </w:pPr>
      <w:r>
        <w:rPr>
          <w:rFonts w:ascii="Liberation Sans" w:hAnsi="Liberation Sans" w:eastAsia="Liberation Sans" w:cs="Liberation Sans"/>
        </w:rPr>
        <w:t xml:space="preserve">Profile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Appointment and call actions may use contextual full-screen flows but must return to the originating location.</w:t>
      </w:r>
    </w:p>
    <w:bookmarkEnd w:id="78"/>
    <w:bookmarkStart w:id="79" w:name="visual-system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9.2 Visual system</w:t>
      </w:r>
    </w:p>
    <w:tbl>
      <w:tblPr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Token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Baseline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Primary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#0B5FC6 or accessible equivalent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Accent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Teal used only where contrast passes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Background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Neutral near-white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Text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Near-black, not pure black for body copy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Danger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Red with icon and text, never color alone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Radius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12–24 px depending on component scale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Spacing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4 px base grid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Minimum touch target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44 × 44 CSS px equivalent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Body text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16 px equivalent minimum, scalable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Contrast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WCAG 2.2 AA</w:t>
            </w:r>
          </w:p>
        </w:tc>
      </w:tr>
    </w:tbl>
    <w:bookmarkEnd w:id="79"/>
    <w:bookmarkStart w:id="80" w:name="content-requireme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9.3 Content requirements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Use plain language and define medical terms.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Never use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all clear,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safe,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or diagnostic certainty without clinical authority.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Show local timezone on all appointment confirmations.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Avoid PHI in push, SMS, email subject lines, and lock-screen previews.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Use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“</w:t>
      </w:r>
      <w:r>
        <w:rPr>
          <w:rFonts w:ascii="Liberation Sans" w:hAnsi="Liberation Sans" w:eastAsia="Liberation Sans" w:cs="Liberation Sans"/>
        </w:rPr>
        <w:t xml:space="preserve">clinician</w:t>
      </w:r>
      <w:r>
        <w:rPr>
          <w:rFonts w:ascii="Liberation Sans" w:hAnsi="Liberation Sans" w:eastAsia="Liberation Sans" w:cs="Liberation Sans"/>
        </w:rPr>
        <w:t xml:space="preserve">”</w:t>
      </w:r>
      <w:r>
        <w:rPr>
          <w:rFonts w:ascii="Liberation Sans" w:hAnsi="Liberation Sans" w:eastAsia="Liberation Sans" w:cs="Liberation Sans"/>
        </w:rPr>
        <w:t xml:space="preserve"> </w:t>
      </w:r>
      <w:r>
        <w:rPr>
          <w:rFonts w:ascii="Liberation Sans" w:hAnsi="Liberation Sans" w:eastAsia="Liberation Sans" w:cs="Liberation Sans"/>
        </w:rPr>
        <w:t xml:space="preserve">where multiple provider types are supported.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Preserve the source wording of medication instructions; do not paraphrase dosage.</w:t>
      </w:r>
    </w:p>
    <w:p>
      <w:pPr>
        <w:pStyle w:val="Compact"/>
        <w:numPr>
          <w:ilvl w:val="0"/>
          <w:numId w:val="1030"/>
        </w:numPr>
      </w:pPr>
      <w:r>
        <w:rPr>
          <w:rFonts w:ascii="Liberation Sans" w:hAnsi="Liberation Sans" w:eastAsia="Liberation Sans" w:cs="Liberation Sans"/>
        </w:rPr>
        <w:t xml:space="preserve">Provide human-readable and machine-readable error identifiers for support.</w:t>
      </w:r>
    </w:p>
    <w:bookmarkEnd w:id="80"/>
    <w:bookmarkStart w:id="81" w:name="accessibility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9.4 Accessibility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Full screen-reader labeling and logical focus order.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Dynamic type without clipping at 200% text scaling where platform guidance applies.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Captions or interpretation support for video where operationally available.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Keyboard access for all web workflows.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Visible focus indicators.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Reduced-motion setting.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Error summaries and field-level instructions.</w:t>
      </w:r>
    </w:p>
    <w:p>
      <w:pPr>
        <w:pStyle w:val="Compact"/>
        <w:numPr>
          <w:ilvl w:val="0"/>
          <w:numId w:val="1031"/>
        </w:numPr>
      </w:pPr>
      <w:r>
        <w:rPr>
          <w:rFonts w:ascii="Liberation Sans" w:hAnsi="Liberation Sans" w:eastAsia="Liberation Sans" w:cs="Liberation Sans"/>
        </w:rPr>
        <w:t xml:space="preserve">No essential meaning conveyed only through color, animation, or sound.</w:t>
      </w:r>
    </w:p>
    <w:bookmarkEnd w:id="81"/>
    <w:bookmarkEnd w:id="82"/>
    <w:bookmarkStart w:id="85" w:name="privacy-security-and-clinical-guardrail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10. Privacy, security, and clinical guardrails</w:t>
      </w:r>
    </w:p>
    <w:bookmarkStart w:id="83" w:name="required-privacy-control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10.1 Required privacy controls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minimum-necessary data access;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role- and context-based authorization;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consent and notice versioning;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audit logs for view, create, update, download, and administrative actions;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configurable retention and legal hold;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encryption in transit and at rest;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secure deletion of local mobile caches;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no PHI in analytics, crash reports, URLs, logs, or notification previews;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vendor inventory and BAA tracking;</w:t>
      </w:r>
    </w:p>
    <w:p>
      <w:pPr>
        <w:pStyle w:val="Compact"/>
        <w:numPr>
          <w:ilvl w:val="0"/>
          <w:numId w:val="1032"/>
        </w:numPr>
      </w:pPr>
      <w:r>
        <w:rPr>
          <w:rFonts w:ascii="Liberation Sans" w:hAnsi="Liberation Sans" w:eastAsia="Liberation Sans" w:cs="Liberation Sans"/>
        </w:rPr>
        <w:t xml:space="preserve">breach-response and incident-response procedures.</w:t>
      </w:r>
    </w:p>
    <w:bookmarkEnd w:id="83"/>
    <w:bookmarkStart w:id="84" w:name="clinical-safety-control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10.2 Clinical safety controls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emergency warning and configured crisis resources;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patient location confirmation before each visit;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clinician licensure/service-area validation;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explicit distinction between submitted patient information and verified clinical information;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allergy and contraindication data displayed only when supplied by an authoritative source;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no automated diagnosis or medication change;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no clinical alert suppression without authorized workflow;</w:t>
      </w:r>
    </w:p>
    <w:p>
      <w:pPr>
        <w:pStyle w:val="Compact"/>
        <w:numPr>
          <w:ilvl w:val="0"/>
          <w:numId w:val="1033"/>
        </w:numPr>
      </w:pPr>
      <w:r>
        <w:rPr>
          <w:rFonts w:ascii="Liberation Sans" w:hAnsi="Liberation Sans" w:eastAsia="Liberation Sans" w:cs="Liberation Sans"/>
        </w:rPr>
        <w:t xml:space="preserve">clear escalation when the clinician does not join or the call fails.</w:t>
      </w:r>
    </w:p>
    <w:bookmarkEnd w:id="84"/>
    <w:bookmarkEnd w:id="85"/>
    <w:bookmarkStart w:id="88" w:name="analytics-and-observability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11. Analytics and observability</w:t>
      </w:r>
    </w:p>
    <w:bookmarkStart w:id="86" w:name="product-event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11.1 Product events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Events must use pseudonymous identifiers and exclude PHI.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onboarding_started/completed;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consent_accepted;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clinician_search_performed;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filter_applied;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clinician_profile_viewed;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slot_selected;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appointment_booked/rescheduled/cancelled;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waiting_room_entered;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device_check_result;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call_joined/reconnected/ended;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message_thread_opened/message_sent;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record_viewed/downloaded;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prescription_viewed/fulfillment_requested;</w:t>
      </w:r>
    </w:p>
    <w:p>
      <w:pPr>
        <w:pStyle w:val="Compact"/>
        <w:numPr>
          <w:ilvl w:val="0"/>
          <w:numId w:val="1034"/>
        </w:numPr>
      </w:pPr>
      <w:r>
        <w:rPr>
          <w:rFonts w:ascii="Liberation Sans" w:hAnsi="Liberation Sans" w:eastAsia="Liberation Sans" w:cs="Liberation Sans"/>
        </w:rPr>
        <w:t xml:space="preserve">support_contacted.</w:t>
      </w:r>
    </w:p>
    <w:bookmarkEnd w:id="86"/>
    <w:bookmarkStart w:id="87" w:name="operational-dashboard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11.2 Operational dashboards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API latency and error rate;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video join and reconnect rate;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notification delivery;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integration failures;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queue depth and background job failures;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authentication anomalies;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audit pipeline health;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mobile crash-free sessions;</w:t>
      </w:r>
    </w:p>
    <w:p>
      <w:pPr>
        <w:pStyle w:val="Compact"/>
        <w:numPr>
          <w:ilvl w:val="0"/>
          <w:numId w:val="1035"/>
        </w:numPr>
      </w:pPr>
      <w:r>
        <w:rPr>
          <w:rFonts w:ascii="Liberation Sans" w:hAnsi="Liberation Sans" w:eastAsia="Liberation Sans" w:cs="Liberation Sans"/>
        </w:rPr>
        <w:t xml:space="preserve">backup and restore status.</w:t>
      </w:r>
    </w:p>
    <w:bookmarkEnd w:id="87"/>
    <w:bookmarkEnd w:id="88"/>
    <w:bookmarkStart w:id="94" w:name="rollout-plan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12. Rollout plan</w:t>
      </w:r>
    </w:p>
    <w:bookmarkStart w:id="89" w:name="phase-0-design-and-compliance-readines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Phase 0: design and compliance readiness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fix listed design inconsistencies;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confirm target jurisdiction and clinical operating model;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complete data-flow diagram and threat model;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select BAA-capable vendors;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define consent and retention policy;</w:t>
      </w:r>
    </w:p>
    <w:p>
      <w:pPr>
        <w:pStyle w:val="Compact"/>
        <w:numPr>
          <w:ilvl w:val="0"/>
          <w:numId w:val="1036"/>
        </w:numPr>
      </w:pPr>
      <w:r>
        <w:rPr>
          <w:rFonts w:ascii="Liberation Sans" w:hAnsi="Liberation Sans" w:eastAsia="Liberation Sans" w:cs="Liberation Sans"/>
        </w:rPr>
        <w:t xml:space="preserve">establish synthetic-data environments.</w:t>
      </w:r>
    </w:p>
    <w:bookmarkEnd w:id="89"/>
    <w:bookmarkStart w:id="90" w:name="phase-1-foundation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Phase 1: foundation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monorepo, CI/CD, identity, database, audit, observability;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patient profile and clinician directory;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provider availability and appointment service;</w:t>
      </w:r>
    </w:p>
    <w:p>
      <w:pPr>
        <w:pStyle w:val="Compact"/>
        <w:numPr>
          <w:ilvl w:val="0"/>
          <w:numId w:val="1037"/>
        </w:numPr>
      </w:pPr>
      <w:r>
        <w:rPr>
          <w:rFonts w:ascii="Liberation Sans" w:hAnsi="Liberation Sans" w:eastAsia="Liberation Sans" w:cs="Liberation Sans"/>
        </w:rPr>
        <w:t xml:space="preserve">basic clinician portal.</w:t>
      </w:r>
    </w:p>
    <w:bookmarkEnd w:id="90"/>
    <w:bookmarkStart w:id="91" w:name="phase-2-vertical-slice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Phase 2: vertical slice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discovery → profile → booking → reminder → waiting room → mock video → visit completion;</w:t>
      </w:r>
    </w:p>
    <w:p>
      <w:pPr>
        <w:pStyle w:val="Compact"/>
        <w:numPr>
          <w:ilvl w:val="0"/>
          <w:numId w:val="1038"/>
        </w:numPr>
      </w:pPr>
      <w:r>
        <w:rPr>
          <w:rFonts w:ascii="Liberation Sans" w:hAnsi="Liberation Sans" w:eastAsia="Liberation Sans" w:cs="Liberation Sans"/>
        </w:rPr>
        <w:t xml:space="preserve">full automated tests for the slice.</w:t>
      </w:r>
    </w:p>
    <w:bookmarkEnd w:id="91"/>
    <w:bookmarkStart w:id="92" w:name="phase-3-follow-up-features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Phase 3: follow-up features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messaging, records, prescriptions, profile/insurance;</w:t>
      </w:r>
    </w:p>
    <w:p>
      <w:pPr>
        <w:pStyle w:val="Compact"/>
        <w:numPr>
          <w:ilvl w:val="0"/>
          <w:numId w:val="1039"/>
        </w:numPr>
      </w:pPr>
      <w:r>
        <w:rPr>
          <w:rFonts w:ascii="Liberation Sans" w:hAnsi="Liberation Sans" w:eastAsia="Liberation Sans" w:cs="Liberation Sans"/>
        </w:rPr>
        <w:t xml:space="preserve">EHR/FHIR adapter and document storage.</w:t>
      </w:r>
    </w:p>
    <w:bookmarkEnd w:id="92"/>
    <w:bookmarkStart w:id="93" w:name="phase-4-hardening-and-pilot"/>
    <w:p>
      <w:pPr>
        <w:pStyle w:val="Heading2"/>
      </w:pPr>
      <w:r>
        <w:rPr>
          <w:rFonts w:ascii="Liberation Sans" w:hAnsi="Liberation Sans" w:eastAsia="Liberation Sans" w:cs="Liberation Sans"/>
        </w:rPr>
        <w:t xml:space="preserve">Phase 4: hardening and pilot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penetration test;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accessibility audit;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disaster-recovery exercise;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load test;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clinical and legal review;</w:t>
      </w:r>
    </w:p>
    <w:p>
      <w:pPr>
        <w:pStyle w:val="Compact"/>
        <w:numPr>
          <w:ilvl w:val="0"/>
          <w:numId w:val="1040"/>
        </w:numPr>
      </w:pPr>
      <w:r>
        <w:rPr>
          <w:rFonts w:ascii="Liberation Sans" w:hAnsi="Liberation Sans" w:eastAsia="Liberation Sans" w:cs="Liberation Sans"/>
        </w:rPr>
        <w:t xml:space="preserve">limited pilot with support coverage.</w:t>
      </w:r>
    </w:p>
    <w:bookmarkEnd w:id="93"/>
    <w:bookmarkEnd w:id="94"/>
    <w:bookmarkStart w:id="95" w:name="key-risks-and-mitigation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13. Key risks and mitigations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Risk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0B5FC6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6"/>
              </w:rPr>
              <w:t xml:space="preserve">Mitigation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Unverified HIPAA claim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Use cautious language; complete formal risk analysis and independent review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Double booking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Database constraints, slot holds, idempotency keys, transaction isolation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PHI leakage in logs/notifications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Central redaction, allowlist analytics schema, automated tests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Weak network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Pre-call test, adaptive quality, reconnect, audio fallback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Vendor lock-in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Adapter interfaces for video, identity, notifications, EHR, and pharmacy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Clinician licensure mismatch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Confirm patient location and enforce service-area rules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Patient identity mismatch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Verified identifiers, duplicate detection, controlled merge process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Unsafe emergency use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Persistent emergency notice and high-risk routing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Accessibility defects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WCAG acceptance criteria and automated/manual testing in each sprint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Agent-generated insecure code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pStyle w:val="Compact"/>
              <w:spacing w:after="3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 w:val="0"/>
                <w:color w:val="1F2937"/>
                <w:sz w:val="16"/>
              </w:rPr>
              <w:t xml:space="preserve">Human review, threat modeling, static analysis, dependency scanning, and security tests</w:t>
            </w:r>
          </w:p>
        </w:tc>
      </w:tr>
    </w:tbl>
    <w:bookmarkEnd w:id="95"/>
    <w:bookmarkStart w:id="96" w:name="mvp-release-acceptance-gate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14. MVP release acceptance gates</w:t>
      </w:r>
    </w:p>
    <w:p>
      <w:pPr>
        <w:pStyle w:val="FirstParagraph"/>
      </w:pPr>
      <w:r>
        <w:rPr>
          <w:rFonts w:ascii="Liberation Sans" w:hAnsi="Liberation Sans" w:eastAsia="Liberation Sans" w:cs="Liberation Sans"/>
        </w:rPr>
        <w:t xml:space="preserve">The MVP may not be released until all items below pass: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all P0 acceptance criteria completed;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no open critical or high security findings;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no known cross-tenant or cross-patient access defect;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successful backup restore and disaster-recovery exercise;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accessibility audit with no critical blockers;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representative device and browser test matrix passed;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99.9% availability target demonstrated in staging load/soak tests;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third-party BAAs and vendor security review completed where required;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privacy notice, telehealth consent, emergency content, retention, and support procedures approved;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audit logs verified for all sensitive operations;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synthetic data removed from production configuration;</w:t>
      </w:r>
    </w:p>
    <w:p>
      <w:pPr>
        <w:pStyle w:val="Compact"/>
        <w:numPr>
          <w:ilvl w:val="0"/>
          <w:numId w:val="1041"/>
        </w:numPr>
      </w:pPr>
      <w:r>
        <w:rPr>
          <w:rFonts w:ascii="Liberation Sans" w:hAnsi="Liberation Sans" w:eastAsia="Liberation Sans" w:cs="Liberation Sans"/>
        </w:rPr>
        <w:t xml:space="preserve">incident response and on-call ownership documented.</w:t>
      </w:r>
    </w:p>
    <w:bookmarkEnd w:id="96"/>
    <w:bookmarkStart w:id="105" w:name="references"/>
    <w:p>
      <w:pPr>
        <w:pStyle w:val="Heading1"/>
      </w:pPr>
      <w:r>
        <w:rPr>
          <w:rFonts w:ascii="Liberation Sans" w:hAnsi="Liberation Sans" w:eastAsia="Liberation Sans" w:cs="Liberation Sans"/>
        </w:rPr>
        <w:t xml:space="preserve">15. References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U.S. HHS,</w:t>
      </w:r>
      <w:r>
        <w:rPr>
          <w:rFonts w:ascii="Liberation Sans" w:hAnsi="Liberation Sans" w:eastAsia="Liberation Sans" w:cs="Liberation Sans"/>
        </w:rPr>
        <w:t xml:space="preserve"> </w:t>
      </w:r>
      <w:hyperlink r:id="rId97">
        <w:r>
          <w:rPr>
            <w:rStyle w:val="Hyperlink"/>
          </w:rPr>
          <w:t xml:space="preserve">Summary of the HIPAA Security Rule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U.S. HHS Telehealth,</w:t>
      </w:r>
      <w:r>
        <w:rPr>
          <w:rFonts w:ascii="Liberation Sans" w:hAnsi="Liberation Sans" w:eastAsia="Liberation Sans" w:cs="Liberation Sans"/>
        </w:rPr>
        <w:t xml:space="preserve"> </w:t>
      </w:r>
      <w:hyperlink r:id="rId98">
        <w:r>
          <w:rPr>
            <w:rStyle w:val="Hyperlink"/>
          </w:rPr>
          <w:t xml:space="preserve">HIPAA Rules for telehealth technology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U.S. HHS,</w:t>
      </w:r>
      <w:r>
        <w:rPr>
          <w:rFonts w:ascii="Liberation Sans" w:hAnsi="Liberation Sans" w:eastAsia="Liberation Sans" w:cs="Liberation Sans"/>
        </w:rPr>
        <w:t xml:space="preserve"> </w:t>
      </w:r>
      <w:hyperlink r:id="rId99">
        <w:r>
          <w:rPr>
            <w:rStyle w:val="Hyperlink"/>
          </w:rPr>
          <w:t xml:space="preserve">Guidance on Risk Analysis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HL7,</w:t>
      </w:r>
      <w:r>
        <w:rPr>
          <w:rFonts w:ascii="Liberation Sans" w:hAnsi="Liberation Sans" w:eastAsia="Liberation Sans" w:cs="Liberation Sans"/>
        </w:rPr>
        <w:t xml:space="preserve"> </w:t>
      </w:r>
      <w:hyperlink r:id="rId100">
        <w:r>
          <w:rPr>
            <w:rStyle w:val="Hyperlink"/>
          </w:rPr>
          <w:t xml:space="preserve">FHIR Appointment resource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ONC,</w:t>
      </w:r>
      <w:r>
        <w:rPr>
          <w:rFonts w:ascii="Liberation Sans" w:hAnsi="Liberation Sans" w:eastAsia="Liberation Sans" w:cs="Liberation Sans"/>
        </w:rPr>
        <w:t xml:space="preserve"> </w:t>
      </w:r>
      <w:hyperlink r:id="rId101">
        <w:r>
          <w:rPr>
            <w:rStyle w:val="Hyperlink"/>
          </w:rPr>
          <w:t xml:space="preserve">Fast Healthcare Interoperability Resources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W3C,</w:t>
      </w:r>
      <w:r>
        <w:rPr>
          <w:rFonts w:ascii="Liberation Sans" w:hAnsi="Liberation Sans" w:eastAsia="Liberation Sans" w:cs="Liberation Sans"/>
        </w:rPr>
        <w:t xml:space="preserve"> </w:t>
      </w:r>
      <w:hyperlink r:id="rId102">
        <w:r>
          <w:rPr>
            <w:rStyle w:val="Hyperlink"/>
          </w:rPr>
          <w:t xml:space="preserve">Web Content Accessibility Guidelines 2.2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OWASP,</w:t>
      </w:r>
      <w:r>
        <w:rPr>
          <w:rFonts w:ascii="Liberation Sans" w:hAnsi="Liberation Sans" w:eastAsia="Liberation Sans" w:cs="Liberation Sans"/>
        </w:rPr>
        <w:t xml:space="preserve"> </w:t>
      </w:r>
      <w:hyperlink r:id="rId103">
        <w:r>
          <w:rPr>
            <w:rStyle w:val="Hyperlink"/>
          </w:rPr>
          <w:t xml:space="preserve">Application Security Verification Standard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Fonts w:ascii="Liberation Sans" w:hAnsi="Liberation Sans" w:eastAsia="Liberation Sans" w:cs="Liberation Sans"/>
        </w:rPr>
        <w:t xml:space="preserve">OWASP,</w:t>
      </w:r>
      <w:r>
        <w:rPr>
          <w:rFonts w:ascii="Liberation Sans" w:hAnsi="Liberation Sans" w:eastAsia="Liberation Sans" w:cs="Liberation Sans"/>
        </w:rPr>
        <w:t xml:space="preserve"> </w:t>
      </w:r>
      <w:hyperlink r:id="rId104">
        <w:r>
          <w:rPr>
            <w:rStyle w:val="Hyperlink"/>
          </w:rPr>
          <w:t xml:space="preserve">Mobile Application Security Verification Standard</w:t>
        </w:r>
      </w:hyperlink>
      <w:r>
        <w:rPr>
          <w:rFonts w:ascii="Liberation Sans" w:hAnsi="Liberation Sans" w:eastAsia="Liberation Sans" w:cs="Liberation Sans"/>
        </w:rPr>
        <w:t xml:space="preserve">.</w:t>
      </w:r>
    </w:p>
    <w:bookmarkEnd w:id="105"/>
    <w:sectPr>
      <w:headerReference w:type="default" r:id="rId9"/>
      <w:footerReference w:type="default" r:id="rId10"/>
      <w:footerReference w:type="first" r:id="rId11"/>
      <w:pgMar w:top="936" w:bottom="936" w:left="1008" w:right="1008" w:header="360" w:footer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b w:val="0"/>
        <w:color w:val="667085"/>
        <w:sz w:val="16"/>
      </w:rPr>
    </w:r>
    <w:r>
      <w:rPr>
        <w:rFonts w:ascii="Liberation Sans" w:hAnsi="Liberation Sans" w:eastAsia="Liberation Sans" w:cs="Liberation Sans"/>
        <w:b w:val="0"/>
        <w:color w:val="667085"/>
        <w:sz w:val="16"/>
      </w:rPr>
      <w:t xml:space="preserve">Version 1.0   •   </w:t>
    </w:r>
    <w:r>
      <w:rPr>
        <w:rFonts w:ascii="Liberation Sans" w:hAnsi="Liberation Sans" w:eastAsia="Liberation Sans" w:cs="Liberation Sans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667085"/>
        <w:sz w:val="17"/>
      </w:rPr>
      <w:t>Build-ready baseline • 5 August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D7DEE7"/>
      </w:pBdr>
    </w:pPr>
    <w:r/>
    <w:r>
      <w:rPr>
        <w:rFonts w:ascii="Liberation Sans" w:hAnsi="Liberation Sans" w:eastAsia="Liberation Sans" w:cs="Liberation Sans"/>
        <w:b/>
        <w:color w:val="0B5FC6"/>
        <w:sz w:val="17"/>
      </w:rPr>
      <w:t>CareConnect Telehealth</w:t>
    </w:r>
    <w:r>
      <w:rPr>
        <w:rFonts w:ascii="Liberation Sans" w:hAnsi="Liberation Sans" w:eastAsia="Liberation Sans" w:cs="Liberation Sans"/>
        <w:b w:val="0"/>
        <w:color w:val="667085"/>
        <w:sz w:val="17"/>
      </w:rPr>
      <w:t xml:space="preserve">   |   Product Requirements Document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Liberation Sans" w:hAnsi="Liberation Sans" w:eastAsia="Liberation Sans" w:cs="Liberation Sans"/>
      <w:b w:val="0"/>
      <w:color w:val="1F2937"/>
      <w:sz w:val="19"/>
    </w:rPr>
  </w:style>
  <w:style w:customStyle="1" w:styleId="Compact" w:type="paragraph">
    <w:name w:val="Compact"/>
    <w:basedOn w:val="BodyText"/>
    <w:qFormat/>
    <w:pPr>
      <w:spacing w:after="20" w:before="36"/>
      <w:ind w:left="259"/>
    </w:pPr>
    <w:rPr>
      <w:rFonts w:ascii="Liberation Sans" w:hAnsi="Liberation Sans" w:eastAsia="Liberation Sans" w:cs="Liberation Sans"/>
      <w:b w:val="0"/>
      <w:color w:val="1F2937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2400"/>
      <w:jc w:val="center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40" w:before="240"/>
      <w:jc w:val="center"/>
    </w:pPr>
    <w:rPr>
      <w:rFonts w:ascii="Liberation Sans" w:hAnsi="Liberation Sans" w:eastAsia="Liberation Sans" w:cs="Liberation Sans"/>
      <w:b w:val="0"/>
      <w:color w:val="1F2937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/>
      <w:jc w:val="center"/>
    </w:pPr>
    <w:rPr>
      <w:rFonts w:ascii="Liberation Sans" w:hAnsi="Liberation Sans" w:eastAsia="Liberation Sans" w:cs="Liberation Sans"/>
      <w:b w:val="0"/>
      <w:color w:val="596579"/>
      <w:sz w:val="21"/>
    </w:rPr>
  </w:style>
  <w:style w:styleId="Date" w:type="paragraph">
    <w:name w:val="Date"/>
    <w:next w:val="BodyText"/>
    <w:qFormat/>
    <w:pPr>
      <w:keepNext/>
      <w:keepLines/>
      <w:spacing w:after="80"/>
      <w:jc w:val="center"/>
    </w:pPr>
    <w:rPr>
      <w:rFonts w:ascii="Liberation Sans" w:hAnsi="Liberation Sans" w:eastAsia="Liberation Sans" w:cs="Liberation Sans"/>
      <w:b w:val="0"/>
      <w:color w:val="596579"/>
      <w:sz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40"/>
      <w:outlineLvl w:val="0"/>
      <w:pBdr>
        <w:bottom w:val="single" w:sz="8" w:space="4" w:color="56DACC"/>
      </w:pBdr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180"/>
      <w:outlineLvl w:val="1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1F2937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180"/>
      <w:outlineLvl w:val="2"/>
    </w:pPr>
    <w:rPr>
      <w:rFonts w:asciiTheme="majorHAnsi" w:cstheme="majorBidi" w:eastAsiaTheme="majorEastAsia" w:hAnsiTheme="majorHAnsi" w:ascii="Liberation Sans" w:hAnsi="Liberation Sans" w:eastAsia="Liberation Sans" w:cs="Liberation Sans"/>
      <w:b/>
      <w:bCs/>
      <w:color w:val="0B5FC6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/>
      <w:ind w:firstLine="0" w:left="259" w:right="72"/>
    </w:pPr>
    <w:rPr>
      <w:rFonts w:ascii="Liberation Sans" w:hAnsi="Liberation Sans" w:eastAsia="Liberation Sans" w:cs="Liberation Sans"/>
      <w:b w:val="0"/>
      <w:color w:val="1F2937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160"/>
      <w:jc w:val="center"/>
    </w:pPr>
    <w:rPr>
      <w:rFonts w:ascii="Liberation Sans" w:hAnsi="Liberation Sans" w:eastAsia="Liberation Sans" w:cs="Liberation Sans"/>
      <w:b w:val="0"/>
      <w:color w:val="667085"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/>
      <w:ind w:left="173" w:right="173"/>
    </w:pPr>
    <w:rPr>
      <w:rFonts w:ascii="DejaVu Sans Mono" w:hAnsi="DejaVu Sans Mono" w:eastAsia="DejaVu Sans Mono" w:cs="DejaVu Sans Mono"/>
      <w:b w:val="0"/>
      <w:color w:val="1F2937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jpg"/><Relationship Id="rId26" Type="http://schemas.openxmlformats.org/officeDocument/2006/relationships/image" Target="media/rId26.jpg"/><Relationship Id="rId100" Type="http://schemas.openxmlformats.org/officeDocument/2006/relationships/hyperlink" Target="https://fhir.hl7.org/fhir/Appointment/" TargetMode="External"/><Relationship Id="rId101" Type="http://schemas.openxmlformats.org/officeDocument/2006/relationships/hyperlink" Target="https://healthit.gov/interoperability/investments/fhir/" TargetMode="External"/><Relationship Id="rId104" Type="http://schemas.openxmlformats.org/officeDocument/2006/relationships/hyperlink" Target="https://mas.owasp.org/MASVS/" TargetMode="External"/><Relationship Id="rId103" Type="http://schemas.openxmlformats.org/officeDocument/2006/relationships/hyperlink" Target="https://owasp.org/www-project-application-security-verification-standard/" TargetMode="External"/><Relationship Id="rId98" Type="http://schemas.openxmlformats.org/officeDocument/2006/relationships/hyperlink" Target="https://telehealth.hhs.gov/providers/telehealth-policy/hipaa-for-telehealth-technology" TargetMode="External"/><Relationship Id="rId99" Type="http://schemas.openxmlformats.org/officeDocument/2006/relationships/hyperlink" Target="https://www.hhs.gov/hipaa/for-professionals/security/guidance/guidance-risk-analysis/index.html" TargetMode="External"/><Relationship Id="rId97" Type="http://schemas.openxmlformats.org/officeDocument/2006/relationships/hyperlink" Target="https://www.hhs.gov/hipaa/for-professionals/security/laws-regulations/index.html" TargetMode="External"/><Relationship Id="rId102" Type="http://schemas.openxmlformats.org/officeDocument/2006/relationships/hyperlink" Target="https://www.w3.org/TR/WCAG22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fhir.hl7.org/fhir/Appointment/" TargetMode="External"/><Relationship Id="rId101" Type="http://schemas.openxmlformats.org/officeDocument/2006/relationships/hyperlink" Target="https://healthit.gov/interoperability/investments/fhir/" TargetMode="External"/><Relationship Id="rId104" Type="http://schemas.openxmlformats.org/officeDocument/2006/relationships/hyperlink" Target="https://mas.owasp.org/MASVS/" TargetMode="External"/><Relationship Id="rId103" Type="http://schemas.openxmlformats.org/officeDocument/2006/relationships/hyperlink" Target="https://owasp.org/www-project-application-security-verification-standard/" TargetMode="External"/><Relationship Id="rId98" Type="http://schemas.openxmlformats.org/officeDocument/2006/relationships/hyperlink" Target="https://telehealth.hhs.gov/providers/telehealth-policy/hipaa-for-telehealth-technology" TargetMode="External"/><Relationship Id="rId99" Type="http://schemas.openxmlformats.org/officeDocument/2006/relationships/hyperlink" Target="https://www.hhs.gov/hipaa/for-professionals/security/guidance/guidance-risk-analysis/index.html" TargetMode="External"/><Relationship Id="rId97" Type="http://schemas.openxmlformats.org/officeDocument/2006/relationships/hyperlink" Target="https://www.hhs.gov/hipaa/for-professionals/security/laws-regulations/index.html" TargetMode="External"/><Relationship Id="rId102" Type="http://schemas.openxmlformats.org/officeDocument/2006/relationships/hyperlink" Target="https://www.w3.org/TR/WCAG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CareConnect Telehealth - Product Requirements Document</dc:title>
  <dc:creator>Getachew Ekubay</dc:creator>
  <cp:keywords>telehealth, PRD, SRS, FHIR, HIPAA, React Native, FastAPI</cp:keywords>
  <dcterms:created xsi:type="dcterms:W3CDTF">2026-08-05T15:03:51Z</dcterms:created>
  <dcterms:modified xsi:type="dcterms:W3CDTF">2026-08-05T15:03:51Z</dcterms:modified>
  <dc:subject>Production-ready telehealth product and software requirements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August 2026</vt:lpwstr>
  </property>
  <property fmtid="{D5CDD505-2E9C-101B-9397-08002B2CF9AE}" pid="3" name="subtitle">
    <vt:lpwstr>Product Requirements Document (PRD)</vt:lpwstr>
  </property>
  <property fmtid="{D5CDD505-2E9C-101B-9397-08002B2CF9AE}" pid="4" name="version">
    <vt:lpwstr>1.0</vt:lpwstr>
  </property>
</Properties>
</file>