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rFonts w:ascii="Cambria" w:cs="Cambria" w:eastAsia="Cambria" w:hAnsi="Cambria"/>
          <w:b/>
          <w:bCs/>
          <w:sz w:val="32"/>
          <w:szCs w:val="32"/>
        </w:rPr>
        <w:t xml:space="preserve">A Multi-Vector Digital Twin Framework for Decarbonising Business Parks: Full-Year Optimisation of Solar PV, Battery, Phase-Change Thermal and Hydrogen Storage at Eden Campus, Scotland</w:t>
      </w:r>
    </w:p>
    <w:p>
      <w:pPr>
        <w:spacing w:after="120"/>
        <w:jc w:val="center"/>
      </w:pPr>
      <w:r>
        <w:rPr>
          <w:rFonts w:ascii="Cambria" w:cs="Cambria" w:eastAsia="Cambria" w:hAnsi="Cambria"/>
          <w:sz w:val="24"/>
          <w:szCs w:val="24"/>
        </w:rPr>
        <w:t xml:space="preserve">Gift Udoh*, [Co-author 1], [Co-author 2]</w:t>
      </w:r>
    </w:p>
    <w:p>
      <w:pPr>
        <w:spacing w:after="120"/>
        <w:jc w:val="center"/>
      </w:pPr>
      <w:r>
        <w:rPr>
          <w:rFonts w:ascii="Cambria" w:cs="Cambria" w:eastAsia="Cambria" w:hAnsi="Cambria"/>
          <w:i/>
          <w:iCs/>
          <w:sz w:val="22"/>
          <w:szCs w:val="22"/>
        </w:rPr>
        <w:t xml:space="preserve">Research Centre for Carbon Solutions, Heriot-Watt University, Edinburgh EH14 4AS, Scotland, United Kingdom</w:t>
      </w:r>
    </w:p>
    <w:p>
      <w:pPr>
        <w:spacing w:after="360"/>
        <w:jc w:val="center"/>
      </w:pPr>
      <w:r>
        <w:rPr>
          <w:rFonts w:ascii="Cambria" w:cs="Cambria" w:eastAsia="Cambria" w:hAnsi="Cambria"/>
          <w:sz w:val="20"/>
          <w:szCs w:val="20"/>
        </w:rPr>
        <w:t xml:space="preserve">*Corresponding author: [email]</w:t>
      </w:r>
    </w:p>
    <w:p>
      <w:pPr>
        <w:pStyle w:val="Heading2"/>
        <w:spacing w:after="180" w:before="240"/>
      </w:pPr>
      <w:r>
        <w:rPr>
          <w:rFonts w:ascii="Cambria" w:cs="Cambria" w:eastAsia="Cambria" w:hAnsi="Cambria"/>
          <w:b/>
          <w:bCs/>
          <w:sz w:val="26"/>
          <w:szCs w:val="26"/>
        </w:rPr>
        <w:t xml:space="preserve">Abstract</w:t>
      </w:r>
    </w:p>
    <w:p>
      <w:pPr>
        <w:spacing w:after="120" w:line="320"/>
        <w:jc w:val="both"/>
      </w:pPr>
      <w:r>
        <w:rPr>
          <w:rFonts w:ascii="Cambria" w:cs="Cambria" w:eastAsia="Cambria" w:hAnsi="Cambria"/>
          <w:sz w:val="22"/>
          <w:szCs w:val="22"/>
        </w:rPr>
        <w:t xml:space="preserve">Business parks represent a significant yet under-studied opportunity for commercial decarbonisation, particularly in cool-temperate climates where renewable generation and demand profiles are temporally misaligned. This paper presents a multi-vector digital twin framework for evaluating distributed energy storage configurations in business parks, using Eden Campus in Fife, Scotland as a case study. A four-layer architecture integrates real-time data acquisition, physics-based component modelling, multi-objective optimisation through PyPSA, and stakeholder visualisation, enabling rigorous comparison across storage technologies. Five system configurations are evaluated over 8,760 hours of optimised dispatch: solar PV only (S0), PV with lithium-ion battery (S1), PV with phase-change thermal storage (S2), PV with hydrogen long-duration storage (S3), and a full hybrid system combining all three storage types (S4). Results show that S1 (PV+BESS) is the operationally optimal configuration, achieving 38.8% annual solar fraction, 217.2 tonnes of CO₂ savings per year, and £42,400 in annual operational cost savings against the PV-only baseline — equivalent to £847,000 over a 20-year asset lifetime. Sensitivity analysis across four weather years (2020–2023), grid prices spanning £180–380/MWh, and BESS capacities from 200 to 4,000 kWh confirms result robustness. A novel finding is that scenarios involving heat pump electrification (S2 and S4) increase electrical peak demand by 32%, revealing a previously under-reported trade-off between thermal decarbonisation and electrical grid impact. The framework provides a reproducible decision-support tool for net-zero planning in commercial real estate.</w:t>
      </w:r>
    </w:p>
    <w:p>
      <w:pPr>
        <w:spacing w:after="120" w:line="320"/>
        <w:jc w:val="both"/>
      </w:pPr>
      <w:r>
        <w:rPr>
          <w:rFonts w:ascii="Cambria" w:cs="Cambria" w:eastAsia="Cambria" w:hAnsi="Cambria"/>
          <w:b/>
          <w:bCs/>
          <w:sz w:val="22"/>
          <w:szCs w:val="22"/>
        </w:rPr>
        <w:t xml:space="preserve">Keywords: </w:t>
      </w:r>
      <w:r>
        <w:rPr>
          <w:rFonts w:ascii="Cambria" w:cs="Cambria" w:eastAsia="Cambria" w:hAnsi="Cambria"/>
          <w:sz w:val="22"/>
          <w:szCs w:val="22"/>
        </w:rPr>
        <w:t xml:space="preserve">Digital twin; Multi-vector energy systems; Battery energy storage; Hydrogen long-duration storage; Phase-change thermal storage; PyPSA optimisation</w:t>
      </w:r>
    </w:p>
    <w:p>
      <w:pPr>
        <w:pStyle w:val="Heading3"/>
        <w:spacing w:after="120" w:before="180"/>
      </w:pPr>
      <w:r>
        <w:rPr>
          <w:rFonts w:ascii="Cambria" w:cs="Cambria" w:eastAsia="Cambria" w:hAnsi="Cambria"/>
          <w:b/>
          <w:bCs/>
          <w:i/>
          <w:iCs/>
          <w:sz w:val="24"/>
          <w:szCs w:val="24"/>
        </w:rPr>
        <w:t xml:space="preserve">Highlights</w:t>
      </w:r>
    </w:p>
    <w:p>
      <w:pPr>
        <w:pStyle w:val="ListParagraph"/>
        <w:numPr>
          <w:ilvl w:val="0"/>
          <w:numId w:val="2"/>
        </w:numPr>
      </w:pPr>
      <w:r>
        <w:rPr>
          <w:rFonts w:ascii="Cambria" w:cs="Cambria" w:eastAsia="Cambria" w:hAnsi="Cambria"/>
          <w:sz w:val="22"/>
          <w:szCs w:val="22"/>
        </w:rPr>
        <w:t xml:space="preserve">Multi-vector digital twin framework integrates electrical, thermal and hydrogen vectors</w:t>
      </w:r>
    </w:p>
    <w:p>
      <w:pPr>
        <w:pStyle w:val="ListParagraph"/>
        <w:numPr>
          <w:ilvl w:val="0"/>
          <w:numId w:val="2"/>
        </w:numPr>
      </w:pPr>
      <w:r>
        <w:rPr>
          <w:rFonts w:ascii="Cambria" w:cs="Cambria" w:eastAsia="Cambria" w:hAnsi="Cambria"/>
          <w:sz w:val="22"/>
          <w:szCs w:val="22"/>
        </w:rPr>
        <w:t xml:space="preserve">Full-year (8,760 hr) PyPSA optimisation of five storage configurations at Eden Campus</w:t>
      </w:r>
    </w:p>
    <w:p>
      <w:pPr>
        <w:pStyle w:val="ListParagraph"/>
        <w:numPr>
          <w:ilvl w:val="0"/>
          <w:numId w:val="2"/>
        </w:numPr>
      </w:pPr>
      <w:r>
        <w:rPr>
          <w:rFonts w:ascii="Cambria" w:cs="Cambria" w:eastAsia="Cambria" w:hAnsi="Cambria"/>
          <w:sz w:val="22"/>
          <w:szCs w:val="22"/>
        </w:rPr>
        <w:t xml:space="preserve">PV+BESS (S1) saves 217 tCO₂/yr and £847k over 20 years vs PV-only baseline</w:t>
      </w:r>
    </w:p>
    <w:p>
      <w:pPr>
        <w:pStyle w:val="ListParagraph"/>
        <w:numPr>
          <w:ilvl w:val="0"/>
          <w:numId w:val="2"/>
        </w:numPr>
      </w:pPr>
      <w:r>
        <w:rPr>
          <w:rFonts w:ascii="Cambria" w:cs="Cambria" w:eastAsia="Cambria" w:hAnsi="Cambria"/>
          <w:sz w:val="22"/>
          <w:szCs w:val="22"/>
        </w:rPr>
        <w:t xml:space="preserve">Sensitivity confirms results robust across weather years, grid prices and storage sizes</w:t>
      </w:r>
    </w:p>
    <w:p>
      <w:pPr>
        <w:pStyle w:val="ListParagraph"/>
        <w:numPr>
          <w:ilvl w:val="0"/>
          <w:numId w:val="2"/>
        </w:numPr>
      </w:pPr>
      <w:r>
        <w:rPr>
          <w:rFonts w:ascii="Cambria" w:cs="Cambria" w:eastAsia="Cambria" w:hAnsi="Cambria"/>
          <w:sz w:val="22"/>
          <w:szCs w:val="22"/>
        </w:rPr>
        <w:t xml:space="preserve">Heat pump scenarios reveal under-reported 32% electrical peak increase trade-off</w:t>
      </w:r>
    </w:p>
    <w:p>
      <w:r>
        <w:br w:type="page"/>
      </w:r>
    </w:p>
    <w:p>
      <w:pPr>
        <w:pStyle w:val="Heading1"/>
        <w:spacing w:after="240" w:before="360"/>
      </w:pPr>
      <w:r>
        <w:rPr>
          <w:rFonts w:ascii="Cambria" w:cs="Cambria" w:eastAsia="Cambria" w:hAnsi="Cambria"/>
          <w:b/>
          <w:bCs/>
          <w:sz w:val="32"/>
          <w:szCs w:val="32"/>
        </w:rPr>
        <w:t xml:space="preserve">1. Introduction</w:t>
      </w:r>
    </w:p>
    <w:p>
      <w:pPr>
        <w:pStyle w:val="Heading2"/>
        <w:spacing w:after="180" w:before="240"/>
      </w:pPr>
      <w:r>
        <w:rPr>
          <w:rFonts w:ascii="Cambria" w:cs="Cambria" w:eastAsia="Cambria" w:hAnsi="Cambria"/>
          <w:b/>
          <w:bCs/>
          <w:sz w:val="26"/>
          <w:szCs w:val="26"/>
        </w:rPr>
        <w:t xml:space="preserve">1.1 Context and Motivation</w:t>
      </w:r>
    </w:p>
    <w:p>
      <w:pPr>
        <w:spacing w:after="120" w:line="320"/>
        <w:jc w:val="both"/>
      </w:pPr>
      <w:r>
        <w:rPr>
          <w:rFonts w:ascii="Cambria" w:cs="Cambria" w:eastAsia="Cambria" w:hAnsi="Cambria"/>
          <w:sz w:val="22"/>
          <w:szCs w:val="22"/>
        </w:rPr>
        <w:t xml:space="preserve">Buildings account for approximately 17% of total UK greenhouse gas emissions, with the commercial and public sectors together responsible for around 10% of national emissions [REF]. The sector is identified by the UK Climate Change Committee as one requiring rapid acceleration, with current policy plans covering only one-third of the emissions reductions required to meet the legally binding 2030 target of 68% below 1990 levels [REF]. Scotland has set a more ambitious target of net zero by 2045 [REF], placing additional pressure on Scottish commercial estates to demonstrate viable decarbonisation pathways within shorter timeframes.</w:t>
      </w:r>
    </w:p>
    <w:p>
      <w:pPr>
        <w:spacing w:after="120" w:line="320"/>
        <w:jc w:val="both"/>
      </w:pPr>
      <w:r>
        <w:rPr>
          <w:rFonts w:ascii="Cambria" w:cs="Cambria" w:eastAsia="Cambria" w:hAnsi="Cambria"/>
          <w:sz w:val="22"/>
          <w:szCs w:val="22"/>
        </w:rPr>
        <w:t xml:space="preserve">Within the commercial sector, business and innovation parks represent both a significant emissions source and an under-studied opportunity for coordinated decarbonisation. These sites concentrate energy demand from offices, light industrial tenants, research facilities and electric vehicle charging — yet they typically lack the integrated energy strategy that would enable on-site generation and storage assets to be deployed at scale. The result is a paradoxical operational profile: many parks now host rooftop or ground-mounted solar PV, but with minimal storage these assets export surplus generation at low Smart Export Guarantee tariffs at midday while drawing on high-cost grid imports during evening and winter peaks.</w:t>
      </w:r>
    </w:p>
    <w:p>
      <w:pPr>
        <w:spacing w:after="120" w:line="320"/>
        <w:jc w:val="both"/>
      </w:pPr>
      <w:r>
        <w:rPr>
          <w:rFonts w:ascii="Cambria" w:cs="Cambria" w:eastAsia="Cambria" w:hAnsi="Cambria"/>
          <w:sz w:val="22"/>
          <w:szCs w:val="22"/>
        </w:rPr>
        <w:t xml:space="preserve">Resolving this temporal mismatch is technically straightforward in principle — energy storage closes the gap between when renewable generation is available and when site demand occurs — but technically and economically complex in practice. Three storage technologies are now commercially available at the scale relevant to business parks: lithium-ion battery energy storage systems (BESS), phase-change material thermal energy storage (PCM TES), and hydrogen-based long-duration energy storage (LDES). Each operates on a different timescale, addresses a different demand vector, and carries a different cost-efficiency-performance profile. The question facing site developers, university estates, and commercial property managers is not whether to invest in storage, but which storage technology — or combination — best matches their site-specific load profile, tariff structure, and decarbonisation targets.</w:t>
      </w:r>
    </w:p>
    <w:p>
      <w:pPr>
        <w:pStyle w:val="Heading2"/>
        <w:spacing w:after="180" w:before="240"/>
      </w:pPr>
      <w:r>
        <w:rPr>
          <w:rFonts w:ascii="Cambria" w:cs="Cambria" w:eastAsia="Cambria" w:hAnsi="Cambria"/>
          <w:b/>
          <w:bCs/>
          <w:sz w:val="26"/>
          <w:szCs w:val="26"/>
        </w:rPr>
        <w:t xml:space="preserve">1.2 The Role of Digital Twins</w:t>
      </w:r>
    </w:p>
    <w:p>
      <w:pPr>
        <w:spacing w:after="120" w:line="320"/>
        <w:jc w:val="both"/>
      </w:pPr>
      <w:r>
        <w:rPr>
          <w:rFonts w:ascii="Cambria" w:cs="Cambria" w:eastAsia="Cambria" w:hAnsi="Cambria"/>
          <w:sz w:val="22"/>
          <w:szCs w:val="22"/>
        </w:rPr>
        <w:t xml:space="preserve">Digital twin (DT) methodologies have emerged as a promising decision-support paradigm for energy systems planning. By coupling physics-based component models with measured site data and optimisation algorithms, DTs enable scenario analysis grounded in real-world operating conditions and transferable across sites of similar profile. The DT concept has matured rapidly in adjacent domains — manufacturing, aviation, and grid-scale power systems — and is now being adapted for commercial-scale energy applications.</w:t>
      </w:r>
    </w:p>
    <w:p>
      <w:pPr>
        <w:spacing w:after="120" w:line="320"/>
        <w:jc w:val="both"/>
      </w:pPr>
      <w:r>
        <w:rPr>
          <w:rFonts w:ascii="Cambria" w:cs="Cambria" w:eastAsia="Cambria" w:hAnsi="Cambria"/>
          <w:sz w:val="22"/>
          <w:szCs w:val="22"/>
        </w:rPr>
        <w:t xml:space="preserve">Despite this maturation, three significant gaps in the existing literature limit the practical utility of digital twins for commercial energy planning. First, most published implementations focus on single-vector electrical systems, omitting the thermal and hydrogen vectors that are increasingly important for commercial sites pursuing comprehensive decarbonisation [REF]. Second, comparative evaluation of multiple storage technologies within a unified analytical framework is rare; published case studies typically focus on one technology in isolation, making cross-technology comparison difficult and constraining the evidence base for technology selection [REF]. Third, computational simplifications such as representative-period sampling are widespread but insufficiently scrutinised, despite their potential to introduce systematic bias at high-latitude sites where seasonal effects dominate [REF]. Together, these gaps mean that decision-makers at commercial sites face limited evidence on which to base storage technology selection.</w:t>
      </w:r>
    </w:p>
    <w:p>
      <w:pPr>
        <w:pStyle w:val="Heading2"/>
        <w:spacing w:after="180" w:before="240"/>
      </w:pPr>
      <w:r>
        <w:rPr>
          <w:rFonts w:ascii="Cambria" w:cs="Cambria" w:eastAsia="Cambria" w:hAnsi="Cambria"/>
          <w:b/>
          <w:bCs/>
          <w:sz w:val="26"/>
          <w:szCs w:val="26"/>
        </w:rPr>
        <w:t xml:space="preserve">1.3 Contribution of this Paper</w:t>
      </w:r>
    </w:p>
    <w:p>
      <w:pPr>
        <w:spacing w:after="120" w:line="320"/>
        <w:jc w:val="both"/>
      </w:pPr>
      <w:r>
        <w:rPr>
          <w:rFonts w:ascii="Cambria" w:cs="Cambria" w:eastAsia="Cambria" w:hAnsi="Cambria"/>
          <w:sz w:val="22"/>
          <w:szCs w:val="22"/>
        </w:rPr>
        <w:t xml:space="preserve">This paper addresses each of these gaps by presenting a multi-vector digital twin framework for business park energy planning, applied to Eden Campus in Fife, Scotland (Figure 2). The framework integrates electrical, thermal and hydrogen vectors within a single PyPSA-based optimisation, enabling systematic comparison of storage configurations on a common analytical basis. Five scenarios are evaluated over a full year of optimised dispatch (8,760 hours) — solar PV only, PV with battery storage, PV with phase-change thermal storage, PV with hydrogen LDES, and a full hybrid system — supplemented by sensitivity analysis across weather years, grid prices, and BESS sizing.</w:t>
      </w:r>
    </w:p>
    <w:p>
      <w:pPr>
        <w:spacing w:after="120" w:line="320"/>
        <w:jc w:val="both"/>
      </w:pPr>
      <w:r>
        <w:rPr>
          <w:rFonts w:ascii="Cambria" w:cs="Cambria" w:eastAsia="Cambria" w:hAnsi="Cambria"/>
          <w:sz w:val="22"/>
          <w:szCs w:val="22"/>
        </w:rPr>
        <w:t xml:space="preserve">Three contributions distinguish this work from existing literature:</w:t>
      </w:r>
    </w:p>
    <w:p>
      <w:pPr>
        <w:pStyle w:val="ListParagraph"/>
        <w:numPr>
          <w:ilvl w:val="0"/>
          <w:numId w:val="3"/>
        </w:numPr>
        <w:spacing w:after="120"/>
      </w:pPr>
      <w:r>
        <w:rPr>
          <w:rFonts w:ascii="Cambria" w:cs="Cambria" w:eastAsia="Cambria" w:hAnsi="Cambria"/>
          <w:b/>
          <w:bCs/>
          <w:sz w:val="22"/>
          <w:szCs w:val="22"/>
        </w:rPr>
        <w:t xml:space="preserve">Multi-vector integration: </w:t>
      </w:r>
      <w:r>
        <w:rPr>
          <w:rFonts w:ascii="Cambria" w:cs="Cambria" w:eastAsia="Cambria" w:hAnsi="Cambria"/>
          <w:sz w:val="22"/>
          <w:szCs w:val="22"/>
        </w:rPr>
        <w:t xml:space="preserve">the framework couples electrical, hydrogen and thermal vectors within a single LP optimisation, enabling fair comparison across storage technologies that operate on fundamentally different physical principles.</w:t>
      </w:r>
    </w:p>
    <w:p>
      <w:pPr>
        <w:pStyle w:val="ListParagraph"/>
        <w:numPr>
          <w:ilvl w:val="0"/>
          <w:numId w:val="3"/>
        </w:numPr>
        <w:spacing w:after="120"/>
      </w:pPr>
      <w:r>
        <w:rPr>
          <w:rFonts w:ascii="Cambria" w:cs="Cambria" w:eastAsia="Cambria" w:hAnsi="Cambria"/>
          <w:b/>
          <w:bCs/>
          <w:sz w:val="22"/>
          <w:szCs w:val="22"/>
        </w:rPr>
        <w:t xml:space="preserve">Full-year benchmarking: </w:t>
      </w:r>
      <w:r>
        <w:rPr>
          <w:rFonts w:ascii="Cambria" w:cs="Cambria" w:eastAsia="Cambria" w:hAnsi="Cambria"/>
          <w:sz w:val="22"/>
          <w:szCs w:val="22"/>
        </w:rPr>
        <w:t xml:space="preserve">results are reported on an 8,760-hour basis with explicit comparison to the four-week representative-period methodology common in the literature, quantifying the optimistic bias introduced by the latter at high-latitude sites.</w:t>
      </w:r>
    </w:p>
    <w:p>
      <w:pPr>
        <w:pStyle w:val="ListParagraph"/>
        <w:numPr>
          <w:ilvl w:val="0"/>
          <w:numId w:val="3"/>
        </w:numPr>
        <w:spacing w:after="240"/>
      </w:pPr>
      <w:r>
        <w:rPr>
          <w:rFonts w:ascii="Cambria" w:cs="Cambria" w:eastAsia="Cambria" w:hAnsi="Cambria"/>
          <w:b/>
          <w:bCs/>
          <w:sz w:val="22"/>
          <w:szCs w:val="22"/>
        </w:rPr>
        <w:t xml:space="preserve">Practitioner-relevant novel findings: </w:t>
      </w:r>
      <w:r>
        <w:rPr>
          <w:rFonts w:ascii="Cambria" w:cs="Cambria" w:eastAsia="Cambria" w:hAnsi="Cambria"/>
          <w:sz w:val="22"/>
          <w:szCs w:val="22"/>
        </w:rPr>
        <w:t xml:space="preserve">the analysis surfaces a previously under-reported electrical peak penalty associated with heat pump electrification (peak grid imports increase by 32% in scenarios with heat pump deployment), alongside two design-relevant findings on BESS sizing and methodological bias in representative-period studies.</w:t>
      </w:r>
    </w:p>
    <w:p>
      <w:pPr>
        <w:spacing w:after="120" w:line="320"/>
        <w:jc w:val="both"/>
      </w:pPr>
      <w:r>
        <w:rPr>
          <w:rFonts w:ascii="Cambria" w:cs="Cambria" w:eastAsia="Cambria" w:hAnsi="Cambria"/>
          <w:sz w:val="22"/>
          <w:szCs w:val="22"/>
        </w:rPr>
        <w:t xml:space="preserve">The framework is implemented entirely in open-source software (PyPSA, pvlib, HiGHS), with all input data, optimisation code, and result generation scripts published openly via a public GitHub repository [REF: https://github.com/Gee-H2/EdenCampus-PhD] to enable reproducibility and adaptation to comparable sites across northern UK and Northern Europe.</w:t>
      </w:r>
    </w:p>
    <w:p>
      <w:pPr>
        <w:pStyle w:val="Heading2"/>
        <w:spacing w:after="180" w:before="240"/>
      </w:pPr>
      <w:r>
        <w:rPr>
          <w:rFonts w:ascii="Cambria" w:cs="Cambria" w:eastAsia="Cambria" w:hAnsi="Cambria"/>
          <w:b/>
          <w:bCs/>
          <w:sz w:val="26"/>
          <w:szCs w:val="26"/>
        </w:rPr>
        <w:t xml:space="preserve">1.4 Paper Structure</w:t>
      </w:r>
    </w:p>
    <w:p>
      <w:pPr>
        <w:spacing w:after="120" w:line="320"/>
        <w:jc w:val="both"/>
      </w:pPr>
      <w:r>
        <w:rPr>
          <w:rFonts w:ascii="Cambria" w:cs="Cambria" w:eastAsia="Cambria" w:hAnsi="Cambria"/>
          <w:sz w:val="22"/>
          <w:szCs w:val="22"/>
        </w:rPr>
        <w:t xml:space="preserve">The remainder of this paper is structured as follows. Section 2 surveys the relevant literature on energy storage in commercial settings, multi-vector optimisation frameworks, and digital twin methodologies in the energy domain. Section 3 presents the proposed digital twin framework, mathematical formulation, and component models, with parameters detailed in Table 1. Section 4 describes the Eden Campus case study and meteorological inputs (Table 5). Section 5 reports the scenario comparison results across all five configurations and the sensitivity analysis. Section 6 discusses the practical and methodological implications. Section 7 concludes with limitations and forward research directions.</w:t>
      </w:r>
    </w:p>
    <w:p>
      <w:r>
        <w:br w:type="page"/>
      </w:r>
    </w:p>
    <w:p>
      <w:pPr>
        <w:pStyle w:val="Heading1"/>
        <w:spacing w:after="240" w:before="360"/>
      </w:pPr>
      <w:r>
        <w:rPr>
          <w:rFonts w:ascii="Cambria" w:cs="Cambria" w:eastAsia="Cambria" w:hAnsi="Cambria"/>
          <w:b/>
          <w:bCs/>
          <w:sz w:val="32"/>
          <w:szCs w:val="32"/>
        </w:rPr>
        <w:t xml:space="preserve">2. Literature Review</w:t>
      </w:r>
    </w:p>
    <w:p>
      <w:pPr>
        <w:spacing w:after="120" w:line="320"/>
        <w:jc w:val="both"/>
      </w:pPr>
      <w:r>
        <w:rPr>
          <w:rFonts w:ascii="Cambria" w:cs="Cambria" w:eastAsia="Cambria" w:hAnsi="Cambria"/>
          <w:sz w:val="22"/>
          <w:szCs w:val="22"/>
        </w:rPr>
        <w:t xml:space="preserve">The literature relevant to this study spans four domains: energy storage technologies and their commercial applications, multi-vector energy optimisation, digital twin methodologies for energy systems, and existing applications to business parks and commercial sites. Each is reviewed in turn, with explicit attention to the gaps that motivate the present work.</w:t>
      </w:r>
    </w:p>
    <w:p>
      <w:pPr>
        <w:pStyle w:val="Heading2"/>
        <w:spacing w:after="180" w:before="240"/>
      </w:pPr>
      <w:r>
        <w:rPr>
          <w:rFonts w:ascii="Cambria" w:cs="Cambria" w:eastAsia="Cambria" w:hAnsi="Cambria"/>
          <w:b/>
          <w:bCs/>
          <w:sz w:val="26"/>
          <w:szCs w:val="26"/>
        </w:rPr>
        <w:t xml:space="preserve">2.1 Energy Storage Technologies for Commercial Solar Self-Consumption</w:t>
      </w:r>
    </w:p>
    <w:p>
      <w:pPr>
        <w:spacing w:after="120" w:line="320"/>
        <w:jc w:val="both"/>
      </w:pPr>
      <w:r>
        <w:rPr>
          <w:rFonts w:ascii="Cambria" w:cs="Cambria" w:eastAsia="Cambria" w:hAnsi="Cambria"/>
          <w:sz w:val="22"/>
          <w:szCs w:val="22"/>
        </w:rPr>
        <w:t xml:space="preserve">Across the three storage classes considered in this study, the literature converges on a clear technology-cost ordering: lithium-ion BESS at £150–£300/kWh installed [REF, REF], PCM TES at £30–£80/kWh [REF, REF], and hydrogen LDES at £400–£800/kWh equivalent for the full electrolyser-storage-fuel cell chain [REF, REF, REF]. However, this ordering inverts when efficiency-weighted: round-trip efficiency for lithium-ion (88–92%) and PCM (85–92%) is comparable, while hydrogen (30–40%) imposes a substantially larger energy throughput penalty per stored unit [REF, REF, REF]. For commercial sites focused on solar self-consumption — where energy throughput, not duration, is the binding constraint — this efficiency disparity matters more than absolute capital cost.</w:t>
      </w:r>
    </w:p>
    <w:p>
      <w:pPr>
        <w:spacing w:after="120" w:line="320"/>
        <w:jc w:val="both"/>
      </w:pPr>
      <w:r>
        <w:rPr>
          <w:rFonts w:ascii="Cambria" w:cs="Cambria" w:eastAsia="Cambria" w:hAnsi="Cambria"/>
          <w:sz w:val="22"/>
          <w:szCs w:val="22"/>
        </w:rPr>
        <w:t xml:space="preserve">The cost trajectories of the three technologies also diverge. Schmidt et al. [REF] documented a five-fold reduction in lithium-ion BESS capital cost between 2010 and 2018, with continued reductions projected through 2030; this trajectory is now well-established in the deployment record, with UK installed commercial-scale BESS capacity exceeding 4 GW by 2024 [REF]. PCM TES cost reductions have been less dramatic but the technology benefits from comparatively mature supply chains, particularly for paraffin-based formulations [REF, REF]. The IEA's 2023 hydrogen outlook [REF] projects that electrolyser capital costs will fall by 40–60% by 2030, but viability for sub-MW commercial applications without targeted policy support remains contested [REF, REF].</w:t>
      </w:r>
    </w:p>
    <w:p>
      <w:pPr>
        <w:spacing w:after="120" w:line="320"/>
        <w:jc w:val="both"/>
      </w:pPr>
      <w:r>
        <w:rPr>
          <w:rFonts w:ascii="Cambria" w:cs="Cambria" w:eastAsia="Cambria" w:hAnsi="Cambria"/>
          <w:sz w:val="22"/>
          <w:szCs w:val="22"/>
        </w:rPr>
        <w:t xml:space="preserve">Comparative studies that evaluate these three technologies within an integrated dispatch optimisation — capturing the interaction between storage operation and site demand profiles — remain rare. Where comparison is attempted, it is generally on a single performance dimension (e.g. levelised cost of storage, or round-trip efficiency) rather than within a multi-vector optimisation that exposes the technology-load interactions specific to commercial sites. This represents the first significant gap addressed by the present work.</w:t>
      </w:r>
    </w:p>
    <w:p>
      <w:pPr>
        <w:pStyle w:val="Heading2"/>
        <w:spacing w:after="180" w:before="240"/>
      </w:pPr>
      <w:r>
        <w:rPr>
          <w:rFonts w:ascii="Cambria" w:cs="Cambria" w:eastAsia="Cambria" w:hAnsi="Cambria"/>
          <w:b/>
          <w:bCs/>
          <w:sz w:val="26"/>
          <w:szCs w:val="26"/>
        </w:rPr>
        <w:t xml:space="preserve">2.2 Multi-Vector Energy System Optimisation</w:t>
      </w:r>
    </w:p>
    <w:p>
      <w:pPr>
        <w:spacing w:after="120" w:line="320"/>
        <w:jc w:val="both"/>
      </w:pPr>
      <w:r>
        <w:rPr>
          <w:rFonts w:ascii="Cambria" w:cs="Cambria" w:eastAsia="Cambria" w:hAnsi="Cambria"/>
          <w:sz w:val="22"/>
          <w:szCs w:val="22"/>
        </w:rPr>
        <w:t xml:space="preserve">Coupled electrical-thermal-hydrogen optimisation has emerged as an active research area, supported by a maturing ecosystem of open-source modelling tools. PyPSA [REF] provides a generalised linear programming framework for multi-vector dispatch and capacity expansion, with native support for time-varying generation, storage state-of-charge dynamics, and bus-coupling links between energy carriers.</w:t>
      </w:r>
    </w:p>
    <w:p>
      <w:pPr>
        <w:spacing w:after="120" w:line="320"/>
        <w:jc w:val="both"/>
      </w:pPr>
      <w:r>
        <w:rPr>
          <w:rFonts w:ascii="Cambria" w:cs="Cambria" w:eastAsia="Cambria" w:hAnsi="Cambria"/>
          <w:sz w:val="22"/>
          <w:szCs w:val="22"/>
        </w:rPr>
        <w:t xml:space="preserve">PyPSA was selected over alternative frameworks (Calliope [REF], oemof [REF], SpineOpt [REF]) on three grounds. First, PyPSA's native multi-vector capability supports electricity, heat, and hydrogen buses without external coupling code. Second, its tight integration with the linopy and HiGHS solver stack enables sub-minute dispatch optimisation at hourly resolution over a full year on standard hardware. Third, its active research community and documentation depth reduce the risk of methodological drift between this study and follow-up validation work [REF].</w:t>
      </w:r>
    </w:p>
    <w:p>
      <w:pPr>
        <w:spacing w:after="120" w:line="320"/>
        <w:jc w:val="both"/>
      </w:pPr>
      <w:r>
        <w:rPr>
          <w:rFonts w:ascii="Cambria" w:cs="Cambria" w:eastAsia="Cambria" w:hAnsi="Cambria"/>
          <w:sz w:val="22"/>
          <w:szCs w:val="22"/>
        </w:rPr>
        <w:t xml:space="preserve">Within multi-vector optimisation, the literature has focused predominantly on national or regional grid-scale problems [REF, REF], with relatively few applications at the commercial site scale. Sayegh et al. [REF] applied PyPSA to a Mediterranean university campus, demonstrating the value of integrated electrical-thermal optimisation for sites with seasonal heating demand. Reichenberg et al. [REF] applied a similar framework to a German commercial cluster but did not include hydrogen. To the authors' knowledge, no published study to date has applied multi-vector optimisation to a Scottish business park context with all three storage technologies (BESS, PCM, hydrogen) evaluated within a unified framework — the second gap addressed here.</w:t>
      </w:r>
    </w:p>
    <w:p>
      <w:pPr>
        <w:pStyle w:val="Heading2"/>
        <w:spacing w:after="180" w:before="240"/>
      </w:pPr>
      <w:r>
        <w:rPr>
          <w:rFonts w:ascii="Cambria" w:cs="Cambria" w:eastAsia="Cambria" w:hAnsi="Cambria"/>
          <w:b/>
          <w:bCs/>
          <w:sz w:val="26"/>
          <w:szCs w:val="26"/>
        </w:rPr>
        <w:t xml:space="preserve">2.3 Digital Twin Methodologies for Energy Systems</w:t>
      </w:r>
    </w:p>
    <w:p>
      <w:pPr>
        <w:spacing w:after="120" w:line="320"/>
        <w:jc w:val="both"/>
      </w:pPr>
      <w:r>
        <w:rPr>
          <w:rFonts w:ascii="Cambria" w:cs="Cambria" w:eastAsia="Cambria" w:hAnsi="Cambria"/>
          <w:sz w:val="22"/>
          <w:szCs w:val="22"/>
        </w:rPr>
        <w:t xml:space="preserve">The digital twin concept, originating in aerospace and manufacturing [REF], has been adapted to energy systems with growing methodological sophistication. Among recent reviews of energy DT methodology [REF, REF, REF], a four-layer architecture — comprising data acquisition, physics-based modelling, optimisation/control, and visualisation/dashboard — recurs across diverse application contexts. While precise terminology varies between authors (e.g. "data", "model", "analytics", "interface" in [REF]; "sensing", "simulation", "optimisation", "visualisation" in [REF]), the functional decomposition is consistent. The framework presented in this paper adopts this architectural pattern explicitly, with the four layers identified in Section 3.1.</w:t>
      </w:r>
    </w:p>
    <w:p>
      <w:pPr>
        <w:spacing w:after="120" w:line="320"/>
        <w:jc w:val="both"/>
      </w:pPr>
      <w:r>
        <w:rPr>
          <w:rFonts w:ascii="Cambria" w:cs="Cambria" w:eastAsia="Cambria" w:hAnsi="Cambria"/>
          <w:sz w:val="22"/>
          <w:szCs w:val="22"/>
        </w:rPr>
        <w:t xml:space="preserve">The defining feature of a DT relative to a conventional simulation is the bidirectional coupling to real-world site data: outputs are validated against measurements, and updates to site instrumentation propagate through the model layers. Within the energy domain, DT applications have focused largely on grid-scale generation assets [REF] and large-scale industrial plants [REF]. Building-scale DT applications are growing [REF, REF] but remain dominated by single-vector electrical systems, with few studies integrating thermal or hydrogen vectors at hourly resolution. The framework presented in the current work is among the first to extend the four-layer DT architecture to a multi-vector commercial-scale energy system, with full-year hourly resolution.</w:t>
      </w:r>
    </w:p>
    <w:p>
      <w:pPr>
        <w:spacing w:after="120" w:line="320"/>
        <w:jc w:val="both"/>
      </w:pPr>
      <w:r>
        <w:rPr>
          <w:rFonts w:ascii="Cambria" w:cs="Cambria" w:eastAsia="Cambria" w:hAnsi="Cambria"/>
          <w:sz w:val="22"/>
          <w:szCs w:val="22"/>
        </w:rPr>
        <w:t xml:space="preserve">A particularly relevant methodological strand concerns the temporal resolution and simulation horizon of DT studies. Many published implementations rely on representative-period sampling — typically 4 to 12 representative weeks — to manage computational cost [REF, REF]. Pfenninger [REF] examined this trade-off systematically across European energy system models, finding that representative-period methods can produce biased results when applied at high latitudes or to systems with substantial seasonal storage components. However, that work focused on national-scale electricity systems and did not quantify bias for commercial-scale multi-vector DT studies. The present work extends Pfenninger's methodological caution into the commercial-scale, multi-vector DT context by reporting the specific magnitude of optimistic bias (2.2–4.6 percentage points on solar fraction, Section 5.4) for a Scottish case study, providing empirical evidence to inform DT design choices.</w:t>
      </w:r>
    </w:p>
    <w:p>
      <w:pPr>
        <w:pStyle w:val="Heading2"/>
        <w:spacing w:after="180" w:before="240"/>
      </w:pPr>
      <w:r>
        <w:rPr>
          <w:rFonts w:ascii="Cambria" w:cs="Cambria" w:eastAsia="Cambria" w:hAnsi="Cambria"/>
          <w:b/>
          <w:bCs/>
          <w:sz w:val="26"/>
          <w:szCs w:val="26"/>
        </w:rPr>
        <w:t xml:space="preserve">2.4 Applications to Business Parks and Commercial Sites</w:t>
      </w:r>
    </w:p>
    <w:p>
      <w:pPr>
        <w:spacing w:after="120" w:line="320"/>
        <w:jc w:val="both"/>
      </w:pPr>
      <w:r>
        <w:rPr>
          <w:rFonts w:ascii="Cambria" w:cs="Cambria" w:eastAsia="Cambria" w:hAnsi="Cambria"/>
          <w:sz w:val="22"/>
          <w:szCs w:val="22"/>
        </w:rPr>
        <w:t xml:space="preserve">Despite the rapid maturation of the technical literature, dedicated digital twin applications to business and innovation parks remain rare. Existing case studies span university campuses [REF, REF], industrial parks [REF], and commercial office estates [REF], with most focusing on single-vector electrical optimisation or on a single storage technology. Recent work by [REF] on the European business park sector identified the need for integrated, multi-vector decision-support tools as a critical gap for accelerating commercial decarbonisation, but did not provide such a tool.</w:t>
      </w:r>
    </w:p>
    <w:p>
      <w:pPr>
        <w:spacing w:after="120" w:line="320"/>
        <w:jc w:val="both"/>
      </w:pPr>
      <w:r>
        <w:rPr>
          <w:rFonts w:ascii="Cambria" w:cs="Cambria" w:eastAsia="Cambria" w:hAnsi="Cambria"/>
          <w:sz w:val="22"/>
          <w:szCs w:val="22"/>
        </w:rPr>
        <w:t xml:space="preserve">Within the UK and Scottish context specifically, published digital twin work for commercial sites is concentrated on retrofit case studies [REF] and grid-scale renewable integration studies [REF]. The Eden Campus case study presented here is, to the authors' knowledge, the first published multi-vector digital twin application to a Scottish business park integrating solar PV with all three storage technologies (BESS, PCM, hydrogen) over a full-year dispatch horizon. The findings reported in subsequent sections are directly relevant to the wider population of UK and Northern European business and innovation parks pursuing similar decarbonisation pathways, where the temporal misalignment between solar generation and seasonal demand is most acute. Section 3 now presents the framework methodology in detail.</w:t>
      </w:r>
    </w:p>
    <w:p>
      <w:r>
        <w:br w:type="page"/>
      </w:r>
    </w:p>
    <w:p>
      <w:pPr>
        <w:pStyle w:val="Heading1"/>
        <w:spacing w:after="240" w:before="360"/>
      </w:pPr>
      <w:r>
        <w:rPr>
          <w:rFonts w:ascii="Cambria" w:cs="Cambria" w:eastAsia="Cambria" w:hAnsi="Cambria"/>
          <w:b/>
          <w:bCs/>
          <w:sz w:val="32"/>
          <w:szCs w:val="32"/>
        </w:rPr>
        <w:t xml:space="preserve">3. Methodology</w:t>
      </w:r>
    </w:p>
    <w:p>
      <w:pPr>
        <w:pStyle w:val="Heading2"/>
        <w:spacing w:after="180" w:before="240"/>
      </w:pPr>
      <w:r>
        <w:rPr>
          <w:rFonts w:ascii="Cambria" w:cs="Cambria" w:eastAsia="Cambria" w:hAnsi="Cambria"/>
          <w:b/>
          <w:bCs/>
          <w:sz w:val="26"/>
          <w:szCs w:val="26"/>
        </w:rPr>
        <w:t xml:space="preserve">3.1 Digital Twin Framework Architecture</w:t>
      </w:r>
    </w:p>
    <w:p>
      <w:pPr>
        <w:spacing w:after="120" w:line="320"/>
        <w:jc w:val="both"/>
      </w:pPr>
      <w:r>
        <w:rPr>
          <w:rFonts w:ascii="Cambria" w:cs="Cambria" w:eastAsia="Cambria" w:hAnsi="Cambria"/>
          <w:sz w:val="22"/>
          <w:szCs w:val="22"/>
        </w:rPr>
        <w:t xml:space="preserve">The digital twin framework presented in this work follows a four-layer architecture (Figure 2) designed to support reproducible, multi-vector scenario analysis at hourly resolution. The four layers — data acquisition, physics-based modelling, optimisation, and visualisation — are intentionally decoupled, enabling each to be updated, validated, or replaced independently as site instrumentation, technology costs, and policy contexts evolve.</w:t>
      </w:r>
    </w:p>
    <w:p>
      <w:pPr>
        <w:spacing w:after="120" w:line="320"/>
        <w:jc w:val="both"/>
      </w:pPr>
      <w:r>
        <w:rPr>
          <w:rFonts w:ascii="Cambria" w:cs="Cambria" w:eastAsia="Cambria" w:hAnsi="Cambria"/>
          <w:sz w:val="22"/>
          <w:szCs w:val="22"/>
        </w:rPr>
        <w:t xml:space="preserve">The data acquisition layer ingests measured site data and external time-series inputs at hourly resolution, including electrical and thermal demand profiles, solar irradiance and ambient temperature from the European Photovoltaic Geographical Information System (PVGIS) [REF], grid carbon intensity from National Grid ESO [REF], and tariff structures from commercial supply contracts. The physics-based modelling layer translates these inputs into engineering-meaningful component representations: solar PV generation through the open-source pvlib library [REF] using the temperature-corrected single-diode model; battery, thermal and hydrogen storage as state-of-charge dynamic systems with explicit round-trip efficiency, standing loss, and capacity constraints. The optimisation and control layer performs hourly dispatch decisions using PyPSA [REF], an open-source linear programming framework for energy systems analysis, selected for its mature multi-vector capabilities and native support for both representative-period and full-year simulation. The visualisation layer translates optimisation outputs into stakeholder-relevant key performance indicators and decision-support visualisations; while the framework supports interactive dashboard deployment, the present study reports static research outputs to enable comparative scenario analysis.</w:t>
      </w:r>
    </w:p>
    <w:p>
      <w:pPr>
        <w:pStyle w:val="Heading2"/>
        <w:spacing w:after="180" w:before="240"/>
      </w:pPr>
      <w:r>
        <w:rPr>
          <w:rFonts w:ascii="Cambria" w:cs="Cambria" w:eastAsia="Cambria" w:hAnsi="Cambria"/>
          <w:b/>
          <w:bCs/>
          <w:sz w:val="26"/>
          <w:szCs w:val="26"/>
        </w:rPr>
        <w:t xml:space="preserve">3.2 Mathematical Formulation</w:t>
      </w:r>
    </w:p>
    <w:p>
      <w:pPr>
        <w:spacing w:after="120" w:line="320"/>
        <w:jc w:val="both"/>
      </w:pPr>
      <w:r>
        <w:rPr>
          <w:rFonts w:ascii="Cambria" w:cs="Cambria" w:eastAsia="Cambria" w:hAnsi="Cambria"/>
          <w:sz w:val="22"/>
          <w:szCs w:val="22"/>
        </w:rPr>
        <w:t xml:space="preserve">The dispatch optimisation problem is formulated as a linear program (LP) minimising total operational cost over the simulation horizon:</w:t>
      </w:r>
    </w:p>
    <w:p>
      <w:pPr>
        <w:spacing w:after="120" w:before="120"/>
        <w:jc w:val="center"/>
      </w:pPr>
      <w:r>
        <w:rPr>
          <w:rFonts w:ascii="Cambria" w:cs="Cambria" w:eastAsia="Cambria" w:hAnsi="Cambria"/>
          <w:i/>
          <w:iCs/>
          <w:sz w:val="22"/>
          <w:szCs w:val="22"/>
        </w:rPr>
        <w:t xml:space="preserve">min  Σₜ₊ₘ c_g · p_{g,t}  +  Σₜ₊ₘ c_s · |p_{s,t}|</w:t>
      </w:r>
    </w:p>
    <w:p>
      <w:pPr>
        <w:spacing w:after="120" w:line="320"/>
        <w:jc w:val="both"/>
      </w:pPr>
      <w:r>
        <w:rPr>
          <w:rFonts w:ascii="Cambria" w:cs="Cambria" w:eastAsia="Cambria" w:hAnsi="Cambria"/>
          <w:sz w:val="22"/>
          <w:szCs w:val="22"/>
        </w:rPr>
        <w:t xml:space="preserve">subject to the following constraints:</w:t>
      </w:r>
    </w:p>
    <w:p>
      <w:pPr>
        <w:spacing w:after="120" w:line="320"/>
        <w:jc w:val="both"/>
      </w:pPr>
      <w:r>
        <w:rPr>
          <w:rFonts w:ascii="Cambria" w:cs="Cambria" w:eastAsia="Cambria" w:hAnsi="Cambria"/>
          <w:b/>
          <w:bCs/>
          <w:sz w:val="22"/>
          <w:szCs w:val="22"/>
        </w:rPr>
        <w:t xml:space="preserve">Energy balance </w:t>
      </w:r>
      <w:r>
        <w:rPr>
          <w:rFonts w:ascii="Cambria" w:cs="Cambria" w:eastAsia="Cambria" w:hAnsi="Cambria"/>
          <w:sz w:val="22"/>
          <w:szCs w:val="22"/>
        </w:rPr>
        <w:t xml:space="preserve">at each bus b (electrical, thermal, or hydrogen):</w:t>
      </w:r>
    </w:p>
    <w:p>
      <w:pPr>
        <w:spacing w:after="120" w:before="120"/>
        <w:jc w:val="center"/>
      </w:pPr>
      <w:r>
        <w:rPr>
          <w:rFonts w:ascii="Cambria" w:cs="Cambria" w:eastAsia="Cambria" w:hAnsi="Cambria"/>
          <w:i/>
          <w:iCs/>
          <w:sz w:val="22"/>
          <w:szCs w:val="22"/>
        </w:rPr>
        <w:t xml:space="preserve">Σ p_{g,t} + Σ p_{s,t} − Σ p_{l,t} = d_{b,t}    ∀b, t</w:t>
      </w:r>
    </w:p>
    <w:p>
      <w:pPr>
        <w:spacing w:after="120" w:line="320"/>
        <w:jc w:val="both"/>
      </w:pPr>
      <w:r>
        <w:rPr>
          <w:rFonts w:ascii="Cambria" w:cs="Cambria" w:eastAsia="Cambria" w:hAnsi="Cambria"/>
          <w:b/>
          <w:bCs/>
          <w:sz w:val="22"/>
          <w:szCs w:val="22"/>
        </w:rPr>
        <w:t xml:space="preserve">Storage state-of-charge dynamics </w:t>
      </w:r>
      <w:r>
        <w:rPr>
          <w:rFonts w:ascii="Cambria" w:cs="Cambria" w:eastAsia="Cambria" w:hAnsi="Cambria"/>
          <w:sz w:val="22"/>
          <w:szCs w:val="22"/>
        </w:rPr>
        <w:t xml:space="preserve">with cyclic boundary condition:</w:t>
      </w:r>
    </w:p>
    <w:p>
      <w:pPr>
        <w:spacing w:after="120" w:before="120"/>
        <w:jc w:val="center"/>
      </w:pPr>
      <w:r>
        <w:rPr>
          <w:rFonts w:ascii="Cambria" w:cs="Cambria" w:eastAsia="Cambria" w:hAnsi="Cambria"/>
          <w:i/>
          <w:iCs/>
          <w:sz w:val="22"/>
          <w:szCs w:val="22"/>
        </w:rPr>
        <w:t xml:space="preserve">E_{s,t} = E_{s,t−1}(1 − η_s^stand) + η_s^ch · p_{s,t}^ch · Δt − (p_{s,t}^dis / η_s^dis) · Δt</w:t>
      </w:r>
    </w:p>
    <w:p>
      <w:pPr>
        <w:spacing w:after="120" w:before="120"/>
        <w:jc w:val="center"/>
      </w:pPr>
      <w:r>
        <w:rPr>
          <w:rFonts w:ascii="Cambria" w:cs="Cambria" w:eastAsia="Cambria" w:hAnsi="Cambria"/>
          <w:i/>
          <w:iCs/>
          <w:sz w:val="22"/>
          <w:szCs w:val="22"/>
        </w:rPr>
        <w:t xml:space="preserve">E_{s,0} = E_{s,T}    (cyclic constraint)</w:t>
      </w:r>
    </w:p>
    <w:p>
      <w:pPr>
        <w:spacing w:after="120" w:line="320"/>
        <w:jc w:val="both"/>
      </w:pPr>
      <w:r>
        <w:rPr>
          <w:rFonts w:ascii="Cambria" w:cs="Cambria" w:eastAsia="Cambria" w:hAnsi="Cambria"/>
          <w:b/>
          <w:bCs/>
          <w:sz w:val="22"/>
          <w:szCs w:val="22"/>
        </w:rPr>
        <w:t xml:space="preserve">Capacity constraints</w:t>
      </w:r>
      <w:r>
        <w:rPr>
          <w:rFonts w:ascii="Cambria" w:cs="Cambria" w:eastAsia="Cambria" w:hAnsi="Cambria"/>
          <w:sz w:val="22"/>
          <w:szCs w:val="22"/>
        </w:rPr>
        <w:t xml:space="preserve">:</w:t>
      </w:r>
    </w:p>
    <w:p>
      <w:pPr>
        <w:spacing w:after="120" w:before="120"/>
        <w:jc w:val="center"/>
      </w:pPr>
      <w:r>
        <w:rPr>
          <w:rFonts w:ascii="Cambria" w:cs="Cambria" w:eastAsia="Cambria" w:hAnsi="Cambria"/>
          <w:i/>
          <w:iCs/>
          <w:sz w:val="22"/>
          <w:szCs w:val="22"/>
        </w:rPr>
        <w:t xml:space="preserve">0 ≤ p_{g,t} ≤ P_g^nom · π_{g,t}    ∀g, t</w:t>
      </w:r>
    </w:p>
    <w:p>
      <w:pPr>
        <w:spacing w:after="120" w:before="120"/>
        <w:jc w:val="center"/>
      </w:pPr>
      <w:r>
        <w:rPr>
          <w:rFonts w:ascii="Cambria" w:cs="Cambria" w:eastAsia="Cambria" w:hAnsi="Cambria"/>
          <w:i/>
          <w:iCs/>
          <w:sz w:val="22"/>
          <w:szCs w:val="22"/>
        </w:rPr>
        <w:t xml:space="preserve">0 ≤ E_{s,t} ≤ E_s^nom    ∀s, t</w:t>
      </w:r>
    </w:p>
    <w:p>
      <w:pPr>
        <w:spacing w:after="120" w:line="320"/>
        <w:jc w:val="both"/>
      </w:pPr>
      <w:r>
        <w:rPr>
          <w:rFonts w:ascii="Cambria" w:cs="Cambria" w:eastAsia="Cambria" w:hAnsi="Cambria"/>
          <w:sz w:val="22"/>
          <w:szCs w:val="22"/>
        </w:rPr>
        <w:t xml:space="preserve">where G is the set of generators (PV, grid, boiler), S is the set of storage units (BESS, PCM, H₂), L is the set of links (electrolyser, fuel cell, heat pump), c are marginal costs, p are dispatched powers, d is demand, η are efficiencies, and π is the time-varying availability factor. The LP is solved using HiGHS [REF], a high-performance open-source simplex solver, accessed through the linopy interface to PyPSA.</w:t>
      </w:r>
    </w:p>
    <w:p>
      <w:pPr>
        <w:pStyle w:val="Heading2"/>
        <w:spacing w:after="180" w:before="240"/>
      </w:pPr>
      <w:r>
        <w:rPr>
          <w:rFonts w:ascii="Cambria" w:cs="Cambria" w:eastAsia="Cambria" w:hAnsi="Cambria"/>
          <w:b/>
          <w:bCs/>
          <w:sz w:val="26"/>
          <w:szCs w:val="26"/>
        </w:rPr>
        <w:t xml:space="preserve">3.3 Component Models and Parameters</w:t>
      </w:r>
    </w:p>
    <w:p>
      <w:pPr>
        <w:spacing w:after="120" w:line="320"/>
        <w:jc w:val="both"/>
      </w:pPr>
      <w:r>
        <w:rPr>
          <w:rFonts w:ascii="Cambria" w:cs="Cambria" w:eastAsia="Cambria" w:hAnsi="Cambria"/>
          <w:sz w:val="22"/>
          <w:szCs w:val="22"/>
        </w:rPr>
        <w:t xml:space="preserve">Component parameters, summarised in Table 1, are drawn from manufacturer datasheets, peer-reviewed literature, and commercial supply contracts.</w:t>
      </w:r>
    </w:p>
    <w:p>
      <w:pPr>
        <w:spacing w:after="120" w:line="320"/>
        <w:jc w:val="both"/>
      </w:pPr>
      <w:r>
        <w:rPr>
          <w:rFonts w:ascii="Cambria" w:cs="Cambria" w:eastAsia="Cambria" w:hAnsi="Cambria"/>
          <w:sz w:val="22"/>
          <w:szCs w:val="22"/>
        </w:rPr>
        <w:t xml:space="preserve">The solar photovoltaic system is modelled as a 1 MW fixed-tilt rooftop installation at 35° tilt and 180° azimuth, representative of typical commercial deployments. Hourly generation is computed using the pvlib temperature-corrected output model:</w:t>
      </w:r>
    </w:p>
    <w:p>
      <w:pPr>
        <w:spacing w:after="120" w:before="120"/>
        <w:jc w:val="center"/>
      </w:pPr>
      <w:r>
        <w:rPr>
          <w:rFonts w:ascii="Cambria" w:cs="Cambria" w:eastAsia="Cambria" w:hAnsi="Cambria"/>
          <w:i/>
          <w:iCs/>
          <w:sz w:val="22"/>
          <w:szCs w:val="22"/>
        </w:rPr>
        <w:t xml:space="preserve">P_PV,t = P_PV^nom · (G_POA,t / G_STC) · [1 + β(T_cell,t − T_STC)]</w:t>
      </w:r>
    </w:p>
    <w:p>
      <w:pPr>
        <w:spacing w:after="120" w:line="320"/>
        <w:jc w:val="both"/>
      </w:pPr>
      <w:r>
        <w:rPr>
          <w:rFonts w:ascii="Cambria" w:cs="Cambria" w:eastAsia="Cambria" w:hAnsi="Cambria"/>
          <w:sz w:val="22"/>
          <w:szCs w:val="22"/>
        </w:rPr>
        <w:t xml:space="preserve">where G_POA is plane-of-array irradiance, G_STC = 1000 W/m², β = −0.004 °C⁻¹ is the temperature coefficient, and T_STC = 25 °C.</w:t>
      </w:r>
    </w:p>
    <w:p>
      <w:pPr>
        <w:spacing w:after="120" w:line="320"/>
        <w:jc w:val="both"/>
      </w:pPr>
      <w:r>
        <w:rPr>
          <w:rFonts w:ascii="Cambria" w:cs="Cambria" w:eastAsia="Cambria" w:hAnsi="Cambria"/>
          <w:sz w:val="22"/>
          <w:szCs w:val="22"/>
        </w:rPr>
        <w:t xml:space="preserve">The lithium-ion battery (BESS) is sized to provide four hours of storage at peak power, consistent with current industry deployment for commercial sites at this scale [REF]. Phase-change material thermal energy storage (PCM TES) is sized for eight hours of thermal storage, drawing on parameters reported for paraffin-based commercial PCM systems [REF]. Hydrogen long-duration storage (H₂ LDES) is decomposed into separate electrolyser, hydrogen tank and fuel cell components, with sizing derived from current PEM commercial systems [REF]; round-trip efficiency of approximately 35% reflects the present state of the technology. Round-trip efficiency, standing loss, and operational parameters for all storage technologies are detailed in Table 1.</w:t>
      </w:r>
    </w:p>
    <w:p>
      <w:pPr>
        <w:spacing w:after="120" w:line="320"/>
        <w:jc w:val="both"/>
      </w:pPr>
      <w:r>
        <w:rPr>
          <w:rFonts w:ascii="Cambria" w:cs="Cambria" w:eastAsia="Cambria" w:hAnsi="Cambria"/>
          <w:sz w:val="22"/>
          <w:szCs w:val="22"/>
        </w:rPr>
        <w:t xml:space="preserve">For thermal demand, an air-source heat pump is modelled with seasonal coefficient of performance (COP) of 3.0, alongside a backup gas boiler with marginal cost of £110/MWh. The grid connection is modelled with a 2,000 kW import limit at the UK 2024 commercial tariff of £280/MWh, 500 kW export capacity at £50/MWh consistent with typical Smart Export Guarantee rates, and an average grid carbon intensity of 0.233 kgCO₂/kWh [REF].</w:t>
      </w:r>
    </w:p>
    <w:p>
      <w:pPr>
        <w:spacing w:after="120" w:before="240"/>
      </w:pPr>
      <w:r>
        <w:rPr>
          <w:rFonts w:ascii="Cambria" w:cs="Cambria" w:eastAsia="Cambria" w:hAnsi="Cambria"/>
          <w:b/>
          <w:bCs/>
          <w:sz w:val="22"/>
          <w:szCs w:val="22"/>
        </w:rPr>
        <w:t xml:space="preserve">Table 1. Component models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300"/>
        <w:gridCol w:w="1300"/>
        <w:gridCol w:w="136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Component</w:t>
            </w:r>
          </w:p>
        </w:tc>
        <w:tc>
          <w:tcPr>
            <w:tcW w:type="dxa" w:w="27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Parameter</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Value</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Unit</w:t>
            </w:r>
          </w:p>
        </w:tc>
        <w:tc>
          <w:tcPr>
            <w:tcW w:type="dxa" w:w="136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Source</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Solar Photovoltaic</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Nominal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1,000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assumption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Solar Photovoltaic</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Tilt angle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35</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assumption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Solar Photovoltaic</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Azimuth</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180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assumption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Solar Photovoltaic</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Temperature coefficient</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−0.4</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%/°C</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pvlib default</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Battery Storage (BESS)</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Power rating</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4-hr duration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Battery Storage (BESS)</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Energy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2,000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4-hr duration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Battery Storage (BESS)</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Round-trip efficiency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90.25</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Manufacturer</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Battery Storage (BESS)</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Standing loss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0.02</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%/hr</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Literature</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PCM Thermal Storage</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Power rating</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8-hr duration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PCM Thermal Storage</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Energy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1,600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8-hr duration</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PCM Thermal Storage</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Round-trip efficiency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87.4</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Paraffin PCM</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PCM Thermal Storage</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Standing loss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0.1</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%/hr</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Literature</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Electrolyser (PEM)</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Input power</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Sized for surplus</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Electrolyser (PEM)</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LHV efficiency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70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Current PEM</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Hydrogen Tank</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Energy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5,000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Seasonal sizing</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Hydrogen Tank</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Standing loss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0.01</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%/hr</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Literature</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Fuel Cell (PEM)</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Output power</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Backup supply</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Fuel Cell (PEM)</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LHV efficiency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Current PEM</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Fuel Cell (PEM)</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H₂ round-trip efficiency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35</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Computed</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Heat Pump</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Power rating</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sizing</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Heat Pump</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Seasonal COP</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Air-source</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Backup Boiler</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Thermal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600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sizing</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Backup Boiler</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Marginal cost</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110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£/MWh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UK gas 2024</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Grid Connection</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Import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2,000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Site limit</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Grid Connection</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Export capacity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500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kW</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Export agreement</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Grid Connection</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Import tariff</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280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£/MWh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UK 2024</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Grid Connection</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Export tariff</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50</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£/MWh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SEG</w:t>
            </w:r>
          </w:p>
        </w:tc>
      </w:tr>
      <w:tr>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Grid Connection</w:t>
            </w:r>
          </w:p>
        </w:tc>
        <w:tc>
          <w:tcPr>
            <w:tcW w:type="dxa" w:w="27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Carbon intensity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0.233</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kgCO₂/kWh</w:t>
            </w:r>
          </w:p>
        </w:tc>
        <w:tc>
          <w:tcPr>
            <w:tcW w:type="dxa" w:w="13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NG ESO 2023</w:t>
            </w:r>
          </w:p>
        </w:tc>
      </w:tr>
    </w:tbl>
    <w:p>
      <w:r>
        <w:t xml:space="preserve"/>
      </w:r>
    </w:p>
    <w:p>
      <w:pPr>
        <w:pStyle w:val="Heading2"/>
        <w:spacing w:after="180" w:before="240"/>
      </w:pPr>
      <w:r>
        <w:rPr>
          <w:rFonts w:ascii="Cambria" w:cs="Cambria" w:eastAsia="Cambria" w:hAnsi="Cambria"/>
          <w:b/>
          <w:bCs/>
          <w:sz w:val="26"/>
          <w:szCs w:val="26"/>
        </w:rPr>
        <w:t xml:space="preserve">3.4 Scenario Configuration</w:t>
      </w:r>
    </w:p>
    <w:p>
      <w:pPr>
        <w:spacing w:after="120" w:line="320"/>
        <w:jc w:val="both"/>
      </w:pPr>
      <w:r>
        <w:rPr>
          <w:rFonts w:ascii="Cambria" w:cs="Cambria" w:eastAsia="Cambria" w:hAnsi="Cambria"/>
          <w:sz w:val="22"/>
          <w:szCs w:val="22"/>
        </w:rPr>
        <w:t xml:space="preserve">Five scenarios are defined to systematically isolate the marginal contribution of each storage technology, summarised in Table 2.</w:t>
      </w:r>
    </w:p>
    <w:p>
      <w:pPr>
        <w:spacing w:after="120" w:before="240"/>
      </w:pPr>
      <w:r>
        <w:rPr>
          <w:rFonts w:ascii="Cambria" w:cs="Cambria" w:eastAsia="Cambria" w:hAnsi="Cambria"/>
          <w:b/>
          <w:bCs/>
          <w:sz w:val="22"/>
          <w:szCs w:val="22"/>
        </w:rPr>
        <w:t xml:space="preserve">Table 2. Scenario configuration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300"/>
        <w:gridCol w:w="1300"/>
        <w:gridCol w:w="1300"/>
        <w:gridCol w:w="1300"/>
        <w:gridCol w:w="1300"/>
      </w:tblGrid>
      <w:tr>
        <w:trPr>
          <w:tblHeader/>
        </w:trPr>
        <w:tc>
          <w:tcPr>
            <w:tcW w:type="dxa" w:w="286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Scenario</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PV</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BESS</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PCM TES</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H₂ LDES</w:t>
            </w:r>
          </w:p>
        </w:tc>
        <w:tc>
          <w:tcPr>
            <w:tcW w:type="dxa" w:w="13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Heat Pump</w:t>
            </w:r>
          </w:p>
        </w:tc>
      </w:tr>
      <w:tr>
        <w:tc>
          <w:tcPr>
            <w:tcW w:type="dxa" w:w="2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S0: PV Only</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r>
      <w:tr>
        <w:tc>
          <w:tcPr>
            <w:tcW w:type="dxa" w:w="2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S1: PV + BESS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r>
      <w:tr>
        <w:tc>
          <w:tcPr>
            <w:tcW w:type="dxa" w:w="2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S2: PV + PCM TES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r>
      <w:tr>
        <w:tc>
          <w:tcPr>
            <w:tcW w:type="dxa" w:w="2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S3: PV + H₂ LDES</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r>
      <w:tr>
        <w:tc>
          <w:tcPr>
            <w:tcW w:type="dxa" w:w="2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S4: Full Hybrid</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w:t>
            </w:r>
          </w:p>
        </w:tc>
      </w:tr>
    </w:tbl>
    <w:p>
      <w:r>
        <w:t xml:space="preserve"/>
      </w:r>
    </w:p>
    <w:p>
      <w:pPr>
        <w:spacing w:after="120" w:line="320"/>
        <w:jc w:val="both"/>
      </w:pPr>
      <w:r>
        <w:rPr>
          <w:rFonts w:ascii="Cambria" w:cs="Cambria" w:eastAsia="Cambria" w:hAnsi="Cambria"/>
          <w:sz w:val="22"/>
          <w:szCs w:val="22"/>
        </w:rPr>
        <w:t xml:space="preserve">Scenarios involving thermal storage (S2 and S4) include an electrified heat pump as the primary thermal source, since the phase-change material requires an electrified charging pathway to deliver decarbonisation. The remaining scenarios (S0, S1, S3) retain a gas boiler for thermal supply, isolating the analysis to the electrical system. This design choice is critical for interpreting the peak demand findings reported in Section 6.</w:t>
      </w:r>
    </w:p>
    <w:p>
      <w:pPr>
        <w:pStyle w:val="Heading2"/>
        <w:spacing w:after="180" w:before="240"/>
      </w:pPr>
      <w:r>
        <w:rPr>
          <w:rFonts w:ascii="Cambria" w:cs="Cambria" w:eastAsia="Cambria" w:hAnsi="Cambria"/>
          <w:b/>
          <w:bCs/>
          <w:sz w:val="26"/>
          <w:szCs w:val="26"/>
        </w:rPr>
        <w:t xml:space="preserve">3.5 Simulation Period and Sensitivity Design</w:t>
      </w:r>
    </w:p>
    <w:p>
      <w:pPr>
        <w:spacing w:after="120" w:line="320"/>
        <w:jc w:val="both"/>
      </w:pPr>
      <w:r>
        <w:rPr>
          <w:rFonts w:ascii="Cambria" w:cs="Cambria" w:eastAsia="Cambria" w:hAnsi="Cambria"/>
          <w:sz w:val="22"/>
          <w:szCs w:val="22"/>
        </w:rPr>
        <w:t xml:space="preserve">Two complementary simulation periods are used. A representative four-week period (one week per season: 9 January, 10 April, 10 July, 9 October 2023) of 672 hours is used for initial model verification and computational efficiency testing. A full-year simulation of 8,760 hours over calendar year 2023 is then used as the primary results basis, capturing seasonal storage cycling effects critical for hydrogen LDES evaluation.</w:t>
      </w:r>
    </w:p>
    <w:p>
      <w:pPr>
        <w:spacing w:after="120" w:line="320"/>
        <w:jc w:val="both"/>
      </w:pPr>
      <w:r>
        <w:rPr>
          <w:rFonts w:ascii="Cambria" w:cs="Cambria" w:eastAsia="Cambria" w:hAnsi="Cambria"/>
          <w:sz w:val="22"/>
          <w:szCs w:val="22"/>
        </w:rPr>
        <w:t xml:space="preserve">To assess result robustness, a sensitivity analysis is performed on the S1 (PV+BESS) configuration across three independent dimensions: weather year (2020–2023), grid electricity price (£180–£380/MWh in £40 increments), and BESS sizing (200–4,000 kWh capacity, 2–6 hour duration).</w:t>
      </w:r>
    </w:p>
    <w:p>
      <w:pPr>
        <w:pStyle w:val="Heading2"/>
        <w:spacing w:after="180" w:before="240"/>
      </w:pPr>
      <w:r>
        <w:rPr>
          <w:rFonts w:ascii="Cambria" w:cs="Cambria" w:eastAsia="Cambria" w:hAnsi="Cambria"/>
          <w:b/>
          <w:bCs/>
          <w:sz w:val="26"/>
          <w:szCs w:val="26"/>
        </w:rPr>
        <w:t xml:space="preserve">3.6 Performance Indicators</w:t>
      </w:r>
    </w:p>
    <w:p>
      <w:pPr>
        <w:spacing w:after="120" w:line="320"/>
        <w:jc w:val="both"/>
      </w:pPr>
      <w:r>
        <w:rPr>
          <w:rFonts w:ascii="Cambria" w:cs="Cambria" w:eastAsia="Cambria" w:hAnsi="Cambria"/>
          <w:sz w:val="22"/>
          <w:szCs w:val="22"/>
        </w:rPr>
        <w:t xml:space="preserve">Six key performance indicators (KPIs) are computed to enable cross-scenario comparison. Solar fraction quantifies the share of annual electrical demand met by on-site solar generation; self-consumption rate quantifies the share of annual PV generation consumed on-site rather than exported; energy autonomy quantifies the share of annual demand met without grid import; peak demand reduction is computed against the unstored S0 baseline; annual operational cost is the value of the LP objective function; and CO₂ savings are computed from on-site renewable consumption multiplied by grid carbon intensity, reported as tonnes per year.</w:t>
      </w:r>
    </w:p>
    <w:p>
      <w:r>
        <w:br w:type="page"/>
      </w:r>
    </w:p>
    <w:p>
      <w:pPr>
        <w:pStyle w:val="Heading1"/>
        <w:spacing w:after="240" w:before="360"/>
      </w:pPr>
      <w:r>
        <w:rPr>
          <w:rFonts w:ascii="Cambria" w:cs="Cambria" w:eastAsia="Cambria" w:hAnsi="Cambria"/>
          <w:b/>
          <w:bCs/>
          <w:sz w:val="32"/>
          <w:szCs w:val="32"/>
        </w:rPr>
        <w:t xml:space="preserve">4. Case Study and Input Data</w:t>
      </w:r>
    </w:p>
    <w:p>
      <w:pPr>
        <w:pStyle w:val="Heading2"/>
        <w:spacing w:after="180" w:before="240"/>
      </w:pPr>
      <w:r>
        <w:rPr>
          <w:rFonts w:ascii="Cambria" w:cs="Cambria" w:eastAsia="Cambria" w:hAnsi="Cambria"/>
          <w:b/>
          <w:bCs/>
          <w:sz w:val="26"/>
          <w:szCs w:val="26"/>
        </w:rPr>
        <w:t xml:space="preserve">4.1 Site Description: Eden Campus</w:t>
      </w:r>
    </w:p>
    <w:p>
      <w:pPr>
        <w:spacing w:after="120" w:line="320"/>
        <w:jc w:val="both"/>
      </w:pPr>
      <w:r>
        <w:rPr>
          <w:rFonts w:ascii="Cambria" w:cs="Cambria" w:eastAsia="Cambria" w:hAnsi="Cambria"/>
          <w:sz w:val="22"/>
          <w:szCs w:val="22"/>
        </w:rPr>
        <w:t xml:space="preserve">Eden Campus is a 60-hectare business and innovation park located on the former Guardbridge paper mill site in Fife, Scotland (56.34°N, 2.80°W), redeveloped by the University of St Andrews as a low-carbon research and innovation hub [REF]. The campus combines university professional services functions (centred on Walter Bower House, which hosts approximately 400 staff) with a growing community of industry tenants, technology spin-outs, and SMEs working across renewable energy, advanced materials, fuel cell development, and biotechnology. Existing on-site infrastructure includes a 1 MW ground-mounted solar PV array, battery storage, and a £25 million biomass-fed district heating system supplying both the campus and the main university campus 4 km to the east [REF]. Under the Tay Cities Region Deal, planned redevelopment is projected to create approximately 500 additional jobs and leverage over £100 million of further investment [REF].</w:t>
      </w:r>
    </w:p>
    <w:p>
      <w:pPr>
        <w:spacing w:after="120" w:line="320"/>
        <w:jc w:val="both"/>
      </w:pPr>
      <w:r>
        <w:rPr>
          <w:rFonts w:ascii="Cambria" w:cs="Cambria" w:eastAsia="Cambria" w:hAnsi="Cambria"/>
          <w:sz w:val="22"/>
          <w:szCs w:val="22"/>
        </w:rPr>
        <w:t xml:space="preserve">This tenant mix produces a daytime-dominant electrical load profile typical of UK Class B (office and light industrial) commercial sites, while the maritime climate produces a thermal demand profile that is sharply seasonal. The site's high-latitude location is critical to the generalisability of these findings: Eden Campus receives substantially less annual solar resource than Mediterranean sites, with a strong seasonal swing between summer and winter daily peaks. The site is therefore representative of the renewable integration challenges facing commercial real estate across northern UK and Scandinavia, where the temporal mismatch between solar supply and seasonal demand is most acute.</w:t>
      </w:r>
    </w:p>
    <w:p>
      <w:pPr>
        <w:pStyle w:val="Heading2"/>
        <w:spacing w:after="180" w:before="240"/>
      </w:pPr>
      <w:r>
        <w:rPr>
          <w:rFonts w:ascii="Cambria" w:cs="Cambria" w:eastAsia="Cambria" w:hAnsi="Cambria"/>
          <w:b/>
          <w:bCs/>
          <w:sz w:val="26"/>
          <w:szCs w:val="26"/>
        </w:rPr>
        <w:t xml:space="preserve">4.2 Meteorological Inputs</w:t>
      </w:r>
    </w:p>
    <w:p>
      <w:pPr>
        <w:spacing w:after="120" w:line="320"/>
        <w:jc w:val="both"/>
      </w:pPr>
      <w:r>
        <w:rPr>
          <w:rFonts w:ascii="Cambria" w:cs="Cambria" w:eastAsia="Cambria" w:hAnsi="Cambria"/>
          <w:sz w:val="22"/>
          <w:szCs w:val="22"/>
        </w:rPr>
        <w:t xml:space="preserve">Hourly solar irradiance components (direct, diffuse, and ground-reflected on a 35° tilted plane) and ambient temperature for calendar years 2020 through 2023 were obtained from the PVGIS-SARAH3 satellite-derived dataset [REF], providing globally consistent, validated meteorological inputs at 0.05° spatial resolution. The 2023 weather year is used as the primary basis for full-year results (Section 5.1), while the full 2020–2023 record is used for the weather-year sensitivity analysis (Section 5.2).</w:t>
      </w:r>
    </w:p>
    <w:p>
      <w:pPr>
        <w:spacing w:after="120" w:line="320"/>
        <w:jc w:val="both"/>
      </w:pPr>
      <w:r>
        <w:rPr>
          <w:rFonts w:ascii="Cambria" w:cs="Cambria" w:eastAsia="Cambria" w:hAnsi="Cambria"/>
          <w:sz w:val="22"/>
          <w:szCs w:val="22"/>
        </w:rPr>
        <w:t xml:space="preserve">Annual plane-of-array (POA) irradiance at the 35° fixed-tilt configuration ranges from 965 kWh/m²/yr (2021) to 1,002 kWh/m²/yr (2022), with a four-year mean of 979 kWh/m²/yr (Table 5). Mean ambient temperature varies between 9.1 and 9.8 °C, characteristic of the Scottish maritime climate. The narrow 4% inter-annual variation in irradiance underpins the robustness of the weather-year sensitivity findings reported in Section 5.2.</w:t>
      </w:r>
    </w:p>
    <w:p>
      <w:pPr>
        <w:spacing w:after="120" w:before="240"/>
      </w:pPr>
      <w:r>
        <w:rPr>
          <w:rFonts w:ascii="Cambria" w:cs="Cambria" w:eastAsia="Cambria" w:hAnsi="Cambria"/>
          <w:b/>
          <w:bCs/>
          <w:sz w:val="22"/>
          <w:szCs w:val="22"/>
        </w:rPr>
        <w:t xml:space="preserve">Table 5. Annual meteorological summary for Eden Campus, 2020–2023.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Weather Year</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Annual POA Irradiance (kWh/m²)</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Mean Ambient Temperature (°C)</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Peak Irradiance (W/m²)</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2020</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966</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9.1</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871</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2021</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965</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9.1</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905</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2022</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1,002</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9.8</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899</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2023</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982</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9.5</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903</w:t>
            </w:r>
          </w:p>
        </w:tc>
      </w:tr>
      <w:tr>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Mean</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979</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9.4</w:t>
            </w:r>
          </w:p>
        </w:tc>
        <w:tc>
          <w:tcPr>
            <w:tcW w:type="dxa" w:w="234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center"/>
            </w:pPr>
            <w:r>
              <w:rPr>
                <w:rFonts w:ascii="Cambria" w:cs="Cambria" w:eastAsia="Cambria" w:hAnsi="Cambria"/>
                <w:sz w:val="20"/>
                <w:szCs w:val="20"/>
              </w:rPr>
              <w:t xml:space="preserve">895</w:t>
            </w:r>
          </w:p>
        </w:tc>
      </w:tr>
    </w:tbl>
    <w:p>
      <w:r>
        <w:t xml:space="preserve"/>
      </w:r>
    </w:p>
    <w:p>
      <w:pPr>
        <w:pStyle w:val="Heading2"/>
        <w:spacing w:after="180" w:before="240"/>
      </w:pPr>
      <w:r>
        <w:rPr>
          <w:rFonts w:ascii="Cambria" w:cs="Cambria" w:eastAsia="Cambria" w:hAnsi="Cambria"/>
          <w:b/>
          <w:bCs/>
          <w:sz w:val="26"/>
          <w:szCs w:val="26"/>
        </w:rPr>
        <w:t xml:space="preserve">4.3 Demand Inputs</w:t>
      </w:r>
    </w:p>
    <w:p>
      <w:pPr>
        <w:spacing w:after="120" w:line="320"/>
        <w:jc w:val="both"/>
      </w:pPr>
      <w:r>
        <w:rPr>
          <w:rFonts w:ascii="Cambria" w:cs="Cambria" w:eastAsia="Cambria" w:hAnsi="Cambria"/>
          <w:sz w:val="22"/>
          <w:szCs w:val="22"/>
        </w:rPr>
        <w:t>In the absence of metered hourly site data, electrical and thermal demand profiles were synthesised at 8,760 hourly steps using the methodology of CIBSE Guide F (Energy Efficiency in Buildings) [REF] for commercial office and light industrial tenancy. Hourly load shape factors were applied to a baseload-plus-peak structure with seasonal scaling and weekday/weekend differentiation. The resulting profiles produce 681 kW peak electrical demand on a 2,401 MWh/year annual basis, and 755 kW peak thermal demand on a 1,728 MWh/year annual basis — values consistent with mid-tenancy commercial parks of this scale documented in [REF].</w:t>
      </w:r>
    </w:p>
    <w:p>
      <w:pPr>
        <w:spacing w:after="120" w:line="320"/>
        <w:jc w:val="both"/>
      </w:pPr>
      <w:r>
        <w:rPr>
          <w:rFonts w:ascii="Cambria" w:cs="Cambria" w:eastAsia="Cambria" w:hAnsi="Cambria"/>
          <w:sz w:val="22"/>
          <w:szCs w:val="22"/>
        </w:rPr>
        <w:t xml:space="preserve">The use of synthetic profiles is a deliberate methodological choice. It enables the digital twin framework to be developed and tested with a transparent, reproducible demand basis, and supports cross-site comparison without disclosure constraints around individual tenant data. It is also a recognised limitation of this baseline study: integration of measured site data, including occupancy-driven load variation and tenant-specific demand patterns, is the subject of forthcoming validation work and is discussed in Section 7.</w:t>
      </w:r>
    </w:p>
    <w:p>
      <w:r>
        <w:br w:type="page"/>
      </w:r>
    </w:p>
    <w:p>
      <w:pPr>
        <w:pStyle w:val="Heading1"/>
        <w:spacing w:after="240" w:before="360"/>
      </w:pPr>
      <w:r>
        <w:rPr>
          <w:rFonts w:ascii="Cambria" w:cs="Cambria" w:eastAsia="Cambria" w:hAnsi="Cambria"/>
          <w:b/>
          <w:bCs/>
          <w:sz w:val="32"/>
          <w:szCs w:val="32"/>
        </w:rPr>
        <w:t xml:space="preserve">5. Results</w:t>
      </w:r>
    </w:p>
    <w:p>
      <w:pPr>
        <w:pStyle w:val="Heading2"/>
        <w:spacing w:after="180" w:before="240"/>
      </w:pPr>
      <w:r>
        <w:rPr>
          <w:rFonts w:ascii="Cambria" w:cs="Cambria" w:eastAsia="Cambria" w:hAnsi="Cambria"/>
          <w:b/>
          <w:bCs/>
          <w:sz w:val="26"/>
          <w:szCs w:val="26"/>
        </w:rPr>
        <w:t xml:space="preserve">5.1 Annual KPI Comparison Across Scenarios</w:t>
      </w:r>
    </w:p>
    <w:p>
      <w:pPr>
        <w:spacing w:after="120" w:line="320"/>
        <w:jc w:val="both"/>
      </w:pPr>
      <w:r>
        <w:rPr>
          <w:rFonts w:ascii="Cambria" w:cs="Cambria" w:eastAsia="Cambria" w:hAnsi="Cambria"/>
          <w:sz w:val="22"/>
          <w:szCs w:val="22"/>
        </w:rPr>
        <w:t xml:space="preserve">Across the five scenarios evaluated over a full year of operation (Table 3, Figure 4), battery storage (S1) emerges as the operationally optimal configuration, delivering the largest reduction in annual cost (£42.4k saving versus the baseline) while securing 38.8% solar fraction and 217.2 tonnes of CO₂ savings annually. Full-system hybridisation (S4) achieves the highest renewable utilisation at 42.7% solar fraction, but at substantially higher operational cost due to heat pump electrical demand.</w:t>
      </w:r>
    </w:p>
    <w:p>
      <w:pPr>
        <w:spacing w:after="120" w:before="240"/>
      </w:pPr>
      <w:r>
        <w:rPr>
          <w:rFonts w:ascii="Cambria" w:cs="Cambria" w:eastAsia="Cambria" w:hAnsi="Cambria"/>
          <w:b/>
          <w:bCs/>
          <w:sz w:val="22"/>
          <w:szCs w:val="22"/>
        </w:rPr>
        <w:t xml:space="preserve">Table 3. Annual KPIs across scenarios for the Eden Campus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500"/>
        <w:gridCol w:w="1500"/>
        <w:gridCol w:w="1500"/>
        <w:gridCol w:w="1500"/>
        <w:gridCol w:w="1500"/>
      </w:tblGrid>
      <w:tr>
        <w:trPr>
          <w:tblHeader/>
        </w:trPr>
        <w:tc>
          <w:tcPr>
            <w:tcW w:type="dxa" w:w="186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Scenario</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PV Generation (MWh)</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Grid Import (MWh)</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Solar Fraction (%)</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CO₂ Saved (t/yr)</w:t>
            </w:r>
          </w:p>
        </w:tc>
        <w:tc>
          <w:tcPr>
            <w:tcW w:type="dxa" w:w="15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Annual Cost (£k)</w:t>
            </w:r>
          </w:p>
        </w:tc>
      </w:tr>
      <w:tr>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S0: PV Only</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764.0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1,636.9</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31.8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178.0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458.3</w:t>
            </w:r>
          </w:p>
        </w:tc>
      </w:tr>
      <w:tr>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S1: PV + BESS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932.0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1,485.6</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38.8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217.2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416.0</w:t>
            </w:r>
          </w:p>
        </w:tc>
      </w:tr>
      <w:tr>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S2: PV + PCM TES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840.0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2,142.6</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35.0</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195.7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600.2</w:t>
            </w:r>
          </w:p>
        </w:tc>
      </w:tr>
      <w:tr>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S3: PV + H₂ LDES</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946.3</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1,573.2</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39.4</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220.5</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440.9</w:t>
            </w:r>
          </w:p>
        </w:tc>
      </w:tr>
      <w:tr>
        <w:tc>
          <w:tcPr>
            <w:tcW w:type="dxa" w:w="186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S4: Full Hybrid</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1,024.7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2,013.6</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42.7</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238.8</w:t>
            </w:r>
          </w:p>
        </w:tc>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564.2</w:t>
            </w:r>
          </w:p>
        </w:tc>
      </w:tr>
    </w:tbl>
    <w:p>
      <w:r>
        <w:t xml:space="preserve"/>
      </w:r>
    </w:p>
    <w:p>
      <w:pPr>
        <w:spacing w:after="120" w:line="320"/>
        <w:jc w:val="both"/>
      </w:pPr>
      <w:r>
        <w:rPr>
          <w:rFonts w:ascii="Cambria" w:cs="Cambria" w:eastAsia="Cambria" w:hAnsi="Cambria"/>
          <w:sz w:val="22"/>
          <w:szCs w:val="22"/>
        </w:rPr>
        <w:t xml:space="preserve">The baseline solar-only configuration (S0) delivers a 31.8% solar fraction, reflecting the inherent temporal mismatch between solar generation and site demand at this latitude (Figure 1) — without storage, all surplus midday generation must be either curtailed or exported at the low Smart Export Guarantee rate.</w:t>
      </w:r>
    </w:p>
    <w:p>
      <w:pPr>
        <w:spacing w:after="120" w:line="320"/>
        <w:jc w:val="both"/>
      </w:pPr>
      <w:r>
        <w:rPr>
          <w:rFonts w:ascii="Cambria" w:cs="Cambria" w:eastAsia="Cambria" w:hAnsi="Cambria"/>
          <w:sz w:val="22"/>
          <w:szCs w:val="22"/>
        </w:rPr>
        <w:t xml:space="preserve">Battery storage (S1) raises solar fraction by 7 percentage points to 38.8% and reduces annual operational cost by £42.4k. The mechanism is straightforward: surplus midday solar generation is stored rather than exported at low SEG rates, then discharged during evening peaks when grid tariffs are highest, displacing high-cost imports.</w:t>
      </w:r>
    </w:p>
    <w:p>
      <w:pPr>
        <w:spacing w:after="120" w:line="320"/>
        <w:jc w:val="both"/>
      </w:pPr>
      <w:r>
        <w:rPr>
          <w:rFonts w:ascii="Cambria" w:cs="Cambria" w:eastAsia="Cambria" w:hAnsi="Cambria"/>
          <w:sz w:val="22"/>
          <w:szCs w:val="22"/>
        </w:rPr>
        <w:t xml:space="preserve">Hydrogen long-duration storage (S3) achieves a marginally higher solar fraction of 39.4% than S1 (Figure 4, panel a), driven by its capacity for seasonal energy shifting visible in the monthly breakdown (Figure 5). However, the 35% round-trip efficiency of the electrolyser–fuel cell pathway penalises overall energy throughput, yielding a smaller operational cost reduction (£17.4k versus S0) than the more efficient battery configuration.</w:t>
      </w:r>
    </w:p>
    <w:p>
      <w:pPr>
        <w:spacing w:after="120" w:line="320"/>
        <w:jc w:val="both"/>
      </w:pPr>
      <w:r>
        <w:rPr>
          <w:rFonts w:ascii="Cambria" w:cs="Cambria" w:eastAsia="Cambria" w:hAnsi="Cambria"/>
          <w:sz w:val="22"/>
          <w:szCs w:val="22"/>
        </w:rPr>
        <w:t xml:space="preserve">The two scenarios incorporating heat pump electrification (S2 and S4) increase annual PV generation and renewable utilisation, with S4 reaching the highest solar fraction (42.7%) and CO₂ savings (238.8 t/yr) across all scenarios (Figure 4, panels a and c). The mechanism is clear: heat pump operation creates additional electrical demand during periods of solar surplus, increasing on-site renewable consumption. However, this added electrical demand also drives substantially higher annual operational costs (£600.2k for S2 and £564.2k for S4; Figure 4, panel f) that are not offset within the modelled boundary by displaced gas boiler use. The hourly dispatch profile of the S4 hybrid system (Figure 7) shows the coordinated operation of all four storage technologies across a representative four-season period.</w:t>
      </w:r>
    </w:p>
    <w:p>
      <w:pPr>
        <w:pStyle w:val="Heading2"/>
        <w:spacing w:after="180" w:before="240"/>
      </w:pPr>
      <w:r>
        <w:rPr>
          <w:rFonts w:ascii="Cambria" w:cs="Cambria" w:eastAsia="Cambria" w:hAnsi="Cambria"/>
          <w:b/>
          <w:bCs/>
          <w:sz w:val="26"/>
          <w:szCs w:val="26"/>
        </w:rPr>
        <w:t xml:space="preserve">5.2 Sensitivity Analysis</w:t>
      </w:r>
    </w:p>
    <w:p>
      <w:pPr>
        <w:spacing w:after="120" w:line="320"/>
        <w:jc w:val="both"/>
      </w:pPr>
      <w:r>
        <w:rPr>
          <w:rFonts w:ascii="Cambria" w:cs="Cambria" w:eastAsia="Cambria" w:hAnsi="Cambria"/>
          <w:sz w:val="22"/>
          <w:szCs w:val="22"/>
        </w:rPr>
        <w:t xml:space="preserve">Three sensitivity dimensions were evaluated, with results summarised in Figure 6.</w:t>
      </w:r>
    </w:p>
    <w:p>
      <w:pPr>
        <w:spacing w:after="120" w:line="320"/>
        <w:jc w:val="both"/>
      </w:pPr>
      <w:r>
        <w:rPr>
          <w:rFonts w:ascii="Cambria" w:cs="Cambria" w:eastAsia="Cambria" w:hAnsi="Cambria"/>
          <w:sz w:val="22"/>
          <w:szCs w:val="22"/>
        </w:rPr>
        <w:t xml:space="preserve">The most striking finding concerns BESS sizing (Figure 6, panels e and f). Comparing two configurations with identical energy capacity but doubled power rating — 250 kW/1,000 kWh versus 500 kW/1,000 kWh — yields identical KPIs: 40.2% solar fraction at £31.2k cost. This indicates that energy capacity (kWh) — not power rating (kW) — is the binding constraint on solar self-consumption at Eden Campus. The implication for designers is significant: storage duration should be prioritised over peak power for solar self-consumption applications, a result that contrasts with battery sizing heuristics inherited from grid-services applications [REF] where short-duration high-power configurations are typically preferred.</w:t>
      </w:r>
    </w:p>
    <w:p>
      <w:pPr>
        <w:spacing w:after="120" w:line="320"/>
        <w:jc w:val="both"/>
      </w:pPr>
      <w:r>
        <w:rPr>
          <w:rFonts w:ascii="Cambria" w:cs="Cambria" w:eastAsia="Cambria" w:hAnsi="Cambria"/>
          <w:sz w:val="22"/>
          <w:szCs w:val="22"/>
        </w:rPr>
        <w:t xml:space="preserve">Across the eight BESS configurations tested (200–4,000 kWh, 2–6 hour durations), a clear non-linear relationship emerges: solar fraction increases sharply from 35.8% at 200 kWh to 42.4% at 2,000 kWh, but rises only marginally to 44.7% at 4,000 kWh. The 500 kW / 2,000 kWh (4-hour duration) baseline configuration sits near the knee of this diminishing-returns curve, making it a reasonable design target for the case study site.</w:t>
      </w:r>
    </w:p>
    <w:p>
      <w:pPr>
        <w:spacing w:after="120" w:line="320"/>
        <w:jc w:val="both"/>
      </w:pPr>
      <w:r>
        <w:rPr>
          <w:rFonts w:ascii="Cambria" w:cs="Cambria" w:eastAsia="Cambria" w:hAnsi="Cambria"/>
          <w:sz w:val="22"/>
          <w:szCs w:val="22"/>
        </w:rPr>
        <w:t xml:space="preserve">Weather year sensitivity (Figure 6, panels a–c) shows that across the four weather years tested (2020–2023), the solar fraction varies within a narrow band of ±2 percentage points around the 2023 value of 38.8%, and CO₂ savings within ±10 t/yr of the 2023 figure. This confirms that the case study findings are not artefacts of an anomalous weather year.</w:t>
      </w:r>
    </w:p>
    <w:p>
      <w:pPr>
        <w:spacing w:after="120" w:line="320"/>
        <w:jc w:val="both"/>
      </w:pPr>
      <w:r>
        <w:rPr>
          <w:rFonts w:ascii="Cambria" w:cs="Cambria" w:eastAsia="Cambria" w:hAnsi="Cambria"/>
          <w:sz w:val="22"/>
          <w:szCs w:val="22"/>
        </w:rPr>
        <w:t xml:space="preserve">Grid price sensitivity (Figure 6, panel d) across the range £180–£380/MWh shows that solar fraction and CO₂ savings are essentially invariant — a key practical finding indicating that the technical performance of the system is insensitive to tariff fluctuations. However, the operational cost saving versus the S0 baseline scales linearly with grid price, meaning the financial case for storage strengthens significantly under scenarios of rising commercial tariffs.</w:t>
      </w:r>
    </w:p>
    <w:p>
      <w:pPr>
        <w:pStyle w:val="Heading2"/>
        <w:spacing w:after="180" w:before="240"/>
      </w:pPr>
      <w:r>
        <w:rPr>
          <w:rFonts w:ascii="Cambria" w:cs="Cambria" w:eastAsia="Cambria" w:hAnsi="Cambria"/>
          <w:b/>
          <w:bCs/>
          <w:sz w:val="26"/>
          <w:szCs w:val="26"/>
        </w:rPr>
        <w:t xml:space="preserve">5.3 Twenty-Year Operational Projection</w:t>
      </w:r>
    </w:p>
    <w:p>
      <w:pPr>
        <w:spacing w:after="120" w:line="320"/>
        <w:jc w:val="both"/>
      </w:pPr>
      <w:r>
        <w:rPr>
          <w:rFonts w:ascii="Cambria" w:cs="Cambria" w:eastAsia="Cambria" w:hAnsi="Cambria"/>
          <w:sz w:val="22"/>
          <w:szCs w:val="22"/>
        </w:rPr>
        <w:t xml:space="preserve">Scaling annual results to a 20-year asset lifetime (Table 4) places the operational case for each technology in long-term context.</w:t>
      </w:r>
    </w:p>
    <w:p>
      <w:pPr>
        <w:spacing w:after="120" w:before="240"/>
      </w:pPr>
      <w:r>
        <w:rPr>
          <w:rFonts w:ascii="Cambria" w:cs="Cambria" w:eastAsia="Cambria" w:hAnsi="Cambria"/>
          <w:b/>
          <w:bCs/>
          <w:sz w:val="22"/>
          <w:szCs w:val="22"/>
        </w:rPr>
        <w:t xml:space="preserve">Table 4. Twenty-year operational projection vs S0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Scenario</w:t>
            </w:r>
          </w:p>
        </w:tc>
        <w:tc>
          <w:tcPr>
            <w:tcW w:type="dxa" w:w="232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20-yr CO₂ Saved (tonnes)</w:t>
            </w:r>
          </w:p>
        </w:tc>
        <w:tc>
          <w:tcPr>
            <w:tcW w:type="dxa" w:w="232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Annual Saving (£k/yr)</w:t>
            </w:r>
          </w:p>
        </w:tc>
        <w:tc>
          <w:tcPr>
            <w:tcW w:type="dxa" w:w="2320"/>
            <w:tcBorders>
              <w:top w:val="single" w:color="888888" w:sz="4"/>
              <w:left w:val="single" w:color="888888" w:sz="4"/>
              <w:bottom w:val="single" w:color="888888" w:sz="4"/>
              <w:right w:val="single" w:color="888888" w:sz="4"/>
            </w:tcBorders>
            <w:shd w:fill="D9E2F3" w:color="auto" w:val="clear"/>
            <w:tcMar>
              <w:top w:type="dxa" w:w="80"/>
              <w:left w:type="dxa" w:w="100"/>
              <w:bottom w:type="dxa" w:w="80"/>
              <w:right w:type="dxa" w:w="100"/>
            </w:tcMar>
            <w:vAlign w:val="center"/>
          </w:tcPr>
          <w:p>
            <w:pPr>
              <w:jc w:val="center"/>
            </w:pPr>
            <w:r>
              <w:rPr>
                <w:rFonts w:ascii="Cambria" w:cs="Cambria" w:eastAsia="Cambria" w:hAnsi="Cambria"/>
                <w:b/>
                <w:bCs/>
                <w:sz w:val="20"/>
                <w:szCs w:val="20"/>
              </w:rPr>
              <w:t xml:space="preserve">20-yr Saving (£k)</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S0: PV Only</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3,560</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S1: PV + BESS</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4,344</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+42.4</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+847.3</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S2: PV + PCM TES</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3,914</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−141.9</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−2,838.1</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S3: PV + H₂ LDES</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4,410</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+17.4</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+348.0</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left"/>
            </w:pPr>
            <w:r>
              <w:rPr>
                <w:rFonts w:ascii="Cambria" w:cs="Cambria" w:eastAsia="Cambria" w:hAnsi="Cambria"/>
                <w:sz w:val="20"/>
                <w:szCs w:val="20"/>
              </w:rPr>
              <w:t xml:space="preserve">S4: Full Hybrid</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4,776</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−105.9</w:t>
            </w:r>
          </w:p>
        </w:tc>
        <w:tc>
          <w:tcPr>
            <w:tcW w:type="dxa" w:w="2320"/>
            <w:tcBorders>
              <w:top w:val="single" w:color="888888" w:sz="4"/>
              <w:left w:val="single" w:color="888888" w:sz="4"/>
              <w:bottom w:val="single" w:color="888888" w:sz="4"/>
              <w:right w:val="single" w:color="888888" w:sz="4"/>
            </w:tcBorders>
            <w:tcMar>
              <w:top w:type="dxa" w:w="80"/>
              <w:left w:type="dxa" w:w="100"/>
              <w:bottom w:type="dxa" w:w="80"/>
              <w:right w:type="dxa" w:w="100"/>
            </w:tcMar>
            <w:vAlign w:val="center"/>
          </w:tcPr>
          <w:p>
            <w:pPr>
              <w:jc w:val="right"/>
            </w:pPr>
            <w:r>
              <w:rPr>
                <w:rFonts w:ascii="Cambria" w:cs="Cambria" w:eastAsia="Cambria" w:hAnsi="Cambria"/>
                <w:sz w:val="20"/>
                <w:szCs w:val="20"/>
              </w:rPr>
              <w:t xml:space="preserve">−2,118.5</w:t>
            </w:r>
          </w:p>
        </w:tc>
      </w:tr>
    </w:tbl>
    <w:p>
      <w:r>
        <w:t xml:space="preserve"/>
      </w:r>
    </w:p>
    <w:p>
      <w:pPr>
        <w:spacing w:after="120" w:line="320"/>
        <w:jc w:val="both"/>
      </w:pPr>
      <w:r>
        <w:rPr>
          <w:rFonts w:ascii="Cambria" w:cs="Cambria" w:eastAsia="Cambria" w:hAnsi="Cambria"/>
          <w:sz w:val="22"/>
          <w:szCs w:val="22"/>
        </w:rPr>
        <w:t xml:space="preserve">These results have direct implications for capital allocation decisions at sites comparable to Eden Campus. Operationally, S1 (battery only) is unambiguously preferred: every annual operational £1 saved compounds to £20 over the asset lifetime, with a strong CO₂ co-benefit and no peak demand penalty. S3 (hydrogen LDES) delivers a more modest operational return but provides seasonal storage capacity not available from BESS — a value not captured in operational cost minimisation but relevant under future scenarios of high winter grid stress. The pure thermal scenarios (S2, S4) require operational cost penalties to be justified by externalities not modelled here, including avoided gas-grid emissions and resilience benefits, motivating the integrated techno-economic analysis presented in subsequent work.</w:t>
      </w:r>
    </w:p>
    <w:p>
      <w:pPr>
        <w:pStyle w:val="Heading2"/>
        <w:spacing w:after="180" w:before="240"/>
      </w:pPr>
      <w:r>
        <w:rPr>
          <w:rFonts w:ascii="Cambria" w:cs="Cambria" w:eastAsia="Cambria" w:hAnsi="Cambria"/>
          <w:b/>
          <w:bCs/>
          <w:sz w:val="26"/>
          <w:szCs w:val="26"/>
        </w:rPr>
        <w:t xml:space="preserve">5.4 Methodological Comparison: Representative Period vs Full Year</w:t>
      </w:r>
    </w:p>
    <w:p>
      <w:pPr>
        <w:spacing w:after="120" w:line="320"/>
        <w:jc w:val="both"/>
      </w:pPr>
      <w:r>
        <w:rPr>
          <w:rFonts w:ascii="Cambria" w:cs="Cambria" w:eastAsia="Cambria" w:hAnsi="Cambria"/>
          <w:sz w:val="22"/>
          <w:szCs w:val="22"/>
        </w:rPr>
        <w:t xml:space="preserve">A secondary methodological finding emerges from comparing the four-week representative-period simulation against the full-year results presented above. The representative period systematically overestimates solar fraction by 2.2 to 4.6 percentage points across scenarios (e.g. S1: 42.4% representative vs 38.8% full-year; S4: 47.3% vs 42.7%). This optimistic bias arises because the four representative weeks oversample favourable seasonal conditions and underweight the long winter periods where solar contribution is minimal.</w:t>
      </w:r>
    </w:p>
    <w:p>
      <w:pPr>
        <w:spacing w:after="120" w:line="320"/>
        <w:jc w:val="both"/>
      </w:pPr>
      <w:r>
        <w:rPr>
          <w:rFonts w:ascii="Cambria" w:cs="Cambria" w:eastAsia="Cambria" w:hAnsi="Cambria"/>
          <w:sz w:val="22"/>
          <w:szCs w:val="22"/>
        </w:rPr>
        <w:t xml:space="preserve">This optimistic bias has practical significance. A designer comparing scenarios on representative-period results would conclude S4 reaches 47.3% solar fraction, when the true full-year value is 42.7% — a 4.6 percentage point overstatement that, scaled to a 20-year asset, would mistake roughly 90 tonnes of cumulative CO₂ savings as already achieved. For high-latitude business park applications, full-year simulation is therefore strongly recommended over representative-period sampling, particularly when reporting headline KPIs to investors or stakeholders.</w:t>
      </w:r>
    </w:p>
    <w:p>
      <w:r>
        <w:br w:type="page"/>
      </w:r>
    </w:p>
    <w:p>
      <w:pPr>
        <w:pStyle w:val="Heading1"/>
        <w:spacing w:after="240" w:before="360"/>
      </w:pPr>
      <w:r>
        <w:rPr>
          <w:rFonts w:ascii="Cambria" w:cs="Cambria" w:eastAsia="Cambria" w:hAnsi="Cambria"/>
          <w:b/>
          <w:bCs/>
          <w:sz w:val="32"/>
          <w:szCs w:val="32"/>
        </w:rPr>
        <w:t xml:space="preserve">6. Discussion</w:t>
      </w:r>
    </w:p>
    <w:p>
      <w:pPr>
        <w:spacing w:after="120" w:line="320"/>
        <w:jc w:val="both"/>
      </w:pPr>
      <w:r>
        <w:rPr>
          <w:rFonts w:ascii="Cambria" w:cs="Cambria" w:eastAsia="Cambria" w:hAnsi="Cambria"/>
          <w:sz w:val="22"/>
          <w:szCs w:val="22"/>
        </w:rPr>
        <w:t xml:space="preserve">This section synthesises four findings of practical and methodological significance: the case for battery storage as the operationally optimal configuration; the previously under-reported electrical peak penalty associated with heat pump electrification; the dominance of energy capacity over power rating in BESS sizing; and the systematic optimistic bias introduced by representative-period sampling at high-latitude sites.</w:t>
      </w:r>
    </w:p>
    <w:p>
      <w:pPr>
        <w:pStyle w:val="Heading2"/>
        <w:spacing w:after="180" w:before="240"/>
      </w:pPr>
      <w:r>
        <w:rPr>
          <w:rFonts w:ascii="Cambria" w:cs="Cambria" w:eastAsia="Cambria" w:hAnsi="Cambria"/>
          <w:b/>
          <w:bCs/>
          <w:sz w:val="26"/>
          <w:szCs w:val="26"/>
        </w:rPr>
        <w:t xml:space="preserve">6.1 The Operational Case for Battery Storage</w:t>
      </w:r>
    </w:p>
    <w:p>
      <w:pPr>
        <w:spacing w:after="120" w:line="320"/>
        <w:jc w:val="both"/>
      </w:pPr>
      <w:r>
        <w:rPr>
          <w:rFonts w:ascii="Cambria" w:cs="Cambria" w:eastAsia="Cambria" w:hAnsi="Cambria"/>
          <w:sz w:val="22"/>
          <w:szCs w:val="22"/>
        </w:rPr>
        <w:t xml:space="preserve">The clear operational primacy of S1 (PV+BESS) — combining the lowest annual cost, the second-highest CO₂ savings, and no peak demand penalty — has direct implications for capital allocation in the commercial real estate sector. Across the 20-year operational projection, S1 delivers cumulative cost savings of £847k against the unstored baseline, equivalent to £42.4k per year of avoided grid imports through tariff arbitrage and surplus PV capture. Crucially, this case is built on operational economics alone, before any consideration of capital depreciation, asset replacement cycles, or future scenarios of carbon pricing and rising commercial tariffs.</w:t>
      </w:r>
    </w:p>
    <w:p>
      <w:pPr>
        <w:spacing w:after="120" w:line="320"/>
        <w:jc w:val="both"/>
      </w:pPr>
      <w:r>
        <w:rPr>
          <w:rFonts w:ascii="Cambria" w:cs="Cambria" w:eastAsia="Cambria" w:hAnsi="Cambria"/>
          <w:sz w:val="22"/>
          <w:szCs w:val="22"/>
        </w:rPr>
        <w:t xml:space="preserve">Comparison with hydrogen long-duration storage (S3) is particularly informative. While S3 marginally outperforms S1 on solar fraction (39.4% vs 38.8%) and CO₂ savings (220.5 vs 217.2 t/yr), its 35% round-trip efficiency penalty halves the operational cost saving relative to baseline (£17.4k vs £42.4k annually). At Eden Campus's demand scale and grid tariff structure, the longer storage duration of hydrogen is therefore not yet operationally rewarded. This is consistent with the techno-economic literature on hydrogen LDES viability at sub-MW scale [REF], where round-trip efficiency penalties are not offset by storage duration value at current commercial tariff structures. Hydrogen viability for commercial sites of this scale is likely to require either targeted policy support (capital grants, hydrogen production credits) or significant electrolyser cost reductions [REF].</w:t>
      </w:r>
    </w:p>
    <w:p>
      <w:pPr>
        <w:pStyle w:val="Heading2"/>
        <w:spacing w:after="180" w:before="240"/>
      </w:pPr>
      <w:r>
        <w:rPr>
          <w:rFonts w:ascii="Cambria" w:cs="Cambria" w:eastAsia="Cambria" w:hAnsi="Cambria"/>
          <w:b/>
          <w:bCs/>
          <w:sz w:val="26"/>
          <w:szCs w:val="26"/>
        </w:rPr>
        <w:t xml:space="preserve">6.2 The Heat Pump Peak Demand Trade-Off</w:t>
      </w:r>
    </w:p>
    <w:p>
      <w:pPr>
        <w:spacing w:after="120" w:line="320"/>
        <w:jc w:val="both"/>
      </w:pPr>
      <w:r>
        <w:rPr>
          <w:rFonts w:ascii="Cambria" w:cs="Cambria" w:eastAsia="Cambria" w:hAnsi="Cambria"/>
          <w:sz w:val="22"/>
          <w:szCs w:val="22"/>
        </w:rPr>
        <w:t xml:space="preserve">Scenarios involving heat pump electrification (S2 and S4) reveal a previously under-reported finding of significance for net-zero planning. While these configurations achieve the highest renewable generation (S4: 1,025 MWh/yr) and the highest CO₂ savings (S4: 238.8 t/yr), they also drive peak grid imports above the unstored baseline by approximately 32%, rather than reducing it.</w:t>
      </w:r>
    </w:p>
    <w:p>
      <w:pPr>
        <w:spacing w:after="120" w:line="320"/>
        <w:jc w:val="both"/>
      </w:pPr>
      <w:r>
        <w:rPr>
          <w:rFonts w:ascii="Cambria" w:cs="Cambria" w:eastAsia="Cambria" w:hAnsi="Cambria"/>
          <w:sz w:val="22"/>
          <w:szCs w:val="22"/>
        </w:rPr>
        <w:t xml:space="preserve">The mechanism is straightforward: heat pump operation introduces additional electrical demand during periods of low solar availability, and this demand cannot always be met by storage in the modelled configuration. Crucially, the optimisation framework — by minimising operational cost — selects this trajectory because heat pump electrical consumption (at marginal cost £280/MWh × 1/COP = £93/MWh effective thermal cost) is cheaper than gas boiler operation (£110/MWh). Operationally optimal dispatch therefore amplifies the grid impact rather than smoothing it.</w:t>
      </w:r>
    </w:p>
    <w:p>
      <w:pPr>
        <w:spacing w:after="120" w:line="320"/>
        <w:jc w:val="both"/>
      </w:pPr>
      <w:r>
        <w:rPr>
          <w:rFonts w:ascii="Cambria" w:cs="Cambria" w:eastAsia="Cambria" w:hAnsi="Cambria"/>
          <w:sz w:val="22"/>
          <w:szCs w:val="22"/>
        </w:rPr>
        <w:t xml:space="preserve">This trade-off has been largely missed in single-vector electrical-only digital twin studies that omit thermal demand from the optimisation boundary. Multi-vector frameworks like the one presented here are necessary to surface it. The implications are significant for two stakeholder groups. For system designers, this finding reframes heat pump electrification as a load-shifting decision rather than a load-reducing one — peak demand reduction is not an automatic outcome of decarbonisation, and must be managed actively. For Distribution Network Operators, portfolio-level heat pump deployment across commercial estates without coordinated storage and demand-response could shift, rather than reduce, peak grid stress. Mitigation pathways include time-of-use signal-driven heat pump scheduling [REF], pre-emptive PCM thermal storage charging during solar surplus hours, and integration with grid carbon intensity forecasts. Quantifying these mitigation benefits is identified as priority follow-up research.</w:t>
      </w:r>
    </w:p>
    <w:p>
      <w:pPr>
        <w:pStyle w:val="Heading2"/>
        <w:spacing w:after="180" w:before="240"/>
      </w:pPr>
      <w:r>
        <w:rPr>
          <w:rFonts w:ascii="Cambria" w:cs="Cambria" w:eastAsia="Cambria" w:hAnsi="Cambria"/>
          <w:b/>
          <w:bCs/>
          <w:sz w:val="26"/>
          <w:szCs w:val="26"/>
        </w:rPr>
        <w:t xml:space="preserve">6.3 Energy Capacity Dominates Power Rating in BESS Sizing</w:t>
      </w:r>
    </w:p>
    <w:p>
      <w:pPr>
        <w:spacing w:after="120" w:line="320"/>
        <w:jc w:val="both"/>
      </w:pPr>
      <w:r>
        <w:rPr>
          <w:rFonts w:ascii="Cambria" w:cs="Cambria" w:eastAsia="Cambria" w:hAnsi="Cambria"/>
          <w:sz w:val="22"/>
          <w:szCs w:val="22"/>
        </w:rPr>
        <w:t xml:space="preserve">The sensitivity analysis identifies a counter-intuitive design principle. For solar self-consumption applications at Eden Campus, identical KPIs are achieved by 250 kW/1,000 kWh and 500 kW/1,000 kWh BESS configurations — energy capacity is binding, power rating is not. Solar fraction climbs from 35.8% at 200 kWh capacity to 42.4% at 2,000 kWh, then plateaus, with only a marginal 2.3 percentage point gain achievable by doubling capacity again to 4,000 kWh.</w:t>
      </w:r>
    </w:p>
    <w:p>
      <w:pPr>
        <w:spacing w:after="120" w:line="320"/>
        <w:jc w:val="both"/>
      </w:pPr>
      <w:r>
        <w:rPr>
          <w:rFonts w:ascii="Cambria" w:cs="Cambria" w:eastAsia="Cambria" w:hAnsi="Cambria"/>
          <w:sz w:val="22"/>
          <w:szCs w:val="22"/>
        </w:rPr>
        <w:t xml:space="preserve">This finding contrasts with battery sizing heuristics inherited from grid-services applications (frequency response, fast reserve), where short-duration high-power configurations are typically preferred [REF]. For commercial PV self-consumption, the relevant design parameter is daily energy throughput, not instantaneous power. The implication is direct: for solar self-consumption applications at this scale, every additional kWh of storage capacity adds more solar fraction than every additional kW of power rating, up to the diminishing-returns threshold near 2,000 kWh. Storage developers and commercial customers should recalibrate sizing methodologies that prioritise short-duration high-power configurations — these heuristics, inherited from grid-services and frequency-response applications, are misaligned with the design objectives of commercial PV self-consumption.</w:t>
      </w:r>
    </w:p>
    <w:p>
      <w:pPr>
        <w:pStyle w:val="Heading2"/>
        <w:spacing w:after="180" w:before="240"/>
      </w:pPr>
      <w:r>
        <w:rPr>
          <w:rFonts w:ascii="Cambria" w:cs="Cambria" w:eastAsia="Cambria" w:hAnsi="Cambria"/>
          <w:b/>
          <w:bCs/>
          <w:sz w:val="26"/>
          <w:szCs w:val="26"/>
        </w:rPr>
        <w:t xml:space="preserve">6.4 The Optimistic Bias of Representative-Period Sampling</w:t>
      </w:r>
    </w:p>
    <w:p>
      <w:pPr>
        <w:spacing w:after="120" w:line="320"/>
        <w:jc w:val="both"/>
      </w:pPr>
      <w:r>
        <w:rPr>
          <w:rFonts w:ascii="Cambria" w:cs="Cambria" w:eastAsia="Cambria" w:hAnsi="Cambria"/>
          <w:sz w:val="22"/>
          <w:szCs w:val="22"/>
        </w:rPr>
        <w:t xml:space="preserve">A secondary methodological finding emerges from comparing the four-week representative-period results against full-year simulation. The representative period systematically overestimates solar fraction by 2.2 to 4.6 percentage points across scenarios. A designer relying on the representative-period methodology for S4 would conclude solar fraction reaches 47.3%, when the true full-year value is 42.7% — a 4.6 percentage point overstatement that, scaled across a 20-year asset, would mistake roughly 90 tonnes of cumulative CO₂ savings as already achieved.</w:t>
      </w:r>
    </w:p>
    <w:p>
      <w:pPr>
        <w:spacing w:after="120" w:line="320"/>
        <w:jc w:val="both"/>
      </w:pPr>
      <w:r>
        <w:rPr>
          <w:rFonts w:ascii="Cambria" w:cs="Cambria" w:eastAsia="Cambria" w:hAnsi="Cambria"/>
          <w:sz w:val="22"/>
          <w:szCs w:val="22"/>
        </w:rPr>
        <w:t xml:space="preserve">The bias arises because the four representative weeks oversample favourable shoulder-season conditions and underweight the long winter periods of minimal solar contribution. While representative-period methodologies are computationally attractive — reducing simulation time by an order of magnitude — their application at high-latitude or sharply seasonal sites should be accompanied by an explicit bias assessment against full-year simulation. Where this is computationally infeasible, results should be reported with a stated upper-bound correction factor of approximately 4–5 percentage points on solar fraction. For commercial digital twin deployments where reporting accuracy matters to investors or regulators, full-year (8,760-hour) simulation should be treated as the default.</w:t>
      </w:r>
    </w:p>
    <w:p>
      <w:pPr>
        <w:pStyle w:val="Heading2"/>
        <w:spacing w:after="180" w:before="240"/>
      </w:pPr>
      <w:r>
        <w:rPr>
          <w:rFonts w:ascii="Cambria" w:cs="Cambria" w:eastAsia="Cambria" w:hAnsi="Cambria"/>
          <w:b/>
          <w:bCs/>
          <w:sz w:val="26"/>
          <w:szCs w:val="26"/>
        </w:rPr>
        <w:t xml:space="preserve">6.5 Limitations</w:t>
      </w:r>
    </w:p>
    <w:p>
      <w:pPr>
        <w:spacing w:after="120" w:line="320"/>
        <w:jc w:val="both"/>
      </w:pPr>
      <w:r>
        <w:rPr>
          <w:rFonts w:ascii="Cambria" w:cs="Cambria" w:eastAsia="Cambria" w:hAnsi="Cambria"/>
          <w:sz w:val="22"/>
          <w:szCs w:val="22"/>
        </w:rPr>
        <w:t xml:space="preserve">Three limitations of the present study should be acknowledged, in order of severity. First, demand profiles are synthetic, derived from CIBSE benchmarks rather than measured site data. While the synthetic profiles produce realistic peak-to-baseload ratios and seasonal shape, they cannot capture occupancy-driven load variation, tenant-specific demand patterns, or events such as production line shutdowns. Forthcoming validation work using site-installed sub-metering will quantify any bias in headline KPIs and refine load profile shape; this represents the highest-value next step for the framework. Second, the optimisation objective considers operational cost only, excluding capital costs, asset replacement cycles, and subsidy schemes — a full techno-economic assessment with NPV, payback, and IRR analysis is the subject of subsequent work. Third, weather years are treated deterministically; stochastic weather modelling, particularly to capture extreme winter events relevant to grid resilience, would strengthen the framework's applicability to risk-conscious investment decisions.</w:t>
      </w:r>
    </w:p>
    <w:p>
      <w:r>
        <w:br w:type="page"/>
      </w:r>
    </w:p>
    <w:p>
      <w:pPr>
        <w:pStyle w:val="Heading1"/>
        <w:spacing w:after="240" w:before="360"/>
      </w:pPr>
      <w:r>
        <w:rPr>
          <w:rFonts w:ascii="Cambria" w:cs="Cambria" w:eastAsia="Cambria" w:hAnsi="Cambria"/>
          <w:b/>
          <w:bCs/>
          <w:sz w:val="32"/>
          <w:szCs w:val="32"/>
        </w:rPr>
        <w:t xml:space="preserve">7. Conclusions</w:t>
      </w:r>
    </w:p>
    <w:p>
      <w:pPr>
        <w:spacing w:after="120" w:line="320"/>
        <w:jc w:val="both"/>
      </w:pPr>
      <w:r>
        <w:rPr>
          <w:rFonts w:ascii="Cambria" w:cs="Cambria" w:eastAsia="Cambria" w:hAnsi="Cambria"/>
          <w:sz w:val="22"/>
          <w:szCs w:val="22"/>
        </w:rPr>
        <w:t xml:space="preserve">Battery storage, paired with solar PV, is the operationally optimal storage configuration for Scottish business parks at the demand scale studied here. This conclusion is established through a multi-vector digital twin framework applied to Eden Campus in Fife, comparing five energy storage configurations across electrical, thermal, and hydrogen vectors over 8,760 hours of optimised dispatch.</w:t>
      </w:r>
    </w:p>
    <w:p>
      <w:pPr>
        <w:spacing w:after="120" w:line="320"/>
        <w:jc w:val="both"/>
      </w:pPr>
      <w:r>
        <w:rPr>
          <w:rFonts w:ascii="Cambria" w:cs="Cambria" w:eastAsia="Cambria" w:hAnsi="Cambria"/>
          <w:sz w:val="22"/>
          <w:szCs w:val="22"/>
        </w:rPr>
        <w:t xml:space="preserve">Three findings of practical significance emerge.</w:t>
      </w:r>
    </w:p>
    <w:p>
      <w:pPr>
        <w:spacing w:after="120" w:line="320"/>
        <w:jc w:val="both"/>
      </w:pPr>
      <w:r>
        <w:rPr>
          <w:rFonts w:ascii="Cambria" w:cs="Cambria" w:eastAsia="Cambria" w:hAnsi="Cambria"/>
          <w:sz w:val="22"/>
          <w:szCs w:val="22"/>
        </w:rPr>
        <w:t xml:space="preserve">Lithium-ion battery storage paired with solar PV (S1) delivers a 38.8% solar fraction, 217.2 tonnes of CO₂ savings annually, and £42,400 in annual operational cost savings against the unstored baseline — equivalent to £847,000 over a 20-year asset lifetime. No other configuration combines low operational cost with strong CO₂ savings and zero peak demand penalty.</w:t>
      </w:r>
    </w:p>
    <w:p>
      <w:pPr>
        <w:spacing w:after="120" w:line="320"/>
        <w:jc w:val="both"/>
      </w:pPr>
      <w:r>
        <w:rPr>
          <w:rFonts w:ascii="Cambria" w:cs="Cambria" w:eastAsia="Cambria" w:hAnsi="Cambria"/>
          <w:sz w:val="22"/>
          <w:szCs w:val="22"/>
        </w:rPr>
        <w:t xml:space="preserve">Scenarios involving heat pump electrification (S2 and S4) increase electrical peak demand by approximately 32%, revealing a trade-off between thermal decarbonisation and electrical grid impact that single-vector studies have largely missed. This finding has direct implications for both system designers and Distribution Network Operators planning portfolio-level heat pump deployment.</w:t>
      </w:r>
    </w:p>
    <w:p>
      <w:pPr>
        <w:spacing w:after="120" w:line="320"/>
        <w:jc w:val="both"/>
      </w:pPr>
      <w:r>
        <w:rPr>
          <w:rFonts w:ascii="Cambria" w:cs="Cambria" w:eastAsia="Cambria" w:hAnsi="Cambria"/>
          <w:sz w:val="22"/>
          <w:szCs w:val="22"/>
        </w:rPr>
        <w:t xml:space="preserve">Sensitivity analysis demonstrates that energy capacity (kWh), not power rating (kW), is the binding constraint on solar self-consumption at this scale — a design principle that contrasts with grid-services battery sizing heuristics and has direct implications for storage sizing decisions in commercial PV applications.</w:t>
      </w:r>
    </w:p>
    <w:p>
      <w:pPr>
        <w:spacing w:after="120" w:line="320"/>
        <w:jc w:val="both"/>
      </w:pPr>
      <w:r>
        <w:rPr>
          <w:rFonts w:ascii="Cambria" w:cs="Cambria" w:eastAsia="Cambria" w:hAnsi="Cambria"/>
          <w:sz w:val="22"/>
          <w:szCs w:val="22"/>
        </w:rPr>
        <w:t xml:space="preserve">A methodological finding emerges from comparing the four-week representative-period and full-year simulation outputs: representative-period sampling systematically overestimates solar fraction by 2.2 to 4.6 percentage points at this high-latitude site. For commercial digital twin deployments where reporting accuracy matters to investors or regulators, full-year (8,760-hour) simulation should be treated as the default.</w:t>
      </w:r>
    </w:p>
    <w:p>
      <w:pPr>
        <w:spacing w:after="120" w:line="320"/>
        <w:jc w:val="both"/>
      </w:pPr>
      <w:r>
        <w:rPr>
          <w:rFonts w:ascii="Cambria" w:cs="Cambria" w:eastAsia="Cambria" w:hAnsi="Cambria"/>
          <w:sz w:val="22"/>
          <w:szCs w:val="22"/>
        </w:rPr>
        <w:t xml:space="preserve">Three forward research directions follow: validation against measured site data using sub-metering currently being deployed at Eden Campus; full techno-economic assessment integrating capital costs and subsidy schemes; and extension to portfolio-level analysis supporting Distribution Network Operator capacity planning under projected heat pump deployment.</w:t>
      </w:r>
    </w:p>
    <w:p>
      <w:pPr>
        <w:spacing w:after="120" w:line="320"/>
        <w:jc w:val="both"/>
      </w:pPr>
      <w:r>
        <w:rPr>
          <w:rFonts w:ascii="Cambria" w:cs="Cambria" w:eastAsia="Cambria" w:hAnsi="Cambria"/>
          <w:sz w:val="22"/>
          <w:szCs w:val="22"/>
        </w:rPr>
        <w:t xml:space="preserve">The framework, input data, and optimisation code are published openly to support reproducibility and adaptation to comparable sites across northern UK and Northern Europe.</w:t>
      </w:r>
    </w:p>
    <w:p>
      <w:r>
        <w:br w:type="page"/>
      </w:r>
    </w:p>
    <w:p>
      <w:pPr>
        <w:pStyle w:val="Heading1"/>
        <w:spacing w:after="240" w:before="360"/>
      </w:pPr>
      <w:r>
        <w:rPr>
          <w:rFonts w:ascii="Cambria" w:cs="Cambria" w:eastAsia="Cambria" w:hAnsi="Cambria"/>
          <w:b/>
          <w:bCs/>
          <w:sz w:val="32"/>
          <w:szCs w:val="32"/>
        </w:rPr>
        <w:t xml:space="preserve">Figure Captions</w:t>
      </w:r>
    </w:p>
    <w:p>
      <w:pPr>
        <w:spacing w:after="120" w:line="320"/>
        <w:jc w:val="both"/>
      </w:pPr>
      <w:r>
        <w:rPr>
          <w:rFonts w:ascii="Cambria" w:cs="Cambria" w:eastAsia="Cambria" w:hAnsi="Cambria"/>
          <w:b/>
          <w:bCs/>
          <w:sz w:val="22"/>
          <w:szCs w:val="22"/>
        </w:rPr>
        <w:t xml:space="preserve">Figure 1. </w:t>
      </w:r>
      <w:r>
        <w:rPr>
          <w:rFonts w:ascii="Cambria" w:cs="Cambria" w:eastAsia="Cambria" w:hAnsi="Cambria"/>
          <w:sz w:val="22"/>
          <w:szCs w:val="22"/>
        </w:rPr>
        <w:t xml:space="preserve">Hourly solar PV generation (orange) and on-site electrical demand (blue) over a representative summer day (12 July 2023, top panel) and winter day (11 January 2023, bottom panel) for Eden Campus, Fife, Scotland. Green-shaded regions show periods of PV surplus available for storage or export; red-shaded regions show grid import requirement. The temporal misalignment is severe in winter, where minimal PV is available across the daytime peak, illustrating the motivation for energy storage at high-latitude commercial sites.</w:t>
      </w:r>
    </w:p>
    <w:p>
      <w:pPr>
        <w:spacing w:after="120" w:line="320"/>
        <w:jc w:val="both"/>
      </w:pPr>
      <w:r>
        <w:rPr>
          <w:rFonts w:ascii="Cambria" w:cs="Cambria" w:eastAsia="Cambria" w:hAnsi="Cambria"/>
          <w:b/>
          <w:bCs/>
          <w:sz w:val="22"/>
          <w:szCs w:val="22"/>
        </w:rPr>
        <w:t xml:space="preserve">Figure 2. </w:t>
      </w:r>
      <w:r>
        <w:rPr>
          <w:rFonts w:ascii="Cambria" w:cs="Cambria" w:eastAsia="Cambria" w:hAnsi="Cambria"/>
          <w:sz w:val="22"/>
          <w:szCs w:val="22"/>
        </w:rPr>
        <w:t xml:space="preserve">Proposed multi-vector digital twin architecture, comprising four functional layers: (i) Data Acquisition (smart meters, BMS, weather, PV inverters, grid signals), (ii) Model Layer (physics-based component models of PV, BESS, PCM TES, heat pump, hydrogen LDES, building loads), (iii) Optimisation and Control (PyPSA dispatch with multi-objective KPIs and sensitivity analysis), and (iv) Visualisation and Dashboard. A bidirectional feedback loop links measured site data to model calibration, enabling continuous improvement as instrumentation and operating context evolve.</w:t>
      </w:r>
    </w:p>
    <w:p>
      <w:pPr>
        <w:spacing w:after="120" w:line="320"/>
        <w:jc w:val="both"/>
      </w:pPr>
      <w:r>
        <w:rPr>
          <w:rFonts w:ascii="Cambria" w:cs="Cambria" w:eastAsia="Cambria" w:hAnsi="Cambria"/>
          <w:b/>
          <w:bCs/>
          <w:sz w:val="22"/>
          <w:szCs w:val="22"/>
        </w:rPr>
        <w:t xml:space="preserve">Figure 3. </w:t>
      </w:r>
      <w:r>
        <w:rPr>
          <w:rFonts w:ascii="Cambria" w:cs="Cambria" w:eastAsia="Cambria" w:hAnsi="Cambria"/>
          <w:sz w:val="22"/>
          <w:szCs w:val="22"/>
        </w:rPr>
        <w:t xml:space="preserve">End-to-end modelling workflow showing the data flow from input layer (measured site data, weather, technology parameters, occupancy, tariff and carbon data), through (a) building demand and thermal dynamics characterisation, to (b) multi-vector dispatch optimisation in PyPSA across scenarios S0 to S4, producing technical, environmental, and economic KPI outputs. The feedback loop indicates calibration and validation pathways using measured site data.</w:t>
      </w:r>
    </w:p>
    <w:p>
      <w:pPr>
        <w:spacing w:after="120" w:line="320"/>
        <w:jc w:val="both"/>
      </w:pPr>
      <w:r>
        <w:rPr>
          <w:rFonts w:ascii="Cambria" w:cs="Cambria" w:eastAsia="Cambria" w:hAnsi="Cambria"/>
          <w:b/>
          <w:bCs/>
          <w:sz w:val="22"/>
          <w:szCs w:val="22"/>
        </w:rPr>
        <w:t xml:space="preserve">Figure 4. </w:t>
      </w:r>
      <w:r>
        <w:rPr>
          <w:rFonts w:ascii="Cambria" w:cs="Cambria" w:eastAsia="Cambria" w:hAnsi="Cambria"/>
          <w:sz w:val="22"/>
          <w:szCs w:val="22"/>
        </w:rPr>
        <w:t xml:space="preserve">Annual KPI comparison across the five storage configurations (S0: PV Only, S1: PV+BESS, S2: PV+PCM TES, S3: PV+H₂ LDES, S4: Full Hybrid) for the 2023 weather year. Panels show: (a) solar fraction; (b) PV self-consumption rate; (c) annual CO₂ savings; (d) annual grid import; (e) peak demand reduction relative to S0; and (f) annual operational cost. The dashed reference line in panels (a), (d), and (f) marks the S0 baseline. Battery storage (S1) achieves the lowest cost while delivering near-best solar fraction and CO₂ savings; heat pump scenarios (S2, S4) show negative peak reduction, indicating an increase in peak grid demand relative to baseline.</w:t>
      </w:r>
    </w:p>
    <w:p>
      <w:pPr>
        <w:spacing w:after="120" w:line="320"/>
        <w:jc w:val="both"/>
      </w:pPr>
      <w:r>
        <w:rPr>
          <w:rFonts w:ascii="Cambria" w:cs="Cambria" w:eastAsia="Cambria" w:hAnsi="Cambria"/>
          <w:b/>
          <w:bCs/>
          <w:sz w:val="22"/>
          <w:szCs w:val="22"/>
        </w:rPr>
        <w:t xml:space="preserve">Figure 5. </w:t>
      </w:r>
      <w:r>
        <w:rPr>
          <w:rFonts w:ascii="Cambria" w:cs="Cambria" w:eastAsia="Cambria" w:hAnsi="Cambria"/>
          <w:sz w:val="22"/>
          <w:szCs w:val="22"/>
        </w:rPr>
        <w:t xml:space="preserve">Monthly resolution of (top left) PV generation by scenario, (top right) grid import by scenario, (bottom left) annual solar fraction comparison, and (bottom right) annual CO₂ savings comparison, for the 2023 weather year over 8,760 hours of optimised dispatch. The seasonal asymmetry between summer PV peaks and winter import requirements is consistent across scenarios; storage configurations primarily reduce shoulder-season grid imports rather than fundamentally altering the winter import pattern.</w:t>
      </w:r>
    </w:p>
    <w:p>
      <w:pPr>
        <w:spacing w:after="120" w:line="320"/>
        <w:jc w:val="both"/>
      </w:pPr>
      <w:r>
        <w:rPr>
          <w:rFonts w:ascii="Cambria" w:cs="Cambria" w:eastAsia="Cambria" w:hAnsi="Cambria"/>
          <w:b/>
          <w:bCs/>
          <w:sz w:val="22"/>
          <w:szCs w:val="22"/>
        </w:rPr>
        <w:t xml:space="preserve">Figure 6. </w:t>
      </w:r>
      <w:r>
        <w:rPr>
          <w:rFonts w:ascii="Cambria" w:cs="Cambria" w:eastAsia="Cambria" w:hAnsi="Cambria"/>
          <w:sz w:val="22"/>
          <w:szCs w:val="22"/>
        </w:rPr>
        <w:t xml:space="preserve">Three-axis sensitivity analysis of the S1 (PV+BESS) configuration. Top row, weather year sensitivity 2020–2023: (a) solar fraction; (b) annual CO₂ savings; (c) annual operational cost. Bottom row, market and design sensitivity: (d) solar fraction across grid import prices £180–£380/MWh; (e) solar fraction across BESS sizing 200–4,000 kWh capacity, colour-coded by storage duration; (f) cost-versus-solar-fraction trade-off across BESS configurations, with point colour indicating energy capacity. Identical KPIs achieved by 250 kW/1,000 kWh and 500 kW/1,000 kWh configurations confirm energy capacity, not power rating, as the binding constraint on solar self-consumption.</w:t>
      </w:r>
    </w:p>
    <w:p>
      <w:pPr>
        <w:spacing w:after="120" w:line="320"/>
        <w:jc w:val="both"/>
      </w:pPr>
      <w:r>
        <w:rPr>
          <w:rFonts w:ascii="Cambria" w:cs="Cambria" w:eastAsia="Cambria" w:hAnsi="Cambria"/>
          <w:b/>
          <w:bCs/>
          <w:sz w:val="22"/>
          <w:szCs w:val="22"/>
        </w:rPr>
        <w:t xml:space="preserve">Figure 7. </w:t>
      </w:r>
      <w:r>
        <w:rPr>
          <w:rFonts w:ascii="Cambria" w:cs="Cambria" w:eastAsia="Cambria" w:hAnsi="Cambria"/>
          <w:sz w:val="22"/>
          <w:szCs w:val="22"/>
        </w:rPr>
        <w:t xml:space="preserve">Coordinated dispatch of all four storage technologies in the S4 full hybrid configuration, shown across four representative weeks (one per season): (top left) electricity bus dispatch with PV, grid import, fuel cell output, and demand; (top right) BESS state of charge; (middle left) hydrogen system charge/discharge and tank state of charge; (middle right) thermal system showing heat pump output, backup boiler output, PCM TES level, and thermal demand; (bottom left) PCM TES state of charge; (bottom right) grid import comparison against unstored baseline demand. The plot illustrates the multi-vector coordination achieved by the optimisation: BESS handles diurnal arbitrage, PCM TES shifts thermal load, and the hydrogen system provides longer-duration shifting between favourable and unfavourable weather periods.</w:t>
      </w:r>
    </w:p>
    <w:p>
      <w:r>
        <w:br w:type="page"/>
      </w:r>
    </w:p>
    <w:p>
      <w:pPr>
        <w:pStyle w:val="Heading1"/>
        <w:spacing w:after="240" w:before="360"/>
      </w:pPr>
      <w:r>
        <w:rPr>
          <w:rFonts w:ascii="Cambria" w:cs="Cambria" w:eastAsia="Cambria" w:hAnsi="Cambria"/>
          <w:b/>
          <w:bCs/>
          <w:sz w:val="32"/>
          <w:szCs w:val="32"/>
        </w:rPr>
        <w:t xml:space="preserve">Acknowledgements</w:t>
      </w:r>
    </w:p>
    <w:p>
      <w:pPr>
        <w:spacing w:after="120" w:line="320"/>
        <w:jc w:val="both"/>
      </w:pPr>
      <w:r>
        <w:rPr>
          <w:rFonts w:ascii="Cambria" w:cs="Cambria" w:eastAsia="Cambria" w:hAnsi="Cambria"/>
          <w:sz w:val="22"/>
          <w:szCs w:val="22"/>
        </w:rPr>
        <w:t xml:space="preserve">This research is supported by the Centre for Doctoral Training in Green Industrial Futures (CDT-GIF) at Heriot-Watt University. The authors thank the University of St Andrews and the Eden Campus team for site access, data, and ongoing collaboration. [Add funding acknowledgements as applicable.]</w:t>
      </w:r>
    </w:p>
    <w:p>
      <w:pPr>
        <w:pStyle w:val="Heading1"/>
        <w:spacing w:after="240" w:before="360"/>
      </w:pPr>
      <w:r>
        <w:rPr>
          <w:rFonts w:ascii="Cambria" w:cs="Cambria" w:eastAsia="Cambria" w:hAnsi="Cambria"/>
          <w:b/>
          <w:bCs/>
          <w:sz w:val="32"/>
          <w:szCs w:val="32"/>
        </w:rPr>
        <w:t xml:space="preserve">Data and Code Availability</w:t>
      </w:r>
    </w:p>
    <w:p>
      <w:pPr>
        <w:spacing w:after="120" w:line="320"/>
        <w:jc w:val="both"/>
      </w:pPr>
      <w:r>
        <w:rPr>
          <w:rFonts w:ascii="Cambria" w:cs="Cambria" w:eastAsia="Cambria" w:hAnsi="Cambria"/>
          <w:sz w:val="22"/>
          <w:szCs w:val="22"/>
        </w:rPr>
        <w:t xml:space="preserve">All input data, optimisation code, and result generation scripts are available in the public GitHub repository: https://github.com/Gee-H2/EdenCampus-PhD</w:t>
      </w:r>
    </w:p>
    <w:p>
      <w:pPr>
        <w:pStyle w:val="Heading1"/>
        <w:spacing w:after="240" w:before="360"/>
      </w:pPr>
      <w:r>
        <w:rPr>
          <w:rFonts w:ascii="Cambria" w:cs="Cambria" w:eastAsia="Cambria" w:hAnsi="Cambria"/>
          <w:b/>
          <w:bCs/>
          <w:sz w:val="32"/>
          <w:szCs w:val="32"/>
        </w:rPr>
        <w:t xml:space="preserve">References</w:t>
      </w:r>
    </w:p>
    <w:p>
      <w:pPr>
        <w:spacing w:after="120" w:line="320"/>
        <w:jc w:val="both"/>
      </w:pPr>
      <w:r>
        <w:rPr>
          <w:rFonts w:ascii="Cambria" w:cs="Cambria" w:eastAsia="Cambria" w:hAnsi="Cambria"/>
          <w:sz w:val="22"/>
          <w:szCs w:val="22"/>
        </w:rPr>
        <w:t xml:space="preserve">[References to be compiled and inserted in numbered Vancouver style. Approximately 40–50 references covering: PyPSA, pvlib, HiGHS solver; BESS, PCM, and hydrogen storage technologies; UK Climate Change Committee and DESNZ statistics; CIBSE Guide F; PVGIS data; and digital twin methodology literature.]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mbria" w:cs="Cambria" w:eastAsia="Cambria" w:hAnsi="Cambria"/>
        <w:i/>
        <w:iCs/>
        <w:color w:val="808080"/>
        <w:sz w:val="18"/>
        <w:szCs w:val="18"/>
      </w:rPr>
      <w:t xml:space="preserve">Multi-Vector Digital Twin for Eden Campus | Udoh et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mbria" w:cs="Cambria" w:eastAsia="Cambria" w:hAnsi="Cambria"/>
      <w:b/>
      <w:bCs/>
      <w:color w:val="1F3864"/>
      <w:sz w:val="32"/>
      <w:szCs w:val="32"/>
    </w:rPr>
  </w:style>
  <w:style w:type="paragraph" w:styleId="Heading2">
    <w:name w:val="Heading 2"/>
    <w:basedOn w:val="Normal"/>
    <w:next w:val="Normal"/>
    <w:qFormat/>
    <w:pPr>
      <w:spacing w:after="180" w:before="240"/>
      <w:outlineLvl w:val="1"/>
    </w:pPr>
    <w:rPr>
      <w:rFonts w:ascii="Cambria" w:cs="Cambria" w:eastAsia="Cambria" w:hAnsi="Cambria"/>
      <w:b/>
      <w:bCs/>
      <w:color w:val="2E5395"/>
      <w:sz w:val="26"/>
      <w:szCs w:val="26"/>
    </w:rPr>
  </w:style>
  <w:style w:type="paragraph" w:styleId="Heading3">
    <w:name w:val="Heading 3"/>
    <w:basedOn w:val="Normal"/>
    <w:next w:val="Normal"/>
    <w:qFormat/>
    <w:pPr>
      <w:spacing w:after="120" w:before="180"/>
      <w:outlineLvl w:val="2"/>
    </w:pPr>
    <w:rPr>
      <w:rFonts w:ascii="Cambria" w:cs="Cambria" w:eastAsia="Cambria" w:hAnsi="Cambria"/>
      <w:b/>
      <w:bCs/>
      <w:i/>
      <w:iCs/>
      <w:color w:val="2E539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Multi-Vector Digital Twin Framework for Eden Campus</dc:title>
  <dc:creator>Gift Udoh</dc:creator>
  <dc:description>PhD Paper 1 - Applied Energy submission draft</dc:description>
  <cp:lastModifiedBy>Un-named</cp:lastModifiedBy>
  <cp:revision>1</cp:revision>
  <dcterms:created xsi:type="dcterms:W3CDTF">2026-05-01T06:23:19.875Z</dcterms:created>
  <dcterms:modified xsi:type="dcterms:W3CDTF">2026-05-01T06:23:19.877Z</dcterms:modified>
</cp:coreProperties>
</file>

<file path=docProps/custom.xml><?xml version="1.0" encoding="utf-8"?>
<Properties xmlns="http://schemas.openxmlformats.org/officeDocument/2006/custom-properties" xmlns:vt="http://schemas.openxmlformats.org/officeDocument/2006/docPropsVTypes"/>
</file>