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1F3864"/>
          <w:sz w:val="56"/>
          <w:szCs w:val="56"/>
        </w:rPr>
        <w:t xml:space="preserve">Documentação Técnica</w:t>
      </w:r>
    </w:p>
    <w:p>
      <w:pPr>
        <w:spacing w:before="200"/>
        <w:jc w:val="center"/>
      </w:pPr>
      <w:r>
        <w:rPr>
          <w:color w:val="2E74B5"/>
          <w:sz w:val="36"/>
          <w:szCs w:val="36"/>
        </w:rPr>
        <w:t xml:space="preserve">Sistema de Gestão de Armazém</w:t>
      </w:r>
    </w:p>
    <w:p>
      <w:pPr>
        <w:spacing w:before="600"/>
        <w:jc w:val="center"/>
      </w:pPr>
      <w:r>
        <w:rPr>
          <w:i/>
          <w:iCs/>
          <w:sz w:val="22"/>
          <w:szCs w:val="22"/>
        </w:rPr>
        <w:t xml:space="preserve">.NET  •  Dapper  •  SQL Server  •  TypeScript  •  Tailwind CSS</w:t>
      </w:r>
    </w:p>
    <w:p>
      <w:pPr>
        <w:spacing w:before="1600"/>
        <w:jc w:val="center"/>
      </w:pPr>
      <w:r>
        <w:rPr>
          <w:color w:val="666666"/>
          <w:sz w:val="20"/>
          <w:szCs w:val="20"/>
        </w:rPr>
        <w:t xml:space="preserve">Versão 1.0  —  Julho de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t xml:space="preserve">1. Visão Geral do Projeto</w:t>
      </w:r>
    </w:p>
    <w:p>
      <w:pPr>
        <w:spacing w:after="150"/>
      </w:pPr>
      <w:r>
        <w:t xml:space="preserve">O sistema de Gestão de Armazém tem como objetivo controlar o fluxo de produtos dentro de um ou mais armazéns, desde o recebimento de mercadorias até a expedição, passando pelo controle de estoque, localização física dos itens e rastreabilidade das movimentações.</w:t>
      </w:r>
    </w:p>
    <w:p>
      <w:pPr>
        <w:spacing w:after="150"/>
      </w:pPr>
      <w:r>
        <w:t xml:space="preserve">O sistema é composto por uma API back-end desenvolvida em .NET, persistência em SQL Server via Dapper, e uma interface web construída em TypeScript com estilização em Tailwind CSS.</w:t>
      </w:r>
    </w:p>
    <w:p>
      <w:pPr>
        <w:pStyle w:val="Heading2"/>
        <w:spacing w:after="150" w:before="300"/>
      </w:pPr>
      <w:r>
        <w:t xml:space="preserve">1.1 Objetivos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Controlar entrada, saída e transferência de produtos entre localizações.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Manter saldo de estoque em tempo real por produto e por localização.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Registrar histórico auditável de todas as movimentações.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Gerenciar pedidos de recebimento (fornecedores) e expedição (clientes).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Oferecer controle de acesso por perfil de usuário.</w:t>
      </w:r>
    </w:p>
    <w:p>
      <w:pPr>
        <w:pStyle w:val="Heading2"/>
        <w:spacing w:after="150" w:before="300"/>
      </w:pPr>
      <w:r>
        <w:t xml:space="preserve">1.2 Escopo (versão inicial)</w:t>
      </w:r>
    </w:p>
    <w:p>
      <w:pPr>
        <w:spacing w:after="150"/>
      </w:pPr>
      <w:r>
        <w:t xml:space="preserve">Escopo intermediário: cadastro de produtos e localizações, controle de estoque, movimentações, pedidos de recebimento e expedição, autenticação e permissões. Relatórios avançados e múltiplos armazéns com regras de transferência complexa ficam para uma fase posterior.</w:t>
      </w:r>
    </w:p>
    <w:p>
      <w:pPr>
        <w:pStyle w:val="Heading1"/>
        <w:spacing w:after="200" w:before="400"/>
      </w:pPr>
      <w:r>
        <w:t xml:space="preserve">2. Requisitos Funcionais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800"/>
        <w:gridCol w:w="16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6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RF01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Cadastrar, editar e consultar produtos (SKU, código de barras, categoria, unidade de medida)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RF02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Cadastrar armazéns e localizações (corredor, prateleira, nível)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RF03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Registrar entrada de produtos (recebimento)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RF04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Registrar saída de produtos (expedição)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RF05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Registrar transferência de produtos entre localizações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RF06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Consultar saldo de estoque por produto e por localização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RF07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Gerenciar pedidos de recebimento vinculados a fornecedores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RF08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Gerenciar pedidos de expedição vinculados a clientes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RF09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Manter histórico imutável de movimentações (auditoria)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RF10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Autenticar usuários e controlar acesso por perfil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Alta</w:t>
            </w:r>
          </w:p>
        </w:tc>
      </w:tr>
    </w:tbl>
    <w:p>
      <w:pPr>
        <w:pStyle w:val="Heading1"/>
        <w:spacing w:after="200" w:before="400"/>
      </w:pPr>
      <w:r>
        <w:t xml:space="preserve">3. Requisitos Não Funcionais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7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Desempenho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Consultas de saldo de estoque devem responder em até 500ms sob carga normal.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Segurança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Autenticação via JWT; senhas armazenadas com hash (bcrypt); HTTPS obrigatório.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Concorrência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Baixas simultâneas no mesmo item de estoque não podem gerar saldo negativo indevido.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Auditoria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Movimentações de estoque não podem ser alteradas ou excluídas, apenas inseridas.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Interface responsiva, utilizável em desktop e tablet no ambiente do armazém.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Modelo de dados deve suportar múltiplos armazéns sem redesenho do schema.</w:t>
            </w:r>
          </w:p>
        </w:tc>
      </w:tr>
    </w:tbl>
    <w:p>
      <w:pPr>
        <w:pStyle w:val="Heading1"/>
        <w:spacing w:after="200" w:before="400"/>
      </w:pPr>
      <w:r>
        <w:t xml:space="preserve">4. Stack Tecnológica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Back-end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.NET (Web API)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Acesso a dados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Dapper (Micro-ORM)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SQL Server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Front-end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TypeScript + React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Estilização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Tailwind CSS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Versionamento de schema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DbUp ou FluentMigrator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JWT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5. Arquitetura</w:t>
      </w:r>
    </w:p>
    <w:p>
      <w:pPr>
        <w:spacing w:after="150"/>
      </w:pPr>
      <w:r>
        <w:t xml:space="preserve">O back-end segue os princípios da Clean Architecture, organizado em camadas com responsabilidades e dependências bem definidas, permitindo testar regras de negócio isoladamente da infraestrutura.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4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7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Domain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Entidades e interfaces de repositório; não depende de nenhuma outra camada.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Application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Casos de uso, DTOs e validações; orquestra o Domain.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Infrastructure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Implementação dos repositórios com Dapper e conexão com o SQL Server.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Controllers, autenticação e injeção de dependência; ponto de entrada HTTP.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7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SPA em TypeScript que consome a API via REST.</w:t>
            </w:r>
          </w:p>
        </w:tc>
      </w:tr>
    </w:tbl>
    <w:p>
      <w:pPr>
        <w:spacing w:after="150"/>
      </w:pPr>
      <w:r>
        <w:t xml:space="preserve">Fluxo de dependência: Frontend → API → Application → Domain. A Infrastructure implementa as interfaces definidas no Domain e é injetada na Application em tempo de execução.</w:t>
      </w:r>
    </w:p>
    <w:p>
      <w:pPr>
        <w:pStyle w:val="Heading2"/>
        <w:spacing w:after="150" w:before="300"/>
      </w:pPr>
      <w:r>
        <w:t xml:space="preserve">5.1 Estrutura de pastas — Back-end</w:t>
      </w:r>
    </w:p>
    <w:p>
      <w:pPr>
        <w:spacing w:after="150"/>
      </w:pPr>
      <w:r>
        <w:rPr>
          <w:rFonts w:ascii="Consolas" w:cs="Consolas" w:eastAsia="Consolas" w:hAnsi="Consolas"/>
          <w:sz w:val="20"/>
          <w:szCs w:val="20"/>
        </w:rPr>
        <w:t xml:space="preserve">GestaoArmazem.sln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src/GestaoArmazem.Domain — entidades, enums, interfaces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src/GestaoArmazem.Application — DTOs, services, validators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src/GestaoArmazem.Infrastructure — repositórios Dapper, DbConnectionFactory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src/GestaoArmazem.API — controllers, Program.cs, appsettings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tests/ — testes de Application e Infrastructure</w:t>
      </w:r>
    </w:p>
    <w:p>
      <w:pPr>
        <w:pStyle w:val="Heading2"/>
        <w:spacing w:after="150" w:before="300"/>
      </w:pPr>
      <w:r>
        <w:t xml:space="preserve">5.2 Estrutura de pastas — Front-end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src/api — clients HTTP tipados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src/components — componentes reutilizáveis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src/pages — Estoque, Movimentações, Pedidos, Localização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src/types — tipos espelhando os DTOs do back-end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src/hooks — hooks de estado e integração com API</w:t>
      </w:r>
    </w:p>
    <w:p>
      <w:r>
        <w:br w:type="page"/>
      </w:r>
    </w:p>
    <w:p>
      <w:pPr>
        <w:pStyle w:val="Heading1"/>
        <w:spacing w:after="200" w:before="400"/>
      </w:pPr>
      <w:r>
        <w:t xml:space="preserve">6. Glossário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WMS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Warehouse Management System — sistema de gestão de armazém.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SKU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Stock Keeping Unit — código único que identifica um produto.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Picking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Ato de separar produtos do estoque para atender a um pedido de expedição.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Localização (bin)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Endereço físico dentro do armazém (corredor, prateleira, nível) onde um produto é guardado.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Movimentação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de qualquer entrada, saída, transferência ou ajuste de estoque.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Saldo de estoque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Quantidade disponível de um produto em uma localização específica.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Pedido de recebimento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Solicitação de compra a um fornecedor, aguardando chegada de mercadoria.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Pedido de expedição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Solicitação de saída de mercadoria destinada a um cliente.</w:t>
            </w:r>
          </w:p>
        </w:tc>
      </w:tr>
    </w:tbl>
    <w:p>
      <w:pPr>
        <w:pStyle w:val="Heading1"/>
        <w:spacing w:after="200" w:before="400"/>
      </w:pPr>
      <w:r>
        <w:t xml:space="preserve">7. Atores e Perfis de Acesso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Ator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de Armazém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entradas, saídas e transferências no dia a dia da operação.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Gestor de Estoque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 saldos e relatórios, aprova pedidos de recebimento e expedição.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Gerencia usuários, perfis, permissões e configurações do sistema.</w:t>
            </w:r>
          </w:p>
        </w:tc>
      </w:tr>
    </w:tbl>
    <w:p>
      <w:pPr>
        <w:pStyle w:val="Heading1"/>
        <w:spacing w:after="200" w:before="400"/>
      </w:pPr>
      <w:r>
        <w:t xml:space="preserve">8. Casos de Uso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2400"/>
        <w:gridCol w:w="32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Resumo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UC01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Registrar entrada de produto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de Armazém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Dá entrada em produtos recebidos, associando-os a uma localização.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UC02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Registrar saída de produto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de Armazém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Baixa produtos do estoque para atender a um pedido de expedição.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UC03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Transferir produto entre localizações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de Armazém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Move produtos de uma localização para outra dentro do mesmo armazém.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UC04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Consultar saldo de estoque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Gestor de Estoque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 quantidade disponível por produto e localização.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UC05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Gerenciar pedido de recebimento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Gestor de Estoque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Cria e acompanha pedidos de compra junto a fornecedores.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UC06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Gerenciar pedido de expedição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Gestor de Estoque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Cria e acompanha pedidos de saída para clientes.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UC07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Gerenciar usuários e perfis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Cadastra usuários e define permissões de acesso.</w:t>
            </w:r>
          </w:p>
        </w:tc>
      </w:tr>
    </w:tbl>
    <w:p>
      <w:pPr>
        <w:pStyle w:val="Heading2"/>
        <w:spacing w:after="150" w:before="300"/>
      </w:pPr>
      <w:r>
        <w:t xml:space="preserve">8.1 UC01 — Registrar entrada de produto (fluxo detalhado)</w:t>
      </w:r>
    </w:p>
    <w:p>
      <w:pPr>
        <w:spacing w:after="150"/>
      </w:pPr>
      <w:r>
        <w:t xml:space="preserve">Pré-condição: produto e localização já cadastrados.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1. Operador informa o produto e a quantidade recebida.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Sistema valida se o produto e a localização existem.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Operador confirma a localização de destino.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4. Sistema cria um registro em MovimentacaoEstoque do tipo Entrada.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5. Sistema atualiza (ou cria) o saldo em Estoque para o par produto/localização.</w:t>
      </w:r>
    </w:p>
    <w:p>
      <w:pPr>
        <w:spacing w:after="150"/>
      </w:pPr>
      <w:r>
        <w:t xml:space="preserve">Pós-condição: saldo de estoque atualizado e movimentação registrada de forma auditável.</w:t>
      </w:r>
    </w:p>
    <w:p>
      <w:pPr>
        <w:pStyle w:val="Heading2"/>
        <w:spacing w:after="150" w:before="300"/>
      </w:pPr>
      <w:r>
        <w:t xml:space="preserve">8.2 UC03 — Transferir produto entre localizações (fluxo detalhado)</w:t>
      </w:r>
    </w:p>
    <w:p>
      <w:pPr>
        <w:spacing w:after="150"/>
      </w:pPr>
      <w:r>
        <w:t xml:space="preserve">Pré-condição: saldo suficiente do produto na localização de origem.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1. Operador informa produto, localização de origem, localização de destino e quantidade.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2. Sistema valida se há saldo suficiente na origem (RN01).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3. Sistema abre uma transação de banco de dados.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4. Sistema debita o saldo da localização de origem.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5. Sistema credita o saldo da localização de destino.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6. Sistema registra uma única MovimentacaoEstoque do tipo Transferência, com origem e destino preenchidos.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7. Sistema confirma a transação (commit).</w:t>
      </w:r>
    </w:p>
    <w:p>
      <w:pPr>
        <w:spacing w:after="150"/>
      </w:pPr>
      <w:r>
        <w:t xml:space="preserve">Fluxo alternativo: se o saldo na origem for insuficiente, a operação é cancelada e nenhuma alteração é persistida.</w:t>
      </w:r>
    </w:p>
    <w:p>
      <w:pPr>
        <w:pStyle w:val="Heading1"/>
        <w:spacing w:after="200" w:before="400"/>
      </w:pPr>
      <w:r>
        <w:t xml:space="preserve">9. Regras de Negócio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4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8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RN01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Uma movimentação de saída ou transferência não pode resultar em saldo negativo de estoque.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RN02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Toda movimentação de estoque é registrada em log auditável e imutável — não pode ser editada ou excluída.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RN03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 SKU de um produto é único em todo o sistema.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RN04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Uma localização pertence a exatamente um armazém.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RN05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Um pedido de recebimento só pode ser encerrado após a confirmação da quantidade efetivamente recebida.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RN06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Um pedido de expedição só pode ser expedido se houver saldo suficiente em estoque para todos os itens.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RN07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Apenas usuários com perfil Administrador podem gerenciar usuários e permissões.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RN08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Uma transferência gera débito na origem e crédito no destino dentro da mesma transação de banco de dados.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10. Modelo de Dados</w:t>
      </w:r>
    </w:p>
    <w:p>
      <w:pPr>
        <w:spacing w:after="150"/>
      </w:pPr>
      <w:r>
        <w:t xml:space="preserve">Principais entidades e campos do banco de dados. Chaves estrangeiras e índices detalhados serão definidos nos scripts de migração.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Campos principais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Produto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SKU, Nome, Descrição, CategoriaId, UnidadeMedida, CódigoBarras, EstoqueMinimo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Nome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Armazem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Nome, Endereço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Localizacao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ArmazemId, Corredor, Prateleira, Nível, Código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Estoque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ProdutoId, LocalizacaoId, Quantidade, RowVersion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MovimentacaoEstoque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ProdutoId, LocalizacaoOrigemId, LocalizacaoDestinoId, Quantidade, Tipo, Data, UsuarioId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Fornecedor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Nome, CNPJ, Contato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PedidoRecebimento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FornecedorId, Status, DataPrevista, DataRecebimento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ItemPedidoRecebimento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PedidoRecebimentoId, ProdutoId, QuantidadeEsperada, QuantidadeRecebida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Cliente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Nome, Documento, Contato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PedidoExpedicao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ClienteId, Status, DataPrevista, DataExpedicao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ItemPedidoExpedicao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PedidoExpedicaoId, ProdutoId, QuantidadeSolicitada, QuantidadeExpedida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Usuario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Nome, Email, SenhaHash, PerfilId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Perfil</w:t>
            </w:r>
          </w:p>
        </w:tc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Nome, Permissões</w:t>
            </w:r>
          </w:p>
        </w:tc>
      </w:tr>
    </w:tbl>
    <w:p>
      <w:pPr>
        <w:spacing w:after="150"/>
      </w:pPr>
      <w:r>
        <w:t xml:space="preserve">Observações de modelagem: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Estoque possui chave composta (ProdutoId + LocalizacaoId) com índice único.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MovimentacaoEstoque funciona como log de auditoria — somente inserção, nunca alteração.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RowVersion em Estoque permite controle de concorrência otimista em baixas simultâneas.</w:t>
      </w:r>
    </w:p>
    <w:p>
      <w:pPr>
        <w:pStyle w:val="Heading2"/>
        <w:spacing w:after="150" w:before="300"/>
      </w:pPr>
      <w:r>
        <w:t xml:space="preserve">10.1 Diagrama Entidade-Relacionamento — Núcleo de estoque</w:t>
      </w:r>
    </w:p>
    <w:p>
      <w:pPr>
        <w:jc w:val="center"/>
      </w:pPr>
      <w:r>
        <w:drawing>
          <wp:inline distT="0" distB="0" distL="0" distR="0">
            <wp:extent cx="5715000" cy="507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50" w:before="300"/>
      </w:pPr>
      <w:r>
        <w:t xml:space="preserve">10.2 Diagrama Entidade-Relacionamento — Pedidos e acesso</w:t>
      </w:r>
    </w:p>
    <w:p>
      <w:pPr>
        <w:jc w:val="center"/>
      </w:pPr>
      <w:r>
        <w:drawing>
          <wp:inline distT="0" distB="0" distL="0" distR="0">
            <wp:extent cx="57150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00" w:before="400"/>
      </w:pPr>
      <w:r>
        <w:t xml:space="preserve">11. Contratos de API (visão inicial)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/api/auth/login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Autentica usuário e retorna token JWT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Produtos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GET /api/produtos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Lista produtos com filtros e paginação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Produtos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/api/produtos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Cadastra novo produto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Produtos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PUT /api/produtos/{id}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Atualiza dados de um produto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Estoque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GET /api/estoque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 saldo por produto e localização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Movimentações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/api/movimentacoes/entrada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entrada de produto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Movimentações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/api/movimentacoes/saida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saída de produto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Movimentações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/api/movimentacoes/transferencia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transferência entre localizações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Pedidos Recebimento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/api/pedidos-recebimento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Cria pedido de recebimento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Pedidos Expedição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 /api/pedidos-expedicao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Cria pedido de expedição</w:t>
            </w:r>
          </w:p>
        </w:tc>
      </w:tr>
    </w:tbl>
    <w:p>
      <w:pPr>
        <w:spacing w:after="150"/>
      </w:pPr>
      <w:r>
        <w:t xml:space="preserve">Os contratos completos (request/response, códigos de erro) serão detalhados via Swagger/OpenAPI durante o desenvolvimento da API.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12. Plano de Testes (critérios de aceite)</w:t>
      </w:r>
    </w:p>
    <w:p>
      <w:pPr>
        <w:spacing w:after="150"/>
      </w:pPr>
      <w:r>
        <w:t xml:space="preserve">Exemplos de critérios de aceite no formato Dado / Quando / Então para os fluxos mais críticos.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700"/>
        <w:gridCol w:w="27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Cenário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Dado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Então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Entrada de produto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Produto e localização cadastrados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registra entrada de 10 unidades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Saldo da localização aumenta em 10 e uma movimentação do tipo Entrada é criada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Saída sem saldo suficiente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Saldo do produto na localização é 5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tenta registrar saída de 8 unidades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Sistema rejeita a operação e nenhum saldo é alterado (RN01)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Transferência entre localizações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Saldo de 20 unidades na origem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 transfere 10 unidades para outra localização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Origem fica com 10, destino fica com 10, e apenas uma movimentação de Transferência é criada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Expedição sem saldo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Pedido de expedição com item sem saldo suficiente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Gestor tenta confirmar a expedição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Sistema bloqueia a expedição do pedido (RN06)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Acesso restrito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Usuário sem perfil Administrador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Usuário tenta cadastrar um novo usuário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Sistema nega o acesso (RN07)</w:t>
            </w:r>
          </w:p>
        </w:tc>
      </w:tr>
    </w:tbl>
    <w:p>
      <w:pPr>
        <w:pStyle w:val="Heading1"/>
        <w:spacing w:after="200" w:before="400"/>
      </w:pPr>
      <w:r>
        <w:t xml:space="preserve">13. Riscos e Mitigações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00"/>
        <w:gridCol w:w="39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3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Concorrência em baixas simultâneas do mesmo item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Saldo incorreto de estoque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Uso de RowVersion (concorrência otimista) e transações no banco de dados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Crescimento do log de movimentações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Degradação de performance em consultas históricas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Índices adequados e, futuramente, arquivamento de dados antigos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Divergência entre schema do banco e entidades do código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Erros em tempo de execução, já que Dapper não valida em tempo de compilação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Scripts de migração versionados (DbUp/FluentMigrator) e testes de integração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Múltiplos armazéns no futuro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Necessidade de redesenho do modelo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Modelo já prevê ArmazemId em Localizacao desde a versão inicial</w:t>
            </w:r>
          </w:p>
        </w:tc>
      </w:tr>
    </w:tbl>
    <w:p>
      <w:pPr>
        <w:pStyle w:val="Heading1"/>
        <w:spacing w:after="200" w:before="400"/>
      </w:pPr>
      <w:r>
        <w:t xml:space="preserve">14. Cronograma Sugerido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1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Entregável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Duração estimada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 Fundação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Estrutura de solução (.NET), banco de dados, autenticação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1-2 semanas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 Núcleo de estoque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CRUD de produtos/localizações, entrada, saída, transferência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2-3 semanas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 Pedidos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Pedidos de recebimento e expedição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 semanas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 Frontend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Telas de estoque, movimentações e pedidos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2-3 semanas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 Testes e ajustes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Testes de integração, ajustes de performance e usabilidade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1-2 semanas</w:t>
            </w:r>
          </w:p>
        </w:tc>
      </w:tr>
    </w:tbl>
    <w:p>
      <w:pPr>
        <w:pStyle w:val="Heading1"/>
        <w:spacing w:after="200" w:before="400"/>
      </w:pPr>
      <w:r>
        <w:t xml:space="preserve">15. Próximos Passos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Criar a estrutura de solução do back-end (.csproj de cada camada).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Escrever os scripts de criação do banco de dados (DbUp).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Implementar o CRUD de Produtos como fatia vertical de referência (Domain → Infrastructure → API).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Configurar o projeto front-end (Vite + TypeScript + Tailwind).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Integrar autenticação JWT entre front-end e back-end.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a15ca34ad855ac7081322c9c165482de4275e8.png"/><Relationship Id="rId8" Type="http://schemas.openxmlformats.org/officeDocument/2006/relationships/image" Target="media/e5bfe9561349d69d89e9e241e40a8f14d31333c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2026-07-15T19:11:38.437Z</dcterms:created>
  <dcterms:modified xsi:type="dcterms:W3CDTF">2026-07-15T19:11:38.437Z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