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BE" w:rsidRPr="00D826BE" w:rsidRDefault="00D826BE" w:rsidP="00ED78DF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D826BE">
        <w:rPr>
          <w:b/>
          <w:bCs/>
          <w:sz w:val="28"/>
          <w:szCs w:val="28"/>
        </w:rPr>
        <w:t xml:space="preserve">User's Guide for </w:t>
      </w:r>
      <w:r w:rsidRPr="00D826BE">
        <w:rPr>
          <w:b/>
          <w:bCs/>
          <w:i/>
          <w:sz w:val="28"/>
          <w:szCs w:val="28"/>
        </w:rPr>
        <w:t>Another Assimilation System for WRF</w:t>
      </w:r>
      <w:r>
        <w:rPr>
          <w:b/>
          <w:bCs/>
          <w:i/>
          <w:sz w:val="28"/>
          <w:szCs w:val="28"/>
        </w:rPr>
        <w:t>-Chem</w:t>
      </w:r>
      <w:r w:rsidRPr="00D826BE">
        <w:rPr>
          <w:b/>
          <w:bCs/>
          <w:i/>
          <w:sz w:val="28"/>
          <w:szCs w:val="28"/>
        </w:rPr>
        <w:t xml:space="preserve"> </w:t>
      </w:r>
      <w:r w:rsidRPr="00D826BE">
        <w:rPr>
          <w:b/>
          <w:bCs/>
          <w:sz w:val="28"/>
          <w:szCs w:val="28"/>
        </w:rPr>
        <w:t>(AAS4WRF)</w:t>
      </w:r>
    </w:p>
    <w:p w:rsidR="00D826BE" w:rsidRDefault="00D826BE" w:rsidP="00D826BE">
      <w:pPr>
        <w:spacing w:after="0" w:line="480" w:lineRule="auto"/>
        <w:jc w:val="center"/>
      </w:pPr>
    </w:p>
    <w:p w:rsidR="00D826BE" w:rsidRPr="00591B12" w:rsidRDefault="00D826BE" w:rsidP="00D826BE">
      <w:pPr>
        <w:spacing w:after="0" w:line="480" w:lineRule="auto"/>
        <w:rPr>
          <w:vertAlign w:val="superscript"/>
          <w:lang w:val="pt-BR"/>
        </w:rPr>
      </w:pPr>
      <w:r w:rsidRPr="00591B12">
        <w:rPr>
          <w:lang w:val="pt-BR"/>
        </w:rPr>
        <w:t>A. L. Vara-Vela</w:t>
      </w:r>
      <w:r w:rsidRPr="00591B12">
        <w:rPr>
          <w:vertAlign w:val="superscript"/>
          <w:lang w:val="pt-BR"/>
        </w:rPr>
        <w:t>1</w:t>
      </w:r>
      <w:r w:rsidRPr="00591B12">
        <w:rPr>
          <w:lang w:val="pt-BR"/>
        </w:rPr>
        <w:t>, A. G. Muñoz</w:t>
      </w:r>
      <w:r w:rsidRPr="00591B12">
        <w:rPr>
          <w:vertAlign w:val="superscript"/>
          <w:lang w:val="pt-BR"/>
        </w:rPr>
        <w:t>2</w:t>
      </w:r>
      <w:r>
        <w:rPr>
          <w:vertAlign w:val="superscript"/>
          <w:lang w:val="pt-BR"/>
        </w:rPr>
        <w:t>,3</w:t>
      </w:r>
      <w:r w:rsidRPr="00591B12">
        <w:rPr>
          <w:lang w:val="pt-BR"/>
        </w:rPr>
        <w:t>, A. Lomas</w:t>
      </w:r>
      <w:r>
        <w:rPr>
          <w:vertAlign w:val="superscript"/>
          <w:lang w:val="pt-BR"/>
        </w:rPr>
        <w:t>4</w:t>
      </w:r>
      <w:r w:rsidRPr="00591B12">
        <w:rPr>
          <w:lang w:val="pt-BR"/>
        </w:rPr>
        <w:t>, M. E. Gavidia-Calderon</w:t>
      </w:r>
      <w:r w:rsidRPr="00591B12">
        <w:rPr>
          <w:vertAlign w:val="superscript"/>
          <w:lang w:val="pt-BR"/>
        </w:rPr>
        <w:t>1</w:t>
      </w:r>
      <w:r w:rsidRPr="00591B12">
        <w:rPr>
          <w:lang w:val="pt-BR"/>
        </w:rPr>
        <w:t>, and M. F. Andrade</w:t>
      </w:r>
      <w:r w:rsidRPr="00591B12">
        <w:rPr>
          <w:vertAlign w:val="superscript"/>
          <w:lang w:val="pt-BR"/>
        </w:rPr>
        <w:t>1</w:t>
      </w:r>
    </w:p>
    <w:p w:rsidR="00D826BE" w:rsidRPr="00591B12" w:rsidRDefault="00D826BE" w:rsidP="00D826BE">
      <w:pPr>
        <w:spacing w:after="0" w:line="480" w:lineRule="auto"/>
        <w:jc w:val="center"/>
        <w:rPr>
          <w:lang w:val="pt-BR"/>
        </w:rPr>
      </w:pPr>
    </w:p>
    <w:p w:rsidR="00D826BE" w:rsidRDefault="00D826BE" w:rsidP="00D826BE">
      <w:pPr>
        <w:spacing w:after="0" w:line="480" w:lineRule="auto"/>
      </w:pPr>
      <w:r>
        <w:rPr>
          <w:vertAlign w:val="superscript"/>
        </w:rPr>
        <w:t>1</w:t>
      </w:r>
      <w:r>
        <w:t>Department of Atmospheric Sciences, Institute of Astronomy, Geophysics and Atmospheric Sciences, University of Sao Paulo, Sao Paulo, Brazil</w:t>
      </w:r>
    </w:p>
    <w:p w:rsidR="00D826BE" w:rsidRDefault="00D826BE" w:rsidP="00D826BE">
      <w:pPr>
        <w:spacing w:after="0" w:line="480" w:lineRule="auto"/>
      </w:pPr>
      <w:r>
        <w:rPr>
          <w:vertAlign w:val="superscript"/>
        </w:rPr>
        <w:t>2</w:t>
      </w:r>
      <w:r>
        <w:t>Atmospheric and Oceanic Sciences (AOS). Princeton University. Princeton, NJ. USA</w:t>
      </w:r>
    </w:p>
    <w:p w:rsidR="00D826BE" w:rsidRPr="00286FA0" w:rsidRDefault="00D826BE" w:rsidP="00D826BE">
      <w:pPr>
        <w:spacing w:after="0" w:line="480" w:lineRule="auto"/>
      </w:pPr>
      <w:r>
        <w:rPr>
          <w:vertAlign w:val="superscript"/>
        </w:rPr>
        <w:t>3</w:t>
      </w:r>
      <w:r>
        <w:t xml:space="preserve">International Research Institute for Climate and Society (IRI). </w:t>
      </w:r>
      <w:r w:rsidRPr="00286FA0">
        <w:t>The Earth Institute. Columbia University. New York, NY. USA</w:t>
      </w:r>
    </w:p>
    <w:p w:rsidR="00D826BE" w:rsidRPr="00286FA0" w:rsidRDefault="00D826BE" w:rsidP="00D826BE">
      <w:pPr>
        <w:spacing w:after="0" w:line="480" w:lineRule="auto"/>
      </w:pPr>
      <w:r w:rsidRPr="004D0445">
        <w:rPr>
          <w:vertAlign w:val="superscript"/>
          <w:lang w:val="es-PE"/>
        </w:rPr>
        <w:t>4</w:t>
      </w:r>
      <w:r w:rsidR="000662D8" w:rsidRPr="004D0445">
        <w:rPr>
          <w:lang w:val="es-PE"/>
        </w:rPr>
        <w:t>Centro</w:t>
      </w:r>
      <w:r w:rsidR="000662D8" w:rsidRPr="00286FA0">
        <w:t xml:space="preserve"> de </w:t>
      </w:r>
      <w:r w:rsidR="000662D8" w:rsidRPr="004D0445">
        <w:rPr>
          <w:lang w:val="es-PE"/>
        </w:rPr>
        <w:t>Investigación</w:t>
      </w:r>
      <w:r w:rsidR="000662D8" w:rsidRPr="00286FA0">
        <w:t xml:space="preserve"> de </w:t>
      </w:r>
      <w:r w:rsidR="000662D8" w:rsidRPr="004D0445">
        <w:rPr>
          <w:lang w:val="es-PE"/>
        </w:rPr>
        <w:t>Meteorología</w:t>
      </w:r>
      <w:r w:rsidR="000662D8" w:rsidRPr="00286FA0">
        <w:t xml:space="preserve"> </w:t>
      </w:r>
      <w:r w:rsidR="004D0445" w:rsidRPr="004D0445">
        <w:rPr>
          <w:lang w:val="es-PE"/>
        </w:rPr>
        <w:t>Aeronáutica</w:t>
      </w:r>
      <w:r w:rsidR="000662D8" w:rsidRPr="00286FA0">
        <w:t xml:space="preserve"> (</w:t>
      </w:r>
      <w:r w:rsidR="000662D8">
        <w:rPr>
          <w:lang w:val="pt-BR"/>
        </w:rPr>
        <w:t>CIMA</w:t>
      </w:r>
      <w:r w:rsidR="000662D8" w:rsidRPr="00286FA0">
        <w:t>)</w:t>
      </w:r>
      <w:r w:rsidR="000662D8">
        <w:rPr>
          <w:lang w:val="pt-BR"/>
        </w:rPr>
        <w:t xml:space="preserve">, DGAC, Quito, </w:t>
      </w:r>
      <w:r w:rsidR="000662D8" w:rsidRPr="004D0445">
        <w:rPr>
          <w:lang w:val="es-PE"/>
        </w:rPr>
        <w:t>Ecuador</w:t>
      </w:r>
    </w:p>
    <w:p w:rsidR="00DC24CE" w:rsidRPr="00286FA0" w:rsidRDefault="00DC24CE" w:rsidP="00425EDC">
      <w:pPr>
        <w:spacing w:after="0" w:line="480" w:lineRule="auto"/>
      </w:pPr>
    </w:p>
    <w:p w:rsidR="00DC24CE" w:rsidRDefault="00685DBE">
      <w:pPr>
        <w:spacing w:after="0" w:line="480" w:lineRule="auto"/>
        <w:rPr>
          <w:b/>
          <w:bCs/>
        </w:rPr>
      </w:pPr>
      <w:r>
        <w:rPr>
          <w:b/>
          <w:bCs/>
        </w:rPr>
        <w:t>1. Overview</w:t>
      </w:r>
    </w:p>
    <w:p w:rsidR="00DC24CE" w:rsidRDefault="00685DBE">
      <w:pPr>
        <w:spacing w:after="0" w:line="480" w:lineRule="auto"/>
      </w:pPr>
      <w:r>
        <w:tab/>
        <w:t xml:space="preserve">Originally baptised as MLV due to its first developers (Muñoz-Lomas-Vara), the Another Assimilation System for WRF-Chem (AAS4WRF) is a </w:t>
      </w:r>
      <w:r w:rsidR="00197FDB">
        <w:t>mass</w:t>
      </w:r>
      <w:r w:rsidR="002E1ED1">
        <w:t>-</w:t>
      </w:r>
      <w:r w:rsidR="00197FDB">
        <w:t>conserving</w:t>
      </w:r>
      <w:r>
        <w:t xml:space="preserve"> emissions pre-processor developed by the Latin American Observatory (OLE</w:t>
      </w:r>
      <w:r>
        <w:rPr>
          <w:vertAlign w:val="superscript"/>
        </w:rPr>
        <w:t>2</w:t>
      </w:r>
      <w:r>
        <w:t>; Muñoz et al., 2010, 2012) in 2010. AAS4WRF is appropriate to scale emission rates from both surface and elevated sources in the proper WRF</w:t>
      </w:r>
      <w:r w:rsidR="00416FB1">
        <w:t>-Chem</w:t>
      </w:r>
      <w:r>
        <w:t xml:space="preserve"> data file format, providing the user</w:t>
      </w:r>
      <w:r w:rsidR="00DF4390">
        <w:t>s</w:t>
      </w:r>
      <w:r>
        <w:t xml:space="preserve"> an alternative way to assimilate their emissions to WRF-Chem (Vara-Vela et al., 2016). Since it was successfully tested for the first time for the city of Lima, Peru </w:t>
      </w:r>
      <w:r w:rsidR="00D826BE">
        <w:t>in 2014</w:t>
      </w:r>
      <w:r w:rsidR="00416FB1">
        <w:t xml:space="preserve"> (managed by SENAMHI, the National Meteorological Service of the country)</w:t>
      </w:r>
      <w:r w:rsidR="00D826BE">
        <w:t>, several studies on air</w:t>
      </w:r>
      <w:r w:rsidR="0087462C">
        <w:t xml:space="preserve"> </w:t>
      </w:r>
      <w:r>
        <w:t>quality</w:t>
      </w:r>
      <w:r w:rsidR="00D8620A">
        <w:t xml:space="preserve"> modelling</w:t>
      </w:r>
      <w:r>
        <w:t xml:space="preserve"> have applied this utility to convert their emissions to those required for WRF-Chem (Andrade et al., 2015; Hoshyaripour et al., 2016; Vara-Vela</w:t>
      </w:r>
      <w:r w:rsidR="006B585B">
        <w:t xml:space="preserve"> et al</w:t>
      </w:r>
      <w:r>
        <w:t xml:space="preserve">., 2016). In addition, some university groups and scientists in </w:t>
      </w:r>
      <w:r w:rsidR="00D826BE">
        <w:t xml:space="preserve">Bolivia, </w:t>
      </w:r>
      <w:r>
        <w:lastRenderedPageBreak/>
        <w:t>Peru, Venezuela, Brazil</w:t>
      </w:r>
      <w:r w:rsidR="00D826BE">
        <w:t>, Cuba</w:t>
      </w:r>
      <w:r>
        <w:t xml:space="preserve"> and Colombia have also applied the AAS4WRF in order to conduct their experimental air</w:t>
      </w:r>
      <w:r w:rsidR="0087462C">
        <w:t xml:space="preserve"> </w:t>
      </w:r>
      <w:r>
        <w:t xml:space="preserve">quality </w:t>
      </w:r>
      <w:r w:rsidR="00D826BE">
        <w:t>simulations</w:t>
      </w:r>
      <w:r>
        <w:t xml:space="preserve">. </w:t>
      </w:r>
    </w:p>
    <w:p w:rsidR="0044343A" w:rsidRDefault="0044343A">
      <w:pPr>
        <w:spacing w:after="0" w:line="480" w:lineRule="auto"/>
      </w:pPr>
    </w:p>
    <w:p w:rsidR="00405BFD" w:rsidRDefault="00405BFD" w:rsidP="00405BFD">
      <w:pPr>
        <w:spacing w:after="0" w:line="480" w:lineRule="auto"/>
        <w:rPr>
          <w:b/>
          <w:bCs/>
        </w:rPr>
      </w:pPr>
      <w:r>
        <w:rPr>
          <w:b/>
          <w:bCs/>
        </w:rPr>
        <w:t>2. Structure of input emissions</w:t>
      </w:r>
    </w:p>
    <w:p w:rsidR="00405BFD" w:rsidRDefault="00405BFD" w:rsidP="00405BFD">
      <w:pPr>
        <w:spacing w:after="0" w:line="480" w:lineRule="auto"/>
      </w:pPr>
      <w:r>
        <w:tab/>
      </w:r>
      <w:r w:rsidR="00416FB1">
        <w:t xml:space="preserve">AAS4WRF requires that the user provides </w:t>
      </w:r>
      <w:r w:rsidR="00630146">
        <w:t>a file</w:t>
      </w:r>
      <w:r>
        <w:t xml:space="preserve"> containing the gridded hourly emissions (emissions.txt in this example)</w:t>
      </w:r>
      <w:r w:rsidR="00630146">
        <w:t>. Each line of the file</w:t>
      </w:r>
      <w:r>
        <w:t xml:space="preserve"> is required to have the following format:</w:t>
      </w:r>
    </w:p>
    <w:p w:rsidR="00405BFD" w:rsidRPr="00DB28E6" w:rsidRDefault="00405BFD" w:rsidP="00405BFD">
      <w:pPr>
        <w:spacing w:after="0" w:line="480" w:lineRule="auto"/>
        <w:jc w:val="center"/>
      </w:pPr>
      <w:r w:rsidRPr="00DB28E6">
        <w:t xml:space="preserve">id </w:t>
      </w:r>
      <w:r>
        <w:t xml:space="preserve"> </w:t>
      </w:r>
      <w:r w:rsidRPr="00DB28E6">
        <w:t xml:space="preserve"> l</w:t>
      </w:r>
      <w:r>
        <w:t>ongit</w:t>
      </w:r>
      <w:r w:rsidRPr="00DB28E6">
        <w:t xml:space="preserve">ude </w:t>
      </w:r>
      <w:r>
        <w:t xml:space="preserve"> </w:t>
      </w:r>
      <w:r w:rsidRPr="00DB28E6">
        <w:t xml:space="preserve"> l</w:t>
      </w:r>
      <w:r>
        <w:t>ati</w:t>
      </w:r>
      <w:r w:rsidRPr="00DB28E6">
        <w:t xml:space="preserve">tude </w:t>
      </w:r>
      <w:r>
        <w:t xml:space="preserve"> </w:t>
      </w:r>
      <w:r w:rsidRPr="00DB28E6">
        <w:t xml:space="preserve"> spec</w:t>
      </w:r>
      <w:r>
        <w:t>ie</w:t>
      </w:r>
      <w:r w:rsidR="00D826BE">
        <w:t>s</w:t>
      </w:r>
      <w:r w:rsidRPr="00DB28E6">
        <w:t xml:space="preserve">_1 </w:t>
      </w:r>
      <w:r>
        <w:t xml:space="preserve"> </w:t>
      </w:r>
      <w:r w:rsidRPr="00DB28E6">
        <w:t xml:space="preserve"> spec</w:t>
      </w:r>
      <w:r>
        <w:t>ie</w:t>
      </w:r>
      <w:r w:rsidR="00D826BE">
        <w:t>s</w:t>
      </w:r>
      <w:r w:rsidRPr="00DB28E6">
        <w:t>_2</w:t>
      </w:r>
      <w:r>
        <w:t>…</w:t>
      </w:r>
      <w:r w:rsidRPr="00DB28E6">
        <w:t>spec</w:t>
      </w:r>
      <w:r>
        <w:t>ie</w:t>
      </w:r>
      <w:r w:rsidR="00D826BE">
        <w:t>s</w:t>
      </w:r>
      <w:r w:rsidRPr="00DB28E6">
        <w:t>_</w:t>
      </w:r>
      <w:r>
        <w:t>i   specie</w:t>
      </w:r>
      <w:r w:rsidR="00D826BE">
        <w:t>s</w:t>
      </w:r>
      <w:r>
        <w:t>_(i+1)</w:t>
      </w:r>
      <w:r w:rsidRPr="00DB28E6">
        <w:t>…spec</w:t>
      </w:r>
      <w:r>
        <w:t>ie</w:t>
      </w:r>
      <w:r w:rsidR="00D826BE">
        <w:t>s</w:t>
      </w:r>
      <w:r w:rsidRPr="00DB28E6">
        <w:t>_</w:t>
      </w:r>
      <w:r>
        <w:t>36</w:t>
      </w:r>
    </w:p>
    <w:p w:rsidR="00405BFD" w:rsidRDefault="00412269" w:rsidP="00405BFD">
      <w:pPr>
        <w:spacing w:after="0" w:line="480" w:lineRule="auto"/>
      </w:pPr>
      <w:r>
        <w:t>w</w:t>
      </w:r>
      <w:r w:rsidR="00405BFD">
        <w:t>here:</w:t>
      </w:r>
    </w:p>
    <w:p w:rsidR="00405BFD" w:rsidRDefault="00405BFD" w:rsidP="00405BFD">
      <w:pPr>
        <w:pStyle w:val="PargrafodaLista"/>
        <w:numPr>
          <w:ilvl w:val="0"/>
          <w:numId w:val="6"/>
        </w:numPr>
        <w:spacing w:after="0" w:line="480" w:lineRule="auto"/>
      </w:pPr>
      <w:r>
        <w:t>id: grid point ID</w:t>
      </w:r>
    </w:p>
    <w:p w:rsidR="00405BFD" w:rsidRDefault="00405BFD" w:rsidP="00405BFD">
      <w:pPr>
        <w:pStyle w:val="PargrafodaLista"/>
        <w:numPr>
          <w:ilvl w:val="0"/>
          <w:numId w:val="6"/>
        </w:numPr>
        <w:spacing w:after="0" w:line="480" w:lineRule="auto"/>
      </w:pPr>
      <w:r>
        <w:t>latitude</w:t>
      </w:r>
      <w:r>
        <w:tab/>
        <w:t>: grid point latitude</w:t>
      </w:r>
    </w:p>
    <w:p w:rsidR="00405BFD" w:rsidRDefault="00405BFD" w:rsidP="00405BFD">
      <w:pPr>
        <w:pStyle w:val="PargrafodaLista"/>
        <w:numPr>
          <w:ilvl w:val="0"/>
          <w:numId w:val="6"/>
        </w:numPr>
        <w:spacing w:after="0" w:line="480" w:lineRule="auto"/>
      </w:pPr>
      <w:r>
        <w:t>longitude: grid point longitude</w:t>
      </w:r>
    </w:p>
    <w:p w:rsidR="00405BFD" w:rsidRDefault="00405BFD" w:rsidP="00405BFD">
      <w:pPr>
        <w:pStyle w:val="PargrafodaLista"/>
        <w:numPr>
          <w:ilvl w:val="0"/>
          <w:numId w:val="6"/>
        </w:numPr>
        <w:spacing w:after="0" w:line="480" w:lineRule="auto"/>
      </w:pPr>
      <w:r>
        <w:t>specie</w:t>
      </w:r>
      <w:r w:rsidR="00D826BE">
        <w:t>s</w:t>
      </w:r>
      <w:r>
        <w:t>_i: ith-specie</w:t>
      </w:r>
      <w:r w:rsidR="00D826BE">
        <w:t>s</w:t>
      </w:r>
      <w:r>
        <w:t>; 36 specifies the number of species in CBMZ-MOSAIC (remember to use the right units: mol km</w:t>
      </w:r>
      <w:r w:rsidRPr="00690140">
        <w:rPr>
          <w:vertAlign w:val="superscript"/>
        </w:rPr>
        <w:t>-2</w:t>
      </w:r>
      <w:r>
        <w:t xml:space="preserve"> hr</w:t>
      </w:r>
      <w:r w:rsidRPr="00690140">
        <w:rPr>
          <w:vertAlign w:val="superscript"/>
        </w:rPr>
        <w:t>-1</w:t>
      </w:r>
      <w:r>
        <w:t xml:space="preserve"> for gases and µg m</w:t>
      </w:r>
      <w:r>
        <w:rPr>
          <w:vertAlign w:val="superscript"/>
        </w:rPr>
        <w:t>-3</w:t>
      </w:r>
      <w:r>
        <w:t xml:space="preserve"> m s</w:t>
      </w:r>
      <w:r w:rsidRPr="00690140">
        <w:rPr>
          <w:vertAlign w:val="superscript"/>
        </w:rPr>
        <w:t>-1</w:t>
      </w:r>
      <w:r>
        <w:t xml:space="preserve"> for aerosols). Complete with columns of “0” if data is not available.</w:t>
      </w:r>
    </w:p>
    <w:p w:rsidR="00405BFD" w:rsidRDefault="00405BFD" w:rsidP="00405BFD">
      <w:pPr>
        <w:spacing w:after="0" w:line="480" w:lineRule="auto"/>
      </w:pPr>
      <w:r>
        <w:tab/>
        <w:t xml:space="preserve">There are </w:t>
      </w:r>
      <w:r w:rsidR="008457DA" w:rsidRPr="00EC013F">
        <w:t>nx×ny×nt</w:t>
      </w:r>
      <w:r>
        <w:t xml:space="preserve"> lines in </w:t>
      </w:r>
      <w:r w:rsidR="00D826BE">
        <w:t xml:space="preserve">the file </w:t>
      </w:r>
      <w:r>
        <w:t xml:space="preserve">emissions.txt, arranged in blocks of time (each with length of </w:t>
      </w:r>
      <w:r w:rsidR="008457DA" w:rsidRPr="00EC013F">
        <w:t>nx×ny</w:t>
      </w:r>
      <w:r>
        <w:t xml:space="preserve">) as follows: </w:t>
      </w:r>
      <w:r w:rsidR="005F4943">
        <w:t>l</w:t>
      </w:r>
      <w:r>
        <w:t xml:space="preserve">ongitude and latitude are periodic 1D strictly monotonically increasing and decreasing arrays, respectively, that have their components equally spaced at </w:t>
      </w:r>
      <w:r w:rsidR="008457DA" w:rsidRPr="00DD1352">
        <w:t>dx</w:t>
      </w:r>
      <w:r>
        <w:t xml:space="preserve"> (same horizontal resolution as the WRF grid). As geo-referenced data, we recommend to use any kind of GIS software to build their emission files (e.g., the emission file emissions.txt used in this example was built using Quantum GIS).</w:t>
      </w:r>
    </w:p>
    <w:p w:rsidR="00DC24CE" w:rsidRDefault="00DC24CE">
      <w:pPr>
        <w:spacing w:after="0" w:line="480" w:lineRule="auto"/>
      </w:pPr>
    </w:p>
    <w:p w:rsidR="00DC24CE" w:rsidRDefault="00405BFD">
      <w:pPr>
        <w:spacing w:after="0" w:line="480" w:lineRule="auto"/>
        <w:rPr>
          <w:b/>
          <w:bCs/>
        </w:rPr>
      </w:pPr>
      <w:r>
        <w:rPr>
          <w:b/>
          <w:bCs/>
        </w:rPr>
        <w:t>3</w:t>
      </w:r>
      <w:r w:rsidR="00685DBE">
        <w:rPr>
          <w:b/>
          <w:bCs/>
        </w:rPr>
        <w:t>. Us</w:t>
      </w:r>
      <w:r w:rsidR="00A42B95">
        <w:rPr>
          <w:b/>
          <w:bCs/>
        </w:rPr>
        <w:t>age</w:t>
      </w:r>
    </w:p>
    <w:p w:rsidR="00DC24CE" w:rsidRDefault="00685DBE">
      <w:pPr>
        <w:spacing w:after="0" w:line="480" w:lineRule="auto"/>
      </w:pPr>
      <w:r>
        <w:lastRenderedPageBreak/>
        <w:tab/>
        <w:t xml:space="preserve">The AAS4WRF is a code written entirely in </w:t>
      </w:r>
      <w:r w:rsidR="00D826BE">
        <w:t>the NCAR Command Language (</w:t>
      </w:r>
      <w:r>
        <w:t>NCL</w:t>
      </w:r>
      <w:r w:rsidR="00D826BE">
        <w:t>, 2017)</w:t>
      </w:r>
      <w:r>
        <w:t>, then the user</w:t>
      </w:r>
      <w:r w:rsidR="00351AB6">
        <w:t>s</w:t>
      </w:r>
      <w:r>
        <w:t xml:space="preserve"> only need to correctly build both NCL and NCAR Graphics</w:t>
      </w:r>
      <w:r w:rsidR="00D826BE">
        <w:t>, or install the available binaries for their platform</w:t>
      </w:r>
      <w:r>
        <w:t>. Prior to run AAS4W</w:t>
      </w:r>
      <w:r w:rsidR="00C3055F">
        <w:t>RF, the user must set up a</w:t>
      </w:r>
      <w:r>
        <w:t xml:space="preserve"> namelist file called “namelist.emiss”. The workflow for using AAS4WRF </w:t>
      </w:r>
      <w:r w:rsidR="00AA0482">
        <w:t xml:space="preserve">is </w:t>
      </w:r>
      <w:r>
        <w:t>listed below.</w:t>
      </w:r>
    </w:p>
    <w:p w:rsidR="00DC24CE" w:rsidRDefault="00685DBE">
      <w:pPr>
        <w:numPr>
          <w:ilvl w:val="0"/>
          <w:numId w:val="1"/>
        </w:numPr>
        <w:spacing w:after="0" w:line="480" w:lineRule="auto"/>
      </w:pPr>
      <w:r>
        <w:t>Run GEOGRID, UNGRIB, METGRID, and REAL normally as a standard WRF-Chem simulation.</w:t>
      </w:r>
    </w:p>
    <w:p w:rsidR="0006037E" w:rsidRDefault="00F27510" w:rsidP="0006037E">
      <w:pPr>
        <w:numPr>
          <w:ilvl w:val="0"/>
          <w:numId w:val="1"/>
        </w:numPr>
        <w:spacing w:after="0" w:line="480" w:lineRule="auto"/>
      </w:pPr>
      <w:r>
        <w:t>E</w:t>
      </w:r>
      <w:r w:rsidR="002F53DD">
        <w:t>nter</w:t>
      </w:r>
      <w:r>
        <w:t xml:space="preserve"> the</w:t>
      </w:r>
      <w:r w:rsidR="00685DBE">
        <w:t xml:space="preserve"> following information</w:t>
      </w:r>
      <w:r w:rsidR="00812AE2">
        <w:t xml:space="preserve"> into the namelist.emiss</w:t>
      </w:r>
      <w:r w:rsidR="00685DBE">
        <w:t xml:space="preserve">: </w:t>
      </w:r>
    </w:p>
    <w:tbl>
      <w:tblPr>
        <w:tblW w:w="700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2085"/>
        <w:gridCol w:w="4924"/>
      </w:tblGrid>
      <w:tr w:rsidR="00AB028A" w:rsidTr="006B6673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 w:rsidRP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Variable Names</w:t>
            </w:r>
          </w:p>
        </w:tc>
        <w:tc>
          <w:tcPr>
            <w:tcW w:w="4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&amp;input_files</w:t>
            </w:r>
          </w:p>
        </w:tc>
        <w:tc>
          <w:tcPr>
            <w:tcW w:w="49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wrf_dir</w:t>
            </w:r>
          </w:p>
        </w:tc>
        <w:tc>
          <w:tcPr>
            <w:tcW w:w="4924" w:type="dxa"/>
            <w:tcBorders>
              <w:top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6B6673" w:rsidRDefault="006B6673" w:rsidP="00B62E85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</w:t>
            </w:r>
            <w:r w:rsidRPr="006B667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tring;</w:t>
            </w:r>
            <w:r w:rsidR="001F11B9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B62E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full path and name of wrfinput_d01 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emiss_dir</w:t>
            </w:r>
          </w:p>
        </w:tc>
        <w:tc>
          <w:tcPr>
            <w:tcW w:w="4924" w:type="dxa"/>
            <w:tcBorders>
              <w:top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6B6673" w:rsidRDefault="006B6673" w:rsidP="00B62E85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</w:t>
            </w:r>
            <w:r w:rsidRPr="006B667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tring;</w:t>
            </w:r>
            <w:r w:rsidR="00B62E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full path and name of emissions.txt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&amp;grid_points</w:t>
            </w:r>
          </w:p>
        </w:tc>
        <w:tc>
          <w:tcPr>
            <w:tcW w:w="49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nx</w:t>
            </w:r>
          </w:p>
        </w:tc>
        <w:tc>
          <w:tcPr>
            <w:tcW w:w="4924" w:type="dxa"/>
            <w:tcBorders>
              <w:top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n</w:t>
            </w:r>
            <w:r w:rsidR="00AB028A" w:rsidRP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umber 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of longitude points in emissions.txt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ny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n</w:t>
            </w:r>
            <w:r w:rsidR="00AB028A" w:rsidRP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umber 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of latitude points in emissions.txt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AB028A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nt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n</w:t>
            </w:r>
            <w:r w:rsidR="00AB028A" w:rsidRP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umber 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of time points in emissions.txt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7D0D52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hemi</w:t>
            </w:r>
          </w:p>
        </w:tc>
        <w:tc>
          <w:tcPr>
            <w:tcW w:w="4924" w:type="dxa"/>
            <w:tcBorders>
              <w:top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7D0D52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integer; </w:t>
            </w:r>
            <w:r w:rsidR="007D0D5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hemisphere: NH→1; SH→-1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&amp;time_control</w:t>
            </w:r>
          </w:p>
        </w:tc>
        <w:tc>
          <w:tcPr>
            <w:tcW w:w="49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AB028A" w:rsidP="00912CD0">
            <w:pPr>
              <w:pStyle w:val="Normal1"/>
              <w:jc w:val="both"/>
              <w:rPr>
                <w:lang w:val="en-GB"/>
              </w:rPr>
            </w:pP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C3055F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4924" w:type="dxa"/>
            <w:tcBorders>
              <w:top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s</w:t>
            </w:r>
            <w:r w:rsidR="00AB028A" w:rsidRP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tart year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C3055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s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tart month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C3055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s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tart day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C3055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nd year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C3055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nd month</w:t>
            </w:r>
          </w:p>
        </w:tc>
      </w:tr>
      <w:tr w:rsidR="00AB028A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Default="00C3055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4924" w:type="dxa"/>
            <w:tcBorders>
              <w:top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028A" w:rsidRPr="00AB028A" w:rsidRDefault="006B6673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e</w:t>
            </w:r>
            <w:r w:rsidR="00AB028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nd day</w:t>
            </w:r>
          </w:p>
        </w:tc>
      </w:tr>
      <w:tr w:rsidR="00797B8A" w:rsidTr="00E20C11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7B8A" w:rsidRDefault="00797B8A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&amp;species_control</w:t>
            </w:r>
          </w:p>
        </w:tc>
        <w:tc>
          <w:tcPr>
            <w:tcW w:w="4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7B8A" w:rsidRDefault="00797B8A" w:rsidP="006B667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7B8A" w:rsidTr="00E20C11">
        <w:trPr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7B8A" w:rsidRDefault="00797B8A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so2</w:t>
            </w:r>
          </w:p>
        </w:tc>
        <w:tc>
          <w:tcPr>
            <w:tcW w:w="4924" w:type="dxa"/>
            <w:tcBorders>
              <w:top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7B8A" w:rsidRPr="00AB028A" w:rsidRDefault="00797B8A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column number for so2</w:t>
            </w:r>
          </w:p>
        </w:tc>
      </w:tr>
      <w:tr w:rsidR="005707FF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5707FF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Pr="00AB028A" w:rsidRDefault="005707FF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column number for i</w:t>
            </w:r>
          </w:p>
        </w:tc>
      </w:tr>
      <w:tr w:rsidR="005707FF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</w:t>
            </w:r>
          </w:p>
        </w:tc>
        <w:tc>
          <w:tcPr>
            <w:tcW w:w="4924" w:type="dxa"/>
            <w:tcBorders>
              <w:top w:val="nil"/>
              <w:bottom w:val="nil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5707FF" w:rsidTr="00E20C11">
        <w:trPr>
          <w:jc w:val="center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Default="005707FF" w:rsidP="00912CD0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ecc</w:t>
            </w:r>
          </w:p>
        </w:tc>
        <w:tc>
          <w:tcPr>
            <w:tcW w:w="4924" w:type="dxa"/>
            <w:tcBorders>
              <w:top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707FF" w:rsidRPr="00AB028A" w:rsidRDefault="005707FF" w:rsidP="00912CD0">
            <w:pPr>
              <w:pStyle w:val="Normal1"/>
              <w:jc w:val="both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integer; column number for ecc</w:t>
            </w:r>
          </w:p>
        </w:tc>
      </w:tr>
    </w:tbl>
    <w:p w:rsidR="000D3D22" w:rsidRDefault="000D3D22" w:rsidP="000D3D22">
      <w:pPr>
        <w:pStyle w:val="PargrafodaLista"/>
        <w:spacing w:after="0" w:line="480" w:lineRule="auto"/>
      </w:pPr>
    </w:p>
    <w:p w:rsidR="00B9178A" w:rsidRDefault="00CD36E8" w:rsidP="00CD36E8">
      <w:pPr>
        <w:pStyle w:val="PargrafodaLista"/>
        <w:numPr>
          <w:ilvl w:val="0"/>
          <w:numId w:val="1"/>
        </w:numPr>
        <w:spacing w:after="0" w:line="480" w:lineRule="auto"/>
      </w:pPr>
      <w:r>
        <w:t xml:space="preserve">Run AAS4WRF by typing: </w:t>
      </w:r>
    </w:p>
    <w:p w:rsidR="0006037E" w:rsidRPr="00EC013F" w:rsidRDefault="00B9178A">
      <w:pPr>
        <w:spacing w:after="0" w:line="480" w:lineRule="auto"/>
        <w:ind w:left="360"/>
      </w:pPr>
      <w:r w:rsidRPr="00EC013F">
        <w:lastRenderedPageBreak/>
        <w:t xml:space="preserve">$ </w:t>
      </w:r>
      <w:r w:rsidR="008457DA" w:rsidRPr="00EC013F">
        <w:t>ncl AAS4WRF.ncl</w:t>
      </w:r>
    </w:p>
    <w:p w:rsidR="00CD36E8" w:rsidRDefault="00CD36E8" w:rsidP="006B4363">
      <w:pPr>
        <w:pStyle w:val="PargrafodaLista"/>
        <w:numPr>
          <w:ilvl w:val="0"/>
          <w:numId w:val="5"/>
        </w:numPr>
        <w:spacing w:after="0" w:line="480" w:lineRule="auto"/>
      </w:pPr>
      <w:r>
        <w:t>Input files: emissions.txt, wrfinput_d01</w:t>
      </w:r>
      <w:r w:rsidR="00416FB1">
        <w:t xml:space="preserve"> and</w:t>
      </w:r>
      <w:r w:rsidR="00416FB1" w:rsidRPr="00416FB1">
        <w:t xml:space="preserve"> </w:t>
      </w:r>
      <w:r w:rsidR="00416FB1">
        <w:t>namelist.emiss</w:t>
      </w:r>
    </w:p>
    <w:p w:rsidR="002B4376" w:rsidRDefault="00CD36E8" w:rsidP="006B4363">
      <w:pPr>
        <w:pStyle w:val="PargrafodaLista"/>
        <w:numPr>
          <w:ilvl w:val="0"/>
          <w:numId w:val="5"/>
        </w:numPr>
        <w:spacing w:after="0" w:line="480" w:lineRule="auto"/>
      </w:pPr>
      <w:r>
        <w:t>Output files:</w:t>
      </w:r>
      <w:r w:rsidR="00B9178A">
        <w:t xml:space="preserve"> two different output files can be produced, depending on the choice for io_style_emisisons:</w:t>
      </w:r>
    </w:p>
    <w:p w:rsidR="00966A5E" w:rsidRDefault="008457DA" w:rsidP="0052564C">
      <w:pPr>
        <w:spacing w:after="0" w:line="480" w:lineRule="auto"/>
        <w:ind w:left="720" w:firstLine="720"/>
      </w:pPr>
      <w:r w:rsidRPr="00EC013F">
        <w:t>wrfchemi_00z_d01 and wrfchemi_12z_d01</w:t>
      </w:r>
      <w:r w:rsidR="00926FE4">
        <w:t xml:space="preserve"> </w:t>
      </w:r>
      <w:r w:rsidR="00E24021">
        <w:t xml:space="preserve">for </w:t>
      </w:r>
      <w:r w:rsidR="007D1502" w:rsidRPr="00811F5B">
        <w:rPr>
          <w:b/>
        </w:rPr>
        <w:t>io_style_emissions=1</w:t>
      </w:r>
    </w:p>
    <w:p w:rsidR="00B9178A" w:rsidRDefault="007A6AC4" w:rsidP="00B9178A">
      <w:pPr>
        <w:spacing w:after="0" w:line="480" w:lineRule="auto"/>
        <w:ind w:left="1440"/>
      </w:pPr>
      <w:r>
        <w:t xml:space="preserve">Set </w:t>
      </w:r>
      <w:r w:rsidR="008457DA" w:rsidRPr="00EC013F">
        <w:t>nt</w:t>
      </w:r>
      <w:r>
        <w:t xml:space="preserve"> to 24 in namelist.emiss</w:t>
      </w:r>
      <w:r w:rsidR="00B9178A">
        <w:t>,</w:t>
      </w:r>
      <w:r>
        <w:t xml:space="preserve"> and run AAS4WRF (although the file emissions</w:t>
      </w:r>
      <w:r w:rsidR="00B9178A">
        <w:t>.txt</w:t>
      </w:r>
      <w:r>
        <w:t xml:space="preserve"> has more than 24 times, the code will only read the first </w:t>
      </w:r>
      <w:r w:rsidR="008457DA" w:rsidRPr="00EC013F">
        <w:t>nx×ny</w:t>
      </w:r>
      <w:r w:rsidR="001D1E1B" w:rsidRPr="00EC013F">
        <w:t>×24</w:t>
      </w:r>
      <w:r w:rsidR="008457DA" w:rsidRPr="00EC013F">
        <w:t xml:space="preserve"> </w:t>
      </w:r>
      <w:r>
        <w:t>lines)</w:t>
      </w:r>
      <w:r w:rsidR="00B9178A">
        <w:t xml:space="preserve">. We recommend the user </w:t>
      </w:r>
      <w:r w:rsidR="00B9178A" w:rsidRPr="00DA6444">
        <w:rPr>
          <w:lang w:val="en-GB"/>
        </w:rPr>
        <w:t>visuali</w:t>
      </w:r>
      <w:r w:rsidR="00892EE7" w:rsidRPr="00DA6444">
        <w:rPr>
          <w:lang w:val="en-GB"/>
        </w:rPr>
        <w:t>s</w:t>
      </w:r>
      <w:r w:rsidR="00B9178A" w:rsidRPr="00DA6444">
        <w:rPr>
          <w:lang w:val="en-GB"/>
        </w:rPr>
        <w:t>e</w:t>
      </w:r>
      <w:r w:rsidR="00B9178A">
        <w:t xml:space="preserve"> the content of the output files to check that everything is working properly up to this point: </w:t>
      </w:r>
    </w:p>
    <w:p w:rsidR="00926FE4" w:rsidRDefault="008457DA">
      <w:pPr>
        <w:spacing w:after="0" w:line="480" w:lineRule="auto"/>
      </w:pPr>
      <w:r w:rsidRPr="008457DA">
        <w:rPr>
          <w:rFonts w:ascii="American Typewriter" w:hAnsi="American Typewriter"/>
        </w:rPr>
        <w:tab/>
      </w:r>
      <w:r w:rsidR="00B9178A">
        <w:rPr>
          <w:rFonts w:ascii="American Typewriter" w:hAnsi="American Typewriter"/>
        </w:rPr>
        <w:tab/>
      </w:r>
      <w:r w:rsidRPr="00EC013F">
        <w:t>$ ncview wrfchemi_00z_d01 wrfchemi_12z_d01</w:t>
      </w:r>
    </w:p>
    <w:p w:rsidR="003D4058" w:rsidRPr="00EC013F" w:rsidRDefault="00B501C5">
      <w:pPr>
        <w:spacing w:after="0" w:line="480" w:lineRule="auto"/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368935</wp:posOffset>
            </wp:positionV>
            <wp:extent cx="5943600" cy="3857625"/>
            <wp:effectExtent l="19050" t="0" r="0" b="0"/>
            <wp:wrapSquare wrapText="bothSides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FE4" w:rsidRDefault="00926FE4" w:rsidP="006B4363">
      <w:pPr>
        <w:spacing w:after="0" w:line="480" w:lineRule="auto"/>
        <w:jc w:val="center"/>
      </w:pPr>
    </w:p>
    <w:p w:rsidR="006F7EFC" w:rsidRDefault="00E136D7" w:rsidP="00E136D7">
      <w:pPr>
        <w:spacing w:after="0" w:line="480" w:lineRule="auto"/>
        <w:jc w:val="center"/>
      </w:pPr>
      <w:r>
        <w:lastRenderedPageBreak/>
        <w:t>Fig. 1.</w:t>
      </w:r>
      <w:r w:rsidR="001B155C">
        <w:t xml:space="preserve"> </w:t>
      </w:r>
      <w:r w:rsidR="009A6B36">
        <w:t>H</w:t>
      </w:r>
      <w:r w:rsidR="001B155C">
        <w:t>ourly</w:t>
      </w:r>
      <w:r w:rsidR="009A6B36">
        <w:t xml:space="preserve"> CO</w:t>
      </w:r>
      <w:r w:rsidR="001B155C">
        <w:t xml:space="preserve"> emissions from 00 to 23 UTC</w:t>
      </w:r>
      <w:r w:rsidR="009A6B36">
        <w:t xml:space="preserve"> (io_style_emissions=1)</w:t>
      </w:r>
      <w:r w:rsidR="007E2C83">
        <w:t xml:space="preserve"> for the city of Sao Paulo</w:t>
      </w:r>
      <w:r w:rsidR="001270AB">
        <w:t>, Brazil</w:t>
      </w:r>
      <w:r w:rsidR="001B155C">
        <w:t>.</w:t>
      </w:r>
    </w:p>
    <w:p w:rsidR="00B501C5" w:rsidRDefault="00B501C5" w:rsidP="00E136D7">
      <w:pPr>
        <w:spacing w:after="0" w:line="480" w:lineRule="auto"/>
        <w:jc w:val="center"/>
      </w:pPr>
    </w:p>
    <w:p w:rsidR="00926FE4" w:rsidRDefault="006F7EFC" w:rsidP="00926FE4">
      <w:pPr>
        <w:spacing w:after="0" w:line="480" w:lineRule="auto"/>
      </w:pPr>
      <w:r>
        <w:tab/>
      </w:r>
      <w:r w:rsidR="00926FE4">
        <w:tab/>
        <w:t xml:space="preserve">Or </w:t>
      </w:r>
    </w:p>
    <w:p w:rsidR="002B4376" w:rsidRDefault="002B4376" w:rsidP="00926FE4">
      <w:pPr>
        <w:spacing w:after="0" w:line="480" w:lineRule="auto"/>
      </w:pPr>
      <w:r>
        <w:tab/>
      </w:r>
      <w:r w:rsidR="006B4363">
        <w:tab/>
      </w:r>
      <w:r w:rsidR="008457DA" w:rsidRPr="00EC013F">
        <w:t>wrfchemi_d01_&lt;date</w:t>
      </w:r>
      <w:r w:rsidR="00F6010A" w:rsidRPr="00EC013F">
        <w:t>/time</w:t>
      </w:r>
      <w:r w:rsidR="008457DA" w:rsidRPr="00EC013F">
        <w:t>&gt;</w:t>
      </w:r>
      <w:r w:rsidR="001D253D">
        <w:t xml:space="preserve"> </w:t>
      </w:r>
      <w:r w:rsidR="00E24021">
        <w:t xml:space="preserve">for </w:t>
      </w:r>
      <w:r w:rsidR="007D1502" w:rsidRPr="00811F5B">
        <w:rPr>
          <w:b/>
        </w:rPr>
        <w:t>io_style_emissions=2</w:t>
      </w:r>
    </w:p>
    <w:p w:rsidR="00B9178A" w:rsidRDefault="007A6AC4" w:rsidP="00B9178A">
      <w:pPr>
        <w:spacing w:after="0" w:line="480" w:lineRule="auto"/>
        <w:ind w:left="1440"/>
      </w:pPr>
      <w:r>
        <w:t xml:space="preserve">Set </w:t>
      </w:r>
      <w:r w:rsidR="008457DA" w:rsidRPr="00EC013F">
        <w:t>nt</w:t>
      </w:r>
      <w:r>
        <w:t xml:space="preserve"> to </w:t>
      </w:r>
      <w:r w:rsidR="007B40EE">
        <w:t>168</w:t>
      </w:r>
      <w:r>
        <w:t xml:space="preserve"> (</w:t>
      </w:r>
      <w:r w:rsidR="007470F5">
        <w:t xml:space="preserve">maximum number of times in </w:t>
      </w:r>
      <w:r w:rsidR="00DA6444">
        <w:t>this example</w:t>
      </w:r>
      <w:r>
        <w:t>) and run AAS4WRF</w:t>
      </w:r>
      <w:r w:rsidR="000574FD">
        <w:t xml:space="preserve">. </w:t>
      </w:r>
      <w:r w:rsidR="00B337B4">
        <w:t>If a shorter period is desired, make sure the number of days in the section &amp;time_control is fixed accordingly. This version of AAS4WRF only works with entire days (no fractional days are managed by this program at the moment).</w:t>
      </w:r>
      <w:r w:rsidR="00DB629F">
        <w:t xml:space="preserve"> </w:t>
      </w:r>
    </w:p>
    <w:p w:rsidR="002C6E8A" w:rsidRDefault="002C6E8A" w:rsidP="00B9178A">
      <w:pPr>
        <w:spacing w:after="0" w:line="480" w:lineRule="auto"/>
      </w:pPr>
      <w:r>
        <w:tab/>
      </w:r>
      <w:r w:rsidR="00B9178A">
        <w:tab/>
      </w:r>
      <w:r w:rsidR="008457DA" w:rsidRPr="00EC013F">
        <w:t>$ ncview wrfchemi_d01_&lt;date</w:t>
      </w:r>
      <w:r w:rsidR="00EC013F">
        <w:t>/time</w:t>
      </w:r>
      <w:r w:rsidR="008457DA" w:rsidRPr="00EC013F">
        <w:t>&gt;</w:t>
      </w:r>
    </w:p>
    <w:p w:rsidR="00BD0CE1" w:rsidRDefault="00B501C5" w:rsidP="00B9178A">
      <w:pPr>
        <w:spacing w:after="0" w:line="480" w:lineRule="auto"/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371475</wp:posOffset>
            </wp:positionV>
            <wp:extent cx="5934075" cy="3867150"/>
            <wp:effectExtent l="19050" t="0" r="9525" b="0"/>
            <wp:wrapSquare wrapText="bothSides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4058" w:rsidRDefault="003D4058" w:rsidP="00B9178A">
      <w:pPr>
        <w:spacing w:after="0" w:line="480" w:lineRule="auto"/>
      </w:pPr>
    </w:p>
    <w:p w:rsidR="000D7EB0" w:rsidRDefault="000D7EB0" w:rsidP="000D7EB0">
      <w:pPr>
        <w:spacing w:after="0" w:line="480" w:lineRule="auto"/>
        <w:jc w:val="center"/>
      </w:pPr>
      <w:r>
        <w:lastRenderedPageBreak/>
        <w:t>Fig. 2. Daily varying CO emissions (io_style_emissions=2) for the city of Sao Paulo, Brazil.</w:t>
      </w:r>
    </w:p>
    <w:p w:rsidR="00F836DA" w:rsidRDefault="00F836DA">
      <w:pPr>
        <w:spacing w:after="0" w:line="480" w:lineRule="auto"/>
      </w:pPr>
    </w:p>
    <w:p w:rsidR="00DC24CE" w:rsidRDefault="00685DBE">
      <w:pPr>
        <w:spacing w:after="0" w:line="480" w:lineRule="auto"/>
        <w:rPr>
          <w:b/>
          <w:bCs/>
        </w:rPr>
      </w:pPr>
      <w:r>
        <w:rPr>
          <w:b/>
          <w:bCs/>
        </w:rPr>
        <w:t>4. References</w:t>
      </w:r>
    </w:p>
    <w:p w:rsidR="00DC24CE" w:rsidRDefault="00685DBE">
      <w:pPr>
        <w:spacing w:line="480" w:lineRule="auto"/>
        <w:rPr>
          <w:lang w:val="en-GB"/>
        </w:rPr>
      </w:pPr>
      <w:r>
        <w:rPr>
          <w:lang w:val="en-GB"/>
        </w:rPr>
        <w:t>Andrade, M. F., Ynoue, R. Y., Freitas, E. D., Todesco, E., Vara-Vela, A., Ibarra, S., Martins, L. D., Martins, J. A., and Carvalho, V. S. B.: Air quality forecasting system for southeastern Brazil, Frontiers in Environmental Science, 3, 1-14, 2015.</w:t>
      </w:r>
    </w:p>
    <w:p w:rsidR="00DC24CE" w:rsidRDefault="00685DBE">
      <w:pPr>
        <w:spacing w:line="480" w:lineRule="auto"/>
        <w:rPr>
          <w:lang w:val="en-GB"/>
        </w:rPr>
      </w:pPr>
      <w:r>
        <w:rPr>
          <w:lang w:val="en-GB"/>
        </w:rPr>
        <w:t xml:space="preserve">Hoshyaripour, G., Brasseur, G., Andrade, </w:t>
      </w:r>
      <w:r w:rsidR="003216FF">
        <w:rPr>
          <w:lang w:val="en-GB"/>
        </w:rPr>
        <w:t xml:space="preserve">M. </w:t>
      </w:r>
      <w:r>
        <w:rPr>
          <w:lang w:val="en-GB"/>
        </w:rPr>
        <w:t>F., Gavidia-Calderon, M., Bouarar, I., and Ynoue, R. Y.: Prediction of ground-level ozone concentration in Sao Paulo, Brazil: Deterministic versus statistic models, Atmospheric Environment, 145, 365-375, 2016.</w:t>
      </w:r>
    </w:p>
    <w:p w:rsidR="00DC24CE" w:rsidRDefault="00685DBE">
      <w:pPr>
        <w:spacing w:line="480" w:lineRule="auto"/>
        <w:rPr>
          <w:lang w:val="en-GB"/>
        </w:rPr>
      </w:pPr>
      <w:r>
        <w:rPr>
          <w:lang w:val="en-GB"/>
        </w:rPr>
        <w:t>Muñoz, A. G., López, P., Velásquez, R., Monterrey, L., León, G., Ruiz, F., Recalde, C., Cadena, J., Mejía, R., Paredes, M., Bazo, J., Reyes, C., Carrasco, G., Castellón, Y., Villarroel, C., Quintana, J., and Urdaneta, A.: An Environmental Watch System for the Andean Countries: El Observatorio Andino, Bull. Amer. Meteor. Soc., 91, 1645-1652, 2010.</w:t>
      </w:r>
    </w:p>
    <w:p w:rsidR="00DC24CE" w:rsidRDefault="00685DBE">
      <w:pPr>
        <w:spacing w:line="480" w:lineRule="auto"/>
        <w:rPr>
          <w:lang w:val="en-GB"/>
        </w:rPr>
      </w:pPr>
      <w:r>
        <w:rPr>
          <w:lang w:val="en-GB"/>
        </w:rPr>
        <w:t xml:space="preserve">Muñoz, A. G., Ruiz-Carrascal, D., Ramírez, P., León, G., Quintana, J., Bonilla, A., Torres, W., Pastén, M., and Sánchez, O.: Risk Management at the Latin American Observatory, in: Risk Management-Current Issues and Challenges, InTech Publications, doi:10.5772/50788, 533-556, 2012. </w:t>
      </w:r>
    </w:p>
    <w:p w:rsidR="00D826BE" w:rsidRDefault="00D826BE">
      <w:pPr>
        <w:spacing w:line="480" w:lineRule="auto"/>
        <w:rPr>
          <w:lang w:val="en-GB"/>
        </w:rPr>
      </w:pPr>
      <w:r>
        <w:rPr>
          <w:lang w:val="en-GB"/>
        </w:rPr>
        <w:t xml:space="preserve">NCAR Command Language (version 6.4.0) [Software]. </w:t>
      </w:r>
      <w:r w:rsidRPr="00286FA0">
        <w:t>Boulder</w:t>
      </w:r>
      <w:r w:rsidRPr="004D0445">
        <w:rPr>
          <w:lang w:val="pt-BR"/>
        </w:rPr>
        <w:t xml:space="preserve">, Colorado: UCAR/NCAR/CISL/TDD </w:t>
      </w:r>
      <w:hyperlink r:id="rId7" w:history="1">
        <w:r w:rsidRPr="00286FA0">
          <w:rPr>
            <w:rStyle w:val="Hyperlink"/>
            <w:lang w:val="en-GB"/>
          </w:rPr>
          <w:t>http://dx.doi.org/10.5065/D6WD3XH5</w:t>
        </w:r>
      </w:hyperlink>
      <w:r w:rsidRPr="004D0445">
        <w:rPr>
          <w:lang w:val="pt-BR"/>
        </w:rPr>
        <w:t xml:space="preserve">. </w:t>
      </w:r>
      <w:r>
        <w:rPr>
          <w:lang w:val="en-GB"/>
        </w:rPr>
        <w:t>2017</w:t>
      </w:r>
    </w:p>
    <w:p w:rsidR="003D4058" w:rsidRDefault="00685DBE">
      <w:pPr>
        <w:spacing w:line="480" w:lineRule="auto"/>
        <w:rPr>
          <w:lang w:val="en-GB"/>
        </w:rPr>
      </w:pPr>
      <w:r>
        <w:rPr>
          <w:lang w:val="en-GB"/>
        </w:rPr>
        <w:t>Vara-Vela, A., Andrade, M. F., Kumar, P., Ynoue, R. Y., and Muñoz, A. G.: Impact of vehicular emissions on the formation of fine particles in the Sao Paulo Metropolitan Area: a numerical study with the WRF-Chem model, Atmos. Chem. Phys., 16, 777-797, 2016.</w:t>
      </w:r>
    </w:p>
    <w:sectPr w:rsidR="003D4058" w:rsidSect="00DC24C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7850"/>
    <w:multiLevelType w:val="multilevel"/>
    <w:tmpl w:val="BEF090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162A34"/>
    <w:multiLevelType w:val="multilevel"/>
    <w:tmpl w:val="F682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E304F0"/>
    <w:multiLevelType w:val="hybridMultilevel"/>
    <w:tmpl w:val="AD565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E5652B"/>
    <w:multiLevelType w:val="hybridMultilevel"/>
    <w:tmpl w:val="FAA05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9D584C"/>
    <w:multiLevelType w:val="hybridMultilevel"/>
    <w:tmpl w:val="3000F040"/>
    <w:lvl w:ilvl="0" w:tplc="88802B72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6404BD2"/>
    <w:multiLevelType w:val="multilevel"/>
    <w:tmpl w:val="F682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60D60B5"/>
    <w:multiLevelType w:val="hybridMultilevel"/>
    <w:tmpl w:val="BFB287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Á.G. Muñoz">
    <w15:presenceInfo w15:providerId="None" w15:userId="Á.G. Muñoz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/>
  <w:rsids>
    <w:rsidRoot w:val="00DC24CE"/>
    <w:rsid w:val="000002DA"/>
    <w:rsid w:val="00016FA7"/>
    <w:rsid w:val="000574FD"/>
    <w:rsid w:val="0006037E"/>
    <w:rsid w:val="000662D8"/>
    <w:rsid w:val="0008016D"/>
    <w:rsid w:val="00083173"/>
    <w:rsid w:val="000A6E4B"/>
    <w:rsid w:val="000B095B"/>
    <w:rsid w:val="000B29A6"/>
    <w:rsid w:val="000B5022"/>
    <w:rsid w:val="000D0C20"/>
    <w:rsid w:val="000D3D22"/>
    <w:rsid w:val="000D7EB0"/>
    <w:rsid w:val="00113C65"/>
    <w:rsid w:val="001270AB"/>
    <w:rsid w:val="0013446C"/>
    <w:rsid w:val="001637BC"/>
    <w:rsid w:val="00167228"/>
    <w:rsid w:val="001830A6"/>
    <w:rsid w:val="00197FDB"/>
    <w:rsid w:val="001B155C"/>
    <w:rsid w:val="001D1E1B"/>
    <w:rsid w:val="001D253D"/>
    <w:rsid w:val="001F11B9"/>
    <w:rsid w:val="00253AD4"/>
    <w:rsid w:val="0028038C"/>
    <w:rsid w:val="00286FA0"/>
    <w:rsid w:val="002A17C1"/>
    <w:rsid w:val="002B4376"/>
    <w:rsid w:val="002B4838"/>
    <w:rsid w:val="002B70AC"/>
    <w:rsid w:val="002C6E8A"/>
    <w:rsid w:val="002C780D"/>
    <w:rsid w:val="002D3F32"/>
    <w:rsid w:val="002E1ED1"/>
    <w:rsid w:val="002F53DD"/>
    <w:rsid w:val="00301638"/>
    <w:rsid w:val="003216FF"/>
    <w:rsid w:val="00324347"/>
    <w:rsid w:val="00351AB6"/>
    <w:rsid w:val="003755FB"/>
    <w:rsid w:val="0039564A"/>
    <w:rsid w:val="003A74BD"/>
    <w:rsid w:val="003B28DA"/>
    <w:rsid w:val="003B5B23"/>
    <w:rsid w:val="003D0ACD"/>
    <w:rsid w:val="003D4058"/>
    <w:rsid w:val="003E1662"/>
    <w:rsid w:val="00405BFD"/>
    <w:rsid w:val="00412269"/>
    <w:rsid w:val="00416FB1"/>
    <w:rsid w:val="00425EDC"/>
    <w:rsid w:val="00430F7D"/>
    <w:rsid w:val="0044343A"/>
    <w:rsid w:val="00450492"/>
    <w:rsid w:val="00466467"/>
    <w:rsid w:val="00482901"/>
    <w:rsid w:val="00490806"/>
    <w:rsid w:val="004962D4"/>
    <w:rsid w:val="004A39A4"/>
    <w:rsid w:val="004A7DF3"/>
    <w:rsid w:val="004D0445"/>
    <w:rsid w:val="004D6E42"/>
    <w:rsid w:val="004E18AA"/>
    <w:rsid w:val="004E2C2D"/>
    <w:rsid w:val="004E6145"/>
    <w:rsid w:val="005038F0"/>
    <w:rsid w:val="005114AD"/>
    <w:rsid w:val="0052564C"/>
    <w:rsid w:val="005270E0"/>
    <w:rsid w:val="005304EB"/>
    <w:rsid w:val="00570756"/>
    <w:rsid w:val="005707FF"/>
    <w:rsid w:val="0057616D"/>
    <w:rsid w:val="00576478"/>
    <w:rsid w:val="00590290"/>
    <w:rsid w:val="00591B12"/>
    <w:rsid w:val="00594DAE"/>
    <w:rsid w:val="005A5FAA"/>
    <w:rsid w:val="005D5F9F"/>
    <w:rsid w:val="005F1BE9"/>
    <w:rsid w:val="005F4943"/>
    <w:rsid w:val="00611264"/>
    <w:rsid w:val="00630146"/>
    <w:rsid w:val="006301AA"/>
    <w:rsid w:val="00635712"/>
    <w:rsid w:val="0064092D"/>
    <w:rsid w:val="00641BF9"/>
    <w:rsid w:val="00664D6C"/>
    <w:rsid w:val="0067601E"/>
    <w:rsid w:val="00685DBE"/>
    <w:rsid w:val="00690140"/>
    <w:rsid w:val="00691780"/>
    <w:rsid w:val="006B03A4"/>
    <w:rsid w:val="006B4363"/>
    <w:rsid w:val="006B4DD5"/>
    <w:rsid w:val="006B555F"/>
    <w:rsid w:val="006B585B"/>
    <w:rsid w:val="006B6673"/>
    <w:rsid w:val="006D135F"/>
    <w:rsid w:val="006F3EDC"/>
    <w:rsid w:val="006F7277"/>
    <w:rsid w:val="006F7EFC"/>
    <w:rsid w:val="00705403"/>
    <w:rsid w:val="007101C5"/>
    <w:rsid w:val="00713D1B"/>
    <w:rsid w:val="007163B4"/>
    <w:rsid w:val="00720AC9"/>
    <w:rsid w:val="007470F5"/>
    <w:rsid w:val="00750D57"/>
    <w:rsid w:val="007937DC"/>
    <w:rsid w:val="00797B8A"/>
    <w:rsid w:val="007A6AC4"/>
    <w:rsid w:val="007B40EE"/>
    <w:rsid w:val="007B5B80"/>
    <w:rsid w:val="007D0D52"/>
    <w:rsid w:val="007D12AE"/>
    <w:rsid w:val="007D1502"/>
    <w:rsid w:val="007D3D47"/>
    <w:rsid w:val="007D7FFB"/>
    <w:rsid w:val="007E01CC"/>
    <w:rsid w:val="007E2C83"/>
    <w:rsid w:val="007F3E2B"/>
    <w:rsid w:val="00811F5B"/>
    <w:rsid w:val="008128A5"/>
    <w:rsid w:val="00812AE2"/>
    <w:rsid w:val="00842FAD"/>
    <w:rsid w:val="008457DA"/>
    <w:rsid w:val="00866D49"/>
    <w:rsid w:val="0087462C"/>
    <w:rsid w:val="00880504"/>
    <w:rsid w:val="00892EE7"/>
    <w:rsid w:val="008B1CBC"/>
    <w:rsid w:val="008B2272"/>
    <w:rsid w:val="008E00EB"/>
    <w:rsid w:val="00914D2E"/>
    <w:rsid w:val="009254A9"/>
    <w:rsid w:val="00926FE4"/>
    <w:rsid w:val="00942181"/>
    <w:rsid w:val="00942ADF"/>
    <w:rsid w:val="00966A5E"/>
    <w:rsid w:val="0099329E"/>
    <w:rsid w:val="009A6B36"/>
    <w:rsid w:val="009D6D10"/>
    <w:rsid w:val="009F006E"/>
    <w:rsid w:val="009F1E62"/>
    <w:rsid w:val="00A204EB"/>
    <w:rsid w:val="00A42B95"/>
    <w:rsid w:val="00A46AF1"/>
    <w:rsid w:val="00A57C8D"/>
    <w:rsid w:val="00AA0482"/>
    <w:rsid w:val="00AB028A"/>
    <w:rsid w:val="00AC59E6"/>
    <w:rsid w:val="00AD1D81"/>
    <w:rsid w:val="00AD1E1B"/>
    <w:rsid w:val="00AF1610"/>
    <w:rsid w:val="00B14A53"/>
    <w:rsid w:val="00B14D9F"/>
    <w:rsid w:val="00B2473C"/>
    <w:rsid w:val="00B31D75"/>
    <w:rsid w:val="00B337B4"/>
    <w:rsid w:val="00B362EA"/>
    <w:rsid w:val="00B404C1"/>
    <w:rsid w:val="00B501C5"/>
    <w:rsid w:val="00B529F9"/>
    <w:rsid w:val="00B62E85"/>
    <w:rsid w:val="00B75A13"/>
    <w:rsid w:val="00B9178A"/>
    <w:rsid w:val="00BA6B78"/>
    <w:rsid w:val="00BB671B"/>
    <w:rsid w:val="00BD0CE1"/>
    <w:rsid w:val="00BE6B7D"/>
    <w:rsid w:val="00BF6AC4"/>
    <w:rsid w:val="00C3055F"/>
    <w:rsid w:val="00C32956"/>
    <w:rsid w:val="00C370EE"/>
    <w:rsid w:val="00C42C3B"/>
    <w:rsid w:val="00C5040A"/>
    <w:rsid w:val="00C6254E"/>
    <w:rsid w:val="00CA51CC"/>
    <w:rsid w:val="00CB1718"/>
    <w:rsid w:val="00CB5001"/>
    <w:rsid w:val="00CB57CC"/>
    <w:rsid w:val="00CD36E8"/>
    <w:rsid w:val="00CD6DC1"/>
    <w:rsid w:val="00CF6CE5"/>
    <w:rsid w:val="00D118C3"/>
    <w:rsid w:val="00D25E96"/>
    <w:rsid w:val="00D67FF1"/>
    <w:rsid w:val="00D826BE"/>
    <w:rsid w:val="00D8620A"/>
    <w:rsid w:val="00D86E19"/>
    <w:rsid w:val="00DA6444"/>
    <w:rsid w:val="00DB28E6"/>
    <w:rsid w:val="00DB629F"/>
    <w:rsid w:val="00DC24CE"/>
    <w:rsid w:val="00DD01F7"/>
    <w:rsid w:val="00DD1352"/>
    <w:rsid w:val="00DD7EFF"/>
    <w:rsid w:val="00DE0C56"/>
    <w:rsid w:val="00DF396F"/>
    <w:rsid w:val="00DF4390"/>
    <w:rsid w:val="00E06B83"/>
    <w:rsid w:val="00E136D7"/>
    <w:rsid w:val="00E20C11"/>
    <w:rsid w:val="00E23FE5"/>
    <w:rsid w:val="00E24021"/>
    <w:rsid w:val="00E24E96"/>
    <w:rsid w:val="00E25772"/>
    <w:rsid w:val="00E35885"/>
    <w:rsid w:val="00E3705D"/>
    <w:rsid w:val="00E371F4"/>
    <w:rsid w:val="00E52269"/>
    <w:rsid w:val="00E53B5C"/>
    <w:rsid w:val="00E76D56"/>
    <w:rsid w:val="00E9048A"/>
    <w:rsid w:val="00E93A86"/>
    <w:rsid w:val="00EC013F"/>
    <w:rsid w:val="00ED78DF"/>
    <w:rsid w:val="00EF53BC"/>
    <w:rsid w:val="00F073D2"/>
    <w:rsid w:val="00F1074F"/>
    <w:rsid w:val="00F27510"/>
    <w:rsid w:val="00F30930"/>
    <w:rsid w:val="00F329E5"/>
    <w:rsid w:val="00F36420"/>
    <w:rsid w:val="00F6010A"/>
    <w:rsid w:val="00F70B39"/>
    <w:rsid w:val="00F836DA"/>
    <w:rsid w:val="00FB62ED"/>
    <w:rsid w:val="00FD019E"/>
    <w:rsid w:val="00FF2FC1"/>
    <w:rsid w:val="00FF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roid Sans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A8"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90497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0497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0497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49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DC24CE"/>
    <w:rPr>
      <w:rFonts w:eastAsia="Times New Roman" w:cs="Times New Roman"/>
    </w:rPr>
  </w:style>
  <w:style w:type="character" w:customStyle="1" w:styleId="ListLabel2">
    <w:name w:val="ListLabel 2"/>
    <w:rsid w:val="00DC24CE"/>
    <w:rPr>
      <w:rFonts w:cs="Courier New"/>
    </w:rPr>
  </w:style>
  <w:style w:type="paragraph" w:customStyle="1" w:styleId="Heading">
    <w:name w:val="Heading"/>
    <w:basedOn w:val="Normal"/>
    <w:next w:val="TextBody"/>
    <w:rsid w:val="00DC24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C24CE"/>
    <w:pPr>
      <w:spacing w:after="140" w:line="288" w:lineRule="auto"/>
    </w:pPr>
  </w:style>
  <w:style w:type="paragraph" w:styleId="Lista">
    <w:name w:val="List"/>
    <w:basedOn w:val="TextBody"/>
    <w:rsid w:val="00DC24CE"/>
    <w:rPr>
      <w:rFonts w:cs="FreeSans"/>
    </w:rPr>
  </w:style>
  <w:style w:type="paragraph" w:customStyle="1" w:styleId="Caption1">
    <w:name w:val="Caption1"/>
    <w:basedOn w:val="Normal"/>
    <w:rsid w:val="00DC24C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DC24CE"/>
    <w:pPr>
      <w:suppressLineNumbers/>
    </w:pPr>
    <w:rPr>
      <w:rFonts w:cs="FreeSans"/>
    </w:rPr>
  </w:style>
  <w:style w:type="paragraph" w:styleId="Legenda">
    <w:name w:val="caption"/>
    <w:basedOn w:val="Normal"/>
    <w:rsid w:val="00DC24CE"/>
    <w:pPr>
      <w:suppressLineNumbers/>
      <w:spacing w:before="120" w:after="120"/>
    </w:pPr>
    <w:rPr>
      <w:rFonts w:cs="FreeSans"/>
      <w:i/>
      <w:i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0497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89049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049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46797"/>
    <w:pPr>
      <w:ind w:left="720"/>
      <w:contextualSpacing/>
    </w:pPr>
  </w:style>
  <w:style w:type="paragraph" w:customStyle="1" w:styleId="TableContents">
    <w:name w:val="Table Contents"/>
    <w:basedOn w:val="Normal"/>
    <w:rsid w:val="00DC24CE"/>
  </w:style>
  <w:style w:type="paragraph" w:customStyle="1" w:styleId="Normal1">
    <w:name w:val="Normal1"/>
    <w:rsid w:val="00AB028A"/>
    <w:rPr>
      <w:rFonts w:ascii="Arial" w:eastAsia="Arial" w:hAnsi="Arial" w:cs="Arial"/>
      <w:color w:val="000000"/>
      <w:sz w:val="22"/>
      <w:szCs w:val="22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2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26B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826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5065/D6WD3X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25287</TotalTime>
  <Pages>6</Pages>
  <Words>1050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yzhang9</dc:creator>
  <cp:lastModifiedBy>angel</cp:lastModifiedBy>
  <cp:revision>326</cp:revision>
  <dcterms:created xsi:type="dcterms:W3CDTF">2016-05-24T03:13:00Z</dcterms:created>
  <dcterms:modified xsi:type="dcterms:W3CDTF">2017-07-13T23:51:00Z</dcterms:modified>
  <dc:language>en-US</dc:language>
</cp:coreProperties>
</file>